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2A" w:rsidRPr="00721D20" w:rsidRDefault="0005072A" w:rsidP="0005072A">
      <w:pPr>
        <w:spacing w:line="360" w:lineRule="auto"/>
        <w:jc w:val="both"/>
        <w:rPr>
          <w:b/>
          <w:bCs/>
          <w:lang w:val="en-GB"/>
        </w:rPr>
      </w:pPr>
      <w:bookmarkStart w:id="0" w:name="_GoBack"/>
      <w:bookmarkEnd w:id="0"/>
      <w:r w:rsidRPr="00721D20">
        <w:rPr>
          <w:b/>
          <w:bCs/>
          <w:lang w:val="en-GB"/>
        </w:rPr>
        <w:t>Post-mortem examination</w:t>
      </w:r>
    </w:p>
    <w:p w:rsidR="0005072A" w:rsidRPr="00721D20" w:rsidRDefault="0005072A" w:rsidP="0005072A">
      <w:pPr>
        <w:spacing w:line="360" w:lineRule="auto"/>
        <w:jc w:val="both"/>
        <w:rPr>
          <w:bCs/>
          <w:i/>
          <w:u w:val="single"/>
          <w:lang w:val="en-GB"/>
        </w:rPr>
      </w:pPr>
      <w:r w:rsidRPr="00721D20">
        <w:rPr>
          <w:bCs/>
          <w:i/>
          <w:u w:val="single"/>
          <w:lang w:val="en-GB"/>
        </w:rPr>
        <w:t>Autopsy procedures</w:t>
      </w:r>
    </w:p>
    <w:p w:rsidR="0005072A" w:rsidRPr="00721D20" w:rsidRDefault="0005072A" w:rsidP="00BB2B37">
      <w:pPr>
        <w:spacing w:before="60" w:after="60" w:line="360" w:lineRule="auto"/>
        <w:jc w:val="both"/>
        <w:rPr>
          <w:noProof/>
          <w:lang w:val="en-GB"/>
        </w:rPr>
      </w:pPr>
      <w:r w:rsidRPr="00721D20">
        <w:rPr>
          <w:noProof/>
          <w:lang w:val="en-GB"/>
        </w:rPr>
        <w:t xml:space="preserve">A complete autopsy was performed in the </w:t>
      </w:r>
      <w:r w:rsidR="00CA65A5">
        <w:rPr>
          <w:noProof/>
          <w:lang w:val="en-GB"/>
        </w:rPr>
        <w:t xml:space="preserve">two </w:t>
      </w:r>
      <w:r w:rsidRPr="00B217B1">
        <w:rPr>
          <w:noProof/>
          <w:lang w:val="en-GB"/>
        </w:rPr>
        <w:t>foetuses</w:t>
      </w:r>
      <w:r w:rsidR="00CD654D">
        <w:rPr>
          <w:noProof/>
          <w:lang w:val="en-GB"/>
        </w:rPr>
        <w:t xml:space="preserve"> </w:t>
      </w:r>
      <w:r w:rsidR="00CD654D" w:rsidRPr="006D1BCE">
        <w:rPr>
          <w:noProof/>
          <w:lang w:val="en-GB"/>
        </w:rPr>
        <w:t>(II.1 and II.2</w:t>
      </w:r>
      <w:r w:rsidR="00003EB5" w:rsidRPr="006D1BCE">
        <w:rPr>
          <w:noProof/>
          <w:lang w:val="en-GB"/>
        </w:rPr>
        <w:t>; Figure</w:t>
      </w:r>
      <w:r w:rsidR="00A5400D">
        <w:rPr>
          <w:noProof/>
          <w:lang w:val="en-GB"/>
        </w:rPr>
        <w:t xml:space="preserve"> 2</w:t>
      </w:r>
      <w:r w:rsidR="00CD654D" w:rsidRPr="006D1BCE">
        <w:rPr>
          <w:noProof/>
          <w:lang w:val="en-GB"/>
        </w:rPr>
        <w:t>)</w:t>
      </w:r>
      <w:r w:rsidRPr="006D1BCE">
        <w:rPr>
          <w:noProof/>
          <w:lang w:val="en-GB"/>
        </w:rPr>
        <w:t xml:space="preserve"> </w:t>
      </w:r>
      <w:r w:rsidRPr="00721D20">
        <w:rPr>
          <w:noProof/>
          <w:lang w:val="en-GB"/>
        </w:rPr>
        <w:t xml:space="preserve">with the informed written consent of the parents in accordance with the French law and following standardized protocols. </w:t>
      </w:r>
      <w:r w:rsidRPr="00B217B1">
        <w:rPr>
          <w:noProof/>
          <w:lang w:val="en-GB"/>
        </w:rPr>
        <w:t>Foetal</w:t>
      </w:r>
      <w:r w:rsidRPr="00721D20">
        <w:rPr>
          <w:noProof/>
          <w:lang w:val="en-GB"/>
        </w:rPr>
        <w:t xml:space="preserve"> biometric data were evaluated according to Guilhard-Costa et al</w:t>
      </w:r>
      <w:r w:rsidRPr="009C0653">
        <w:rPr>
          <w:noProof/>
          <w:lang w:val="en-GB"/>
        </w:rPr>
        <w:t xml:space="preserve">. </w:t>
      </w:r>
      <w:r w:rsidR="00BB2B37" w:rsidRPr="009C0653">
        <w:rPr>
          <w:lang w:val="en-GB"/>
        </w:rPr>
        <w:t>[</w:t>
      </w:r>
      <w:r w:rsidR="009C0653">
        <w:rPr>
          <w:lang w:val="en-GB"/>
        </w:rPr>
        <w:t>5</w:t>
      </w:r>
      <w:r w:rsidR="00BB2B37">
        <w:rPr>
          <w:lang w:val="en-GB"/>
        </w:rPr>
        <w:t>]</w:t>
      </w:r>
      <w:r w:rsidRPr="00721D20">
        <w:rPr>
          <w:lang w:val="en-GB"/>
        </w:rPr>
        <w:t>.</w:t>
      </w:r>
    </w:p>
    <w:p w:rsidR="0005072A" w:rsidRPr="00721D20" w:rsidRDefault="0005072A" w:rsidP="0005072A">
      <w:pPr>
        <w:spacing w:line="360" w:lineRule="auto"/>
        <w:jc w:val="both"/>
        <w:rPr>
          <w:bCs/>
          <w:i/>
          <w:u w:val="single"/>
          <w:lang w:val="en-GB"/>
        </w:rPr>
      </w:pPr>
      <w:r w:rsidRPr="00721D20">
        <w:rPr>
          <w:bCs/>
          <w:i/>
          <w:u w:val="single"/>
          <w:lang w:val="en-GB"/>
        </w:rPr>
        <w:t>Neuropathological evaluation</w:t>
      </w:r>
    </w:p>
    <w:p w:rsidR="0005072A" w:rsidRDefault="0038697D" w:rsidP="0005072A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lang w:val="en-GB"/>
        </w:rPr>
      </w:pPr>
      <w:r>
        <w:rPr>
          <w:bCs/>
          <w:lang w:val="en-GB"/>
        </w:rPr>
        <w:t>F</w:t>
      </w:r>
      <w:r w:rsidR="0005072A" w:rsidRPr="00B217B1">
        <w:rPr>
          <w:bCs/>
          <w:lang w:val="en-GB"/>
        </w:rPr>
        <w:t>oetal</w:t>
      </w:r>
      <w:r w:rsidR="0005072A" w:rsidRPr="00721D20">
        <w:rPr>
          <w:bCs/>
          <w:lang w:val="en-GB"/>
        </w:rPr>
        <w:t xml:space="preserve"> brains were fixed in a 10% formalin-zinc buffer solution for one month. Brain growth and macroscopic assessment of brain maturation including gyration were evaluated according to the criteria of Guihard-Costa and Larroche</w:t>
      </w:r>
      <w:r w:rsidR="0005072A">
        <w:rPr>
          <w:bCs/>
          <w:lang w:val="en-GB"/>
        </w:rPr>
        <w:t xml:space="preserve"> </w:t>
      </w:r>
      <w:r w:rsidR="0005072A" w:rsidRPr="00721D20">
        <w:rPr>
          <w:lang w:val="en-GB"/>
        </w:rPr>
        <w:t xml:space="preserve">and </w:t>
      </w:r>
      <w:r w:rsidR="0005072A" w:rsidRPr="00721D20">
        <w:rPr>
          <w:bCs/>
          <w:lang w:val="en-GB"/>
        </w:rPr>
        <w:t>the atlas of Feess-Higgins and Larroche re</w:t>
      </w:r>
      <w:r w:rsidR="00A5400D">
        <w:rPr>
          <w:bCs/>
          <w:lang w:val="en-GB"/>
        </w:rPr>
        <w:t>spectively [</w:t>
      </w:r>
      <w:r w:rsidR="005F5C52">
        <w:rPr>
          <w:bCs/>
          <w:lang w:val="en-GB"/>
        </w:rPr>
        <w:t>3</w:t>
      </w:r>
      <w:r w:rsidR="00A5400D">
        <w:rPr>
          <w:bCs/>
          <w:lang w:val="en-GB"/>
        </w:rPr>
        <w:t>, 4</w:t>
      </w:r>
      <w:r w:rsidR="009C0653">
        <w:rPr>
          <w:bCs/>
          <w:lang w:val="en-GB"/>
        </w:rPr>
        <w:t>]</w:t>
      </w:r>
      <w:r w:rsidR="0005072A" w:rsidRPr="00721D20">
        <w:rPr>
          <w:bCs/>
          <w:lang w:val="en-GB"/>
        </w:rPr>
        <w:t xml:space="preserve">. </w:t>
      </w:r>
      <w:r w:rsidR="0005072A">
        <w:rPr>
          <w:noProof/>
          <w:lang w:val="en-GB"/>
        </w:rPr>
        <w:t>Eight</w:t>
      </w:r>
      <w:r w:rsidR="0005072A" w:rsidRPr="00721D20">
        <w:rPr>
          <w:noProof/>
          <w:lang w:val="en-GB"/>
        </w:rPr>
        <w:t xml:space="preserve">-micrometer sections obtained from paraffin-embedded tissues were stained using </w:t>
      </w:r>
      <w:r w:rsidR="0005072A" w:rsidRPr="00721D20">
        <w:rPr>
          <w:bCs/>
          <w:lang w:val="en-GB"/>
        </w:rPr>
        <w:t>Haematoxylin-Eosin</w:t>
      </w:r>
      <w:r w:rsidR="005F5C52">
        <w:rPr>
          <w:bCs/>
          <w:lang w:val="en-GB"/>
        </w:rPr>
        <w:t xml:space="preserve">. </w:t>
      </w:r>
    </w:p>
    <w:p w:rsidR="00972172" w:rsidRDefault="00AD0F50" w:rsidP="0005072A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lang w:val="en-GB"/>
        </w:rPr>
      </w:pPr>
      <w:r w:rsidRPr="00721D20">
        <w:rPr>
          <w:bCs/>
          <w:lang w:val="en-GB"/>
        </w:rPr>
        <w:t xml:space="preserve">Immunohistochemical studies were performed using antibodies directed against vimentin (diluted 1:100; </w:t>
      </w:r>
      <w:r w:rsidRPr="00721D20">
        <w:rPr>
          <w:noProof/>
          <w:lang w:val="en-GB"/>
        </w:rPr>
        <w:t>Dakopatts, Trappes, France</w:t>
      </w:r>
      <w:r w:rsidRPr="00721D20">
        <w:rPr>
          <w:bCs/>
          <w:lang w:val="en-GB"/>
        </w:rPr>
        <w:t xml:space="preserve">), glial fibrillary acidic protein (GFAP, 1:300; </w:t>
      </w:r>
      <w:r w:rsidRPr="00721D20">
        <w:rPr>
          <w:noProof/>
          <w:lang w:val="en-GB"/>
        </w:rPr>
        <w:t>Dakopatts</w:t>
      </w:r>
      <w:r w:rsidRPr="00721D20">
        <w:rPr>
          <w:bCs/>
          <w:lang w:val="en-GB"/>
        </w:rPr>
        <w:t>), nestin (rabbit polyclonal, diluted 1:100, Millipore, Molsheim, France</w:t>
      </w:r>
      <w:r w:rsidRPr="00721D20">
        <w:rPr>
          <w:lang w:val="en-GB"/>
        </w:rPr>
        <w:t>)</w:t>
      </w:r>
      <w:r>
        <w:rPr>
          <w:lang w:val="en-GB"/>
        </w:rPr>
        <w:t xml:space="preserve">, </w:t>
      </w:r>
      <w:r w:rsidRPr="0094542D">
        <w:rPr>
          <w:bCs/>
          <w:lang w:val="en-GB"/>
        </w:rPr>
        <w:t xml:space="preserve">GABA (Rabbit polyclonal, diluted 1/100; Thermofisher Scientific, </w:t>
      </w:r>
      <w:r w:rsidRPr="0094542D">
        <w:rPr>
          <w:lang w:val="en-GB"/>
        </w:rPr>
        <w:t>F67403 Illkirch Cedex, france)</w:t>
      </w:r>
      <w:proofErr w:type="gramStart"/>
      <w:r>
        <w:rPr>
          <w:lang w:val="en-GB"/>
        </w:rPr>
        <w:t xml:space="preserve">, </w:t>
      </w:r>
      <w:r w:rsidRPr="00721D20">
        <w:rPr>
          <w:bCs/>
          <w:lang w:val="en-GB"/>
        </w:rPr>
        <w:t xml:space="preserve"> </w:t>
      </w:r>
      <w:r>
        <w:rPr>
          <w:bCs/>
          <w:lang w:val="en-GB"/>
        </w:rPr>
        <w:t>MAP2</w:t>
      </w:r>
      <w:proofErr w:type="gramEnd"/>
      <w:r>
        <w:rPr>
          <w:bCs/>
          <w:lang w:val="en-GB"/>
        </w:rPr>
        <w:t xml:space="preserve"> (diluted 1:100; Sigma Aldrich) </w:t>
      </w:r>
      <w:r w:rsidRPr="00721D20">
        <w:rPr>
          <w:bCs/>
          <w:lang w:val="en-GB"/>
        </w:rPr>
        <w:t>and SOX2 (diluted</w:t>
      </w:r>
      <w:r>
        <w:rPr>
          <w:bCs/>
          <w:lang w:val="en-GB"/>
        </w:rPr>
        <w:t xml:space="preserve"> 1:.100, Abcam, Paris, France).</w:t>
      </w:r>
      <w:r w:rsidRPr="00721D20">
        <w:rPr>
          <w:bCs/>
          <w:lang w:val="en-GB"/>
        </w:rPr>
        <w:t xml:space="preserve"> Immunohistochemical procedures included a microwave pre-treatment protocol to aid antigen retrieval (pretreatment CC1 kit, Ventana Medical Systems Inc, </w:t>
      </w:r>
      <w:smartTag w:uri="urn:schemas-microsoft-com:office:smarttags" w:element="place">
        <w:smartTag w:uri="urn:schemas-microsoft-com:office:smarttags" w:element="City">
          <w:r w:rsidRPr="00721D20">
            <w:rPr>
              <w:bCs/>
              <w:lang w:val="en-GB"/>
            </w:rPr>
            <w:t>Tucson</w:t>
          </w:r>
        </w:smartTag>
        <w:r w:rsidRPr="00721D20">
          <w:rPr>
            <w:bCs/>
            <w:lang w:val="en-GB"/>
          </w:rPr>
          <w:t xml:space="preserve"> </w:t>
        </w:r>
        <w:smartTag w:uri="urn:schemas-microsoft-com:office:smarttags" w:element="State">
          <w:r w:rsidRPr="00721D20">
            <w:rPr>
              <w:bCs/>
              <w:lang w:val="en-GB"/>
            </w:rPr>
            <w:t>AZ</w:t>
          </w:r>
        </w:smartTag>
      </w:smartTag>
      <w:r w:rsidRPr="00721D20">
        <w:rPr>
          <w:bCs/>
          <w:lang w:val="en-GB"/>
        </w:rPr>
        <w:t xml:space="preserve">). Incubations were performed for 32 minutes at room temperature using the Ventana Benchmark XT system. After incubation, slides were processed by the Ultraview Universal DAB detection kit (Ventana). </w:t>
      </w:r>
    </w:p>
    <w:p w:rsidR="00AD0F50" w:rsidRPr="00721D20" w:rsidRDefault="00AD0F50" w:rsidP="0005072A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lang w:val="en-GB"/>
        </w:rPr>
      </w:pPr>
    </w:p>
    <w:p w:rsidR="00146F8F" w:rsidRPr="00721D20" w:rsidRDefault="0005072A" w:rsidP="0005072A">
      <w:pPr>
        <w:spacing w:line="360" w:lineRule="auto"/>
        <w:jc w:val="both"/>
        <w:rPr>
          <w:b/>
          <w:bCs/>
          <w:lang w:val="en-GB"/>
        </w:rPr>
      </w:pPr>
      <w:r w:rsidRPr="00721D20">
        <w:rPr>
          <w:b/>
          <w:bCs/>
          <w:lang w:val="en-GB"/>
        </w:rPr>
        <w:t>Genetic analyses</w:t>
      </w:r>
    </w:p>
    <w:p w:rsidR="0005072A" w:rsidRPr="00721D20" w:rsidRDefault="0005072A" w:rsidP="0005072A">
      <w:pPr>
        <w:autoSpaceDE w:val="0"/>
        <w:autoSpaceDN w:val="0"/>
        <w:adjustRightInd w:val="0"/>
        <w:spacing w:line="360" w:lineRule="auto"/>
        <w:rPr>
          <w:rFonts w:eastAsia="Calibri"/>
          <w:i/>
          <w:u w:val="single"/>
          <w:lang w:val="en-GB"/>
        </w:rPr>
      </w:pPr>
      <w:r w:rsidRPr="00721D20">
        <w:rPr>
          <w:rFonts w:eastAsia="Calibri"/>
          <w:i/>
          <w:u w:val="single"/>
          <w:lang w:val="en-GB"/>
        </w:rPr>
        <w:t>DNA extraction</w:t>
      </w:r>
    </w:p>
    <w:p w:rsidR="0029294E" w:rsidRDefault="00F53C2D" w:rsidP="0005072A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 w:rsidRPr="00C91CD9">
        <w:rPr>
          <w:color w:val="000000"/>
          <w:lang w:val="en-GB"/>
        </w:rPr>
        <w:t>The parents provided written informed consent for targeted sequencing and Whole Exome Sequencing</w:t>
      </w:r>
      <w:r w:rsidR="00B477EE" w:rsidRPr="00F53C2D">
        <w:rPr>
          <w:lang w:val="en-GB"/>
        </w:rPr>
        <w:t>.</w:t>
      </w:r>
      <w:r w:rsidR="00B477EE" w:rsidRPr="00F53C2D">
        <w:rPr>
          <w:sz w:val="22"/>
          <w:lang w:val="en-GB"/>
        </w:rPr>
        <w:t xml:space="preserve"> </w:t>
      </w:r>
      <w:r w:rsidR="0005072A" w:rsidRPr="00721D20">
        <w:rPr>
          <w:lang w:val="en-GB"/>
        </w:rPr>
        <w:t xml:space="preserve">Genomic DNA was extracted </w:t>
      </w:r>
      <w:r w:rsidR="0005072A" w:rsidRPr="0029294E">
        <w:rPr>
          <w:lang w:val="en-GB"/>
        </w:rPr>
        <w:t xml:space="preserve">from blood samples of </w:t>
      </w:r>
      <w:r w:rsidR="00E82EEB" w:rsidRPr="0029294E">
        <w:rPr>
          <w:noProof/>
          <w:lang w:val="en-GB"/>
        </w:rPr>
        <w:t xml:space="preserve">the </w:t>
      </w:r>
      <w:r w:rsidR="0029294E" w:rsidRPr="00003EB5">
        <w:rPr>
          <w:noProof/>
          <w:lang w:val="en-GB"/>
        </w:rPr>
        <w:t xml:space="preserve">parents </w:t>
      </w:r>
      <w:r w:rsidR="00003EB5">
        <w:rPr>
          <w:noProof/>
          <w:lang w:val="en-GB"/>
        </w:rPr>
        <w:t xml:space="preserve">with standard procedures </w:t>
      </w:r>
      <w:r w:rsidR="0029294E" w:rsidRPr="0029294E">
        <w:rPr>
          <w:noProof/>
          <w:lang w:val="en-GB"/>
        </w:rPr>
        <w:t xml:space="preserve">and from tissue samples </w:t>
      </w:r>
      <w:r w:rsidR="002B3721">
        <w:rPr>
          <w:noProof/>
          <w:lang w:val="en-GB"/>
        </w:rPr>
        <w:t>of</w:t>
      </w:r>
      <w:r w:rsidR="0029294E" w:rsidRPr="0029294E">
        <w:rPr>
          <w:noProof/>
          <w:lang w:val="en-GB"/>
        </w:rPr>
        <w:t xml:space="preserve"> the </w:t>
      </w:r>
      <w:r w:rsidR="00E82EEB" w:rsidRPr="0029294E">
        <w:rPr>
          <w:noProof/>
          <w:lang w:val="en-GB"/>
        </w:rPr>
        <w:t xml:space="preserve">two foetuses </w:t>
      </w:r>
      <w:r w:rsidR="00CD654D" w:rsidRPr="0029294E">
        <w:rPr>
          <w:lang w:val="en-GB"/>
        </w:rPr>
        <w:t>II.1 and II.2</w:t>
      </w:r>
      <w:r w:rsidR="0005072A" w:rsidRPr="0029294E">
        <w:rPr>
          <w:lang w:val="en-GB"/>
        </w:rPr>
        <w:t xml:space="preserve"> </w:t>
      </w:r>
      <w:r w:rsidR="00003EB5" w:rsidRPr="006D1BCE">
        <w:rPr>
          <w:lang w:val="en-GB"/>
        </w:rPr>
        <w:t>(</w:t>
      </w:r>
      <w:r w:rsidR="00003EB5" w:rsidRPr="006D1BCE">
        <w:rPr>
          <w:noProof/>
          <w:lang w:val="en-GB"/>
        </w:rPr>
        <w:t>Figure</w:t>
      </w:r>
      <w:r w:rsidR="009C0653">
        <w:rPr>
          <w:noProof/>
          <w:lang w:val="en-GB"/>
        </w:rPr>
        <w:t xml:space="preserve"> 2</w:t>
      </w:r>
      <w:r w:rsidR="00003EB5" w:rsidRPr="006D1BCE">
        <w:rPr>
          <w:noProof/>
          <w:lang w:val="en-GB"/>
        </w:rPr>
        <w:t>)</w:t>
      </w:r>
      <w:r w:rsidR="00003EB5" w:rsidRPr="00721D20">
        <w:rPr>
          <w:noProof/>
          <w:lang w:val="en-GB"/>
        </w:rPr>
        <w:t xml:space="preserve"> </w:t>
      </w:r>
      <w:r w:rsidR="0005072A" w:rsidRPr="0029294E">
        <w:rPr>
          <w:lang w:val="en-GB"/>
        </w:rPr>
        <w:t xml:space="preserve">using </w:t>
      </w:r>
      <w:r w:rsidR="0029294E" w:rsidRPr="0029294E">
        <w:rPr>
          <w:lang w:val="en-GB"/>
        </w:rPr>
        <w:t xml:space="preserve">DNeasy Blood &amp; Tissue kit (Qiagen, </w:t>
      </w:r>
      <w:smartTag w:uri="urn:schemas-microsoft-com:office:smarttags" w:element="place">
        <w:smartTag w:uri="urn:schemas-microsoft-com:office:smarttags" w:element="City">
          <w:r w:rsidR="0029294E" w:rsidRPr="0029294E">
            <w:rPr>
              <w:lang w:val="en-GB"/>
            </w:rPr>
            <w:t>Courtaboeuf</w:t>
          </w:r>
        </w:smartTag>
        <w:r w:rsidR="0029294E" w:rsidRPr="0029294E">
          <w:rPr>
            <w:lang w:val="en-GB"/>
          </w:rPr>
          <w:t xml:space="preserve">, </w:t>
        </w:r>
        <w:smartTag w:uri="urn:schemas-microsoft-com:office:smarttags" w:element="country-region">
          <w:r w:rsidR="0029294E" w:rsidRPr="0029294E">
            <w:rPr>
              <w:lang w:val="en-GB"/>
            </w:rPr>
            <w:t>France</w:t>
          </w:r>
        </w:smartTag>
      </w:smartTag>
      <w:r w:rsidR="0029294E">
        <w:rPr>
          <w:lang w:val="en-GB"/>
        </w:rPr>
        <w:t>)</w:t>
      </w:r>
      <w:r w:rsidR="006D1BCE">
        <w:rPr>
          <w:lang w:val="en-GB"/>
        </w:rPr>
        <w:t>.</w:t>
      </w:r>
    </w:p>
    <w:p w:rsidR="0005072A" w:rsidRPr="00721D20" w:rsidRDefault="0005072A" w:rsidP="0005072A">
      <w:pPr>
        <w:autoSpaceDE w:val="0"/>
        <w:autoSpaceDN w:val="0"/>
        <w:adjustRightInd w:val="0"/>
        <w:spacing w:line="360" w:lineRule="auto"/>
        <w:rPr>
          <w:rFonts w:eastAsia="Calibri"/>
          <w:i/>
          <w:u w:val="single"/>
          <w:lang w:val="en-GB"/>
        </w:rPr>
      </w:pPr>
      <w:r w:rsidRPr="00721D20">
        <w:rPr>
          <w:rFonts w:eastAsia="Calibri"/>
          <w:i/>
          <w:u w:val="single"/>
          <w:lang w:val="en-GB"/>
        </w:rPr>
        <w:t>Targeted gene panel for non-syndromic hydrocephalus</w:t>
      </w:r>
    </w:p>
    <w:p w:rsidR="0005072A" w:rsidRPr="0078234A" w:rsidRDefault="0078234A" w:rsidP="0005072A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n-US"/>
        </w:rPr>
      </w:pPr>
      <w:r w:rsidRPr="00942EB1">
        <w:rPr>
          <w:lang w:val="en-US"/>
        </w:rPr>
        <w:t xml:space="preserve">Sequencing </w:t>
      </w:r>
      <w:r w:rsidR="00F53C2D" w:rsidRPr="00942EB1">
        <w:rPr>
          <w:lang w:val="en-US"/>
        </w:rPr>
        <w:t>libra</w:t>
      </w:r>
      <w:r w:rsidR="00F53C2D">
        <w:rPr>
          <w:lang w:val="en-US"/>
        </w:rPr>
        <w:t>r</w:t>
      </w:r>
      <w:r w:rsidR="00F53C2D" w:rsidRPr="00942EB1">
        <w:rPr>
          <w:lang w:val="en-US"/>
        </w:rPr>
        <w:t>ies</w:t>
      </w:r>
      <w:r w:rsidRPr="00942EB1">
        <w:rPr>
          <w:lang w:val="en-US"/>
        </w:rPr>
        <w:t xml:space="preserve"> were prepared as </w:t>
      </w:r>
      <w:r w:rsidR="00102701" w:rsidRPr="006D1BCE">
        <w:rPr>
          <w:rFonts w:eastAsia="Calibri"/>
          <w:lang w:val="en-GB"/>
        </w:rPr>
        <w:t>previously</w:t>
      </w:r>
      <w:r w:rsidR="00102701" w:rsidRPr="00942EB1">
        <w:rPr>
          <w:lang w:val="en-US"/>
        </w:rPr>
        <w:t xml:space="preserve"> </w:t>
      </w:r>
      <w:r w:rsidRPr="00942EB1">
        <w:rPr>
          <w:lang w:val="en-US"/>
        </w:rPr>
        <w:t>described</w:t>
      </w:r>
      <w:r w:rsidR="009C0653">
        <w:rPr>
          <w:lang w:val="en-US"/>
        </w:rPr>
        <w:t xml:space="preserve"> [6]</w:t>
      </w:r>
      <w:r w:rsidRPr="006D1BCE">
        <w:rPr>
          <w:rFonts w:eastAsia="Calibri"/>
          <w:lang w:val="en-GB"/>
        </w:rPr>
        <w:t>.</w:t>
      </w:r>
      <w:r>
        <w:rPr>
          <w:rFonts w:eastAsia="Calibri"/>
          <w:lang w:val="en-GB"/>
        </w:rPr>
        <w:t xml:space="preserve"> </w:t>
      </w:r>
      <w:r w:rsidRPr="0078234A">
        <w:rPr>
          <w:rFonts w:eastAsia="Calibri"/>
          <w:lang w:val="en-US"/>
        </w:rPr>
        <w:t>Briefly, th</w:t>
      </w:r>
      <w:r>
        <w:rPr>
          <w:rFonts w:eastAsia="Calibri"/>
          <w:lang w:val="en-US"/>
        </w:rPr>
        <w:t xml:space="preserve">e capture of </w:t>
      </w:r>
      <w:r w:rsidRPr="00721D20">
        <w:rPr>
          <w:rFonts w:eastAsia="Calibri"/>
          <w:lang w:val="en-GB"/>
        </w:rPr>
        <w:t xml:space="preserve">the 3 validated genes involved in non-syndromic hydrocephalus, </w:t>
      </w:r>
      <w:r w:rsidRPr="00721D20">
        <w:rPr>
          <w:i/>
          <w:lang w:val="en-GB"/>
        </w:rPr>
        <w:t>L1CAM</w:t>
      </w:r>
      <w:r w:rsidRPr="00721D20">
        <w:rPr>
          <w:lang w:val="en-GB"/>
        </w:rPr>
        <w:t xml:space="preserve">, </w:t>
      </w:r>
      <w:r w:rsidRPr="00721D20">
        <w:rPr>
          <w:i/>
          <w:lang w:val="en-GB"/>
        </w:rPr>
        <w:t>MPDZ</w:t>
      </w:r>
      <w:r w:rsidRPr="00721D20">
        <w:rPr>
          <w:lang w:val="en-GB"/>
        </w:rPr>
        <w:t xml:space="preserve"> and </w:t>
      </w:r>
      <w:r w:rsidRPr="00721D20">
        <w:rPr>
          <w:i/>
          <w:lang w:val="en-GB"/>
        </w:rPr>
        <w:t>CCDC88C</w:t>
      </w:r>
      <w:r w:rsidRPr="0078234A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 xml:space="preserve">was designed using </w:t>
      </w:r>
      <w:r w:rsidRPr="0078234A">
        <w:rPr>
          <w:rFonts w:eastAsia="Calibri"/>
          <w:lang w:val="en-US"/>
        </w:rPr>
        <w:t xml:space="preserve">Sure Design (Agilent Technologies Inc., </w:t>
      </w:r>
      <w:smartTag w:uri="urn:schemas-microsoft-com:office:smarttags" w:element="place">
        <w:smartTag w:uri="urn:schemas-microsoft-com:office:smarttags" w:element="City">
          <w:r w:rsidRPr="0078234A">
            <w:rPr>
              <w:rFonts w:eastAsia="Calibri"/>
              <w:lang w:val="en-US"/>
            </w:rPr>
            <w:t>Santa Clara</w:t>
          </w:r>
        </w:smartTag>
        <w:r w:rsidRPr="0078234A">
          <w:rPr>
            <w:rFonts w:eastAsia="Calibri"/>
            <w:lang w:val="en-US"/>
          </w:rPr>
          <w:t xml:space="preserve">, </w:t>
        </w:r>
        <w:smartTag w:uri="urn:schemas-microsoft-com:office:smarttags" w:element="State">
          <w:r w:rsidRPr="0078234A">
            <w:rPr>
              <w:rFonts w:eastAsia="Calibri"/>
              <w:lang w:val="en-US"/>
            </w:rPr>
            <w:t>California</w:t>
          </w:r>
        </w:smartTag>
        <w:r w:rsidRPr="0078234A">
          <w:rPr>
            <w:rFonts w:eastAsia="Calibri"/>
            <w:lang w:val="en-US"/>
          </w:rPr>
          <w:t xml:space="preserve">, </w:t>
        </w:r>
        <w:smartTag w:uri="urn:schemas-microsoft-com:office:smarttags" w:element="country-region">
          <w:r w:rsidRPr="0078234A">
            <w:rPr>
              <w:rFonts w:eastAsia="Calibri"/>
              <w:lang w:val="en-US"/>
            </w:rPr>
            <w:t>USA</w:t>
          </w:r>
        </w:smartTag>
      </w:smartTag>
      <w:r w:rsidRPr="0078234A">
        <w:rPr>
          <w:rFonts w:eastAsia="Calibri"/>
          <w:lang w:val="en-US"/>
        </w:rPr>
        <w:t>)</w:t>
      </w:r>
      <w:r>
        <w:rPr>
          <w:rFonts w:eastAsia="Calibri"/>
          <w:lang w:val="en-US"/>
        </w:rPr>
        <w:t xml:space="preserve">. </w:t>
      </w:r>
      <w:r w:rsidR="0005072A" w:rsidRPr="00721D20">
        <w:rPr>
          <w:lang w:val="en-GB"/>
        </w:rPr>
        <w:lastRenderedPageBreak/>
        <w:t>NGS library preparations and target enrichment were performed with the SureSelect QXT kit (</w:t>
      </w:r>
      <w:r w:rsidR="0005072A" w:rsidRPr="00721D20">
        <w:rPr>
          <w:rFonts w:eastAsia="Calibri"/>
          <w:lang w:val="en-GB"/>
        </w:rPr>
        <w:t xml:space="preserve">Agilent Technologies Inc., </w:t>
      </w:r>
      <w:smartTag w:uri="urn:schemas-microsoft-com:office:smarttags" w:element="place">
        <w:smartTag w:uri="urn:schemas-microsoft-com:office:smarttags" w:element="City">
          <w:r w:rsidR="0005072A" w:rsidRPr="00721D20">
            <w:rPr>
              <w:rFonts w:eastAsia="Calibri"/>
              <w:lang w:val="en-GB"/>
            </w:rPr>
            <w:t>Santa Clara</w:t>
          </w:r>
        </w:smartTag>
        <w:r w:rsidR="0005072A" w:rsidRPr="00721D20">
          <w:rPr>
            <w:rFonts w:eastAsia="Calibri"/>
            <w:lang w:val="en-GB"/>
          </w:rPr>
          <w:t xml:space="preserve">, </w:t>
        </w:r>
        <w:smartTag w:uri="urn:schemas-microsoft-com:office:smarttags" w:element="State">
          <w:r w:rsidR="0005072A" w:rsidRPr="00721D20">
            <w:rPr>
              <w:rFonts w:eastAsia="Calibri"/>
              <w:lang w:val="en-GB"/>
            </w:rPr>
            <w:t>California</w:t>
          </w:r>
        </w:smartTag>
        <w:r w:rsidR="0005072A" w:rsidRPr="00721D20">
          <w:rPr>
            <w:rFonts w:eastAsia="Calibri"/>
            <w:lang w:val="en-GB"/>
          </w:rPr>
          <w:t xml:space="preserve">, </w:t>
        </w:r>
        <w:smartTag w:uri="urn:schemas-microsoft-com:office:smarttags" w:element="country-region">
          <w:r w:rsidR="0005072A" w:rsidRPr="00721D20">
            <w:rPr>
              <w:rFonts w:eastAsia="Calibri"/>
              <w:lang w:val="en-GB"/>
            </w:rPr>
            <w:t>USA</w:t>
          </w:r>
        </w:smartTag>
      </w:smartTag>
      <w:r w:rsidR="0005072A" w:rsidRPr="00721D20">
        <w:rPr>
          <w:lang w:val="en-GB"/>
        </w:rPr>
        <w:t xml:space="preserve">). </w:t>
      </w:r>
      <w:r w:rsidR="0005072A" w:rsidRPr="00721D20">
        <w:rPr>
          <w:rFonts w:eastAsia="Calibri"/>
          <w:lang w:val="en-GB"/>
        </w:rPr>
        <w:t xml:space="preserve">The multiplexed samples were sequenced on the Illumina Miseq platform </w:t>
      </w:r>
      <w:r w:rsidR="0005072A" w:rsidRPr="00721D20">
        <w:rPr>
          <w:lang w:val="en-GB"/>
        </w:rPr>
        <w:t>(</w:t>
      </w:r>
      <w:r w:rsidR="0005072A" w:rsidRPr="00721D20">
        <w:rPr>
          <w:rFonts w:eastAsia="Calibri"/>
          <w:lang w:val="en-GB"/>
        </w:rPr>
        <w:t xml:space="preserve">Illumina, </w:t>
      </w:r>
      <w:smartTag w:uri="urn:schemas-microsoft-com:office:smarttags" w:element="place">
        <w:smartTag w:uri="urn:schemas-microsoft-com:office:smarttags" w:element="City">
          <w:r w:rsidR="0005072A" w:rsidRPr="00721D20">
            <w:rPr>
              <w:rFonts w:eastAsia="Calibri"/>
              <w:lang w:val="en-GB"/>
            </w:rPr>
            <w:t>San Diego</w:t>
          </w:r>
        </w:smartTag>
        <w:r w:rsidR="0005072A" w:rsidRPr="00721D20">
          <w:rPr>
            <w:rFonts w:eastAsia="Calibri"/>
            <w:lang w:val="en-GB"/>
          </w:rPr>
          <w:t xml:space="preserve">, </w:t>
        </w:r>
        <w:smartTag w:uri="urn:schemas-microsoft-com:office:smarttags" w:element="State">
          <w:r w:rsidR="0005072A" w:rsidRPr="00721D20">
            <w:rPr>
              <w:rFonts w:eastAsia="Calibri"/>
              <w:lang w:val="en-GB"/>
            </w:rPr>
            <w:t>California</w:t>
          </w:r>
        </w:smartTag>
        <w:r w:rsidR="0005072A" w:rsidRPr="00721D20">
          <w:rPr>
            <w:rFonts w:eastAsia="Calibri"/>
            <w:lang w:val="en-GB"/>
          </w:rPr>
          <w:t xml:space="preserve">, </w:t>
        </w:r>
        <w:smartTag w:uri="urn:schemas-microsoft-com:office:smarttags" w:element="country-region">
          <w:r w:rsidR="0005072A" w:rsidRPr="00721D20">
            <w:rPr>
              <w:rFonts w:eastAsia="Calibri"/>
              <w:lang w:val="en-GB"/>
            </w:rPr>
            <w:t>USA</w:t>
          </w:r>
        </w:smartTag>
      </w:smartTag>
      <w:r w:rsidR="0005072A" w:rsidRPr="00721D20">
        <w:rPr>
          <w:rFonts w:eastAsia="Calibri"/>
          <w:lang w:val="en-GB"/>
        </w:rPr>
        <w:t>)</w:t>
      </w:r>
      <w:r w:rsidR="0005072A" w:rsidRPr="00721D20">
        <w:rPr>
          <w:b/>
          <w:lang w:val="en-GB"/>
        </w:rPr>
        <w:t xml:space="preserve"> </w:t>
      </w:r>
      <w:r w:rsidR="0005072A" w:rsidRPr="00721D20">
        <w:rPr>
          <w:rFonts w:eastAsia="Calibri"/>
          <w:lang w:val="en-GB"/>
        </w:rPr>
        <w:t>using 150-bp paired-end reads.</w:t>
      </w:r>
    </w:p>
    <w:p w:rsidR="002B3721" w:rsidRPr="00C91CD9" w:rsidRDefault="002B3721" w:rsidP="002B3721">
      <w:pPr>
        <w:rPr>
          <w:i/>
          <w:u w:val="single"/>
          <w:lang w:val="en-GB"/>
        </w:rPr>
      </w:pPr>
      <w:r w:rsidRPr="00C91CD9">
        <w:rPr>
          <w:i/>
          <w:u w:val="single"/>
          <w:lang w:val="en-GB"/>
        </w:rPr>
        <w:t>Whole exome sequencing</w:t>
      </w:r>
    </w:p>
    <w:p w:rsidR="002B3721" w:rsidRDefault="002B3721" w:rsidP="002B3721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n-US"/>
        </w:rPr>
      </w:pPr>
      <w:r w:rsidRPr="00C91CD9">
        <w:rPr>
          <w:rFonts w:eastAsia="Calibri"/>
          <w:lang w:val="en-US"/>
        </w:rPr>
        <w:t>High quality genomic DNA</w:t>
      </w:r>
      <w:r w:rsidRPr="00C91CD9">
        <w:rPr>
          <w:lang w:val="en-US"/>
        </w:rPr>
        <w:t xml:space="preserve"> was sheared with a</w:t>
      </w:r>
      <w:r w:rsidRPr="00C91CD9">
        <w:rPr>
          <w:rFonts w:eastAsia="Calibri"/>
          <w:lang w:val="en-US"/>
        </w:rPr>
        <w:t xml:space="preserve"> Covaris E220 DNA Sonicator (Covaris, Inc., </w:t>
      </w:r>
      <w:smartTag w:uri="urn:schemas-microsoft-com:office:smarttags" w:element="place">
        <w:smartTag w:uri="urn:schemas-microsoft-com:office:smarttags" w:element="City">
          <w:r w:rsidRPr="00C91CD9">
            <w:rPr>
              <w:rFonts w:eastAsia="Calibri"/>
              <w:lang w:val="en-US"/>
            </w:rPr>
            <w:t>Woburn</w:t>
          </w:r>
        </w:smartTag>
        <w:r w:rsidRPr="00C91CD9">
          <w:rPr>
            <w:rFonts w:eastAsia="Calibri"/>
            <w:lang w:val="en-US"/>
          </w:rPr>
          <w:t xml:space="preserve">, </w:t>
        </w:r>
        <w:smartTag w:uri="urn:schemas-microsoft-com:office:smarttags" w:element="State">
          <w:r w:rsidRPr="00C91CD9">
            <w:rPr>
              <w:rFonts w:eastAsia="Calibri"/>
              <w:lang w:val="en-US"/>
            </w:rPr>
            <w:t>MA</w:t>
          </w:r>
        </w:smartTag>
        <w:r w:rsidRPr="00C91CD9">
          <w:rPr>
            <w:rFonts w:eastAsia="Calibri"/>
            <w:lang w:val="en-US"/>
          </w:rPr>
          <w:t xml:space="preserve">, </w:t>
        </w:r>
        <w:smartTag w:uri="urn:schemas-microsoft-com:office:smarttags" w:element="country-region">
          <w:r w:rsidRPr="00C91CD9">
            <w:rPr>
              <w:rFonts w:eastAsia="Calibri"/>
              <w:lang w:val="en-US"/>
            </w:rPr>
            <w:t>USA</w:t>
          </w:r>
        </w:smartTag>
      </w:smartTag>
      <w:r w:rsidRPr="00C91CD9">
        <w:rPr>
          <w:rFonts w:eastAsia="Calibri"/>
          <w:lang w:val="en-US"/>
        </w:rPr>
        <w:t>), coding regions and intron-exon boundaries were captured using a SureSelectXT Human All Exon V7 kit (Agilent Technologies) according to the manufacturer’s instructions. The enriched libraries were sequenced on a NextSeq500 system (Illumina) with 2x75 bp paired-end reads</w:t>
      </w:r>
    </w:p>
    <w:p w:rsidR="0005072A" w:rsidRDefault="00683197" w:rsidP="0005072A">
      <w:pPr>
        <w:autoSpaceDE w:val="0"/>
        <w:autoSpaceDN w:val="0"/>
        <w:adjustRightInd w:val="0"/>
        <w:spacing w:line="360" w:lineRule="auto"/>
        <w:rPr>
          <w:rFonts w:eastAsia="Calibri"/>
          <w:i/>
          <w:u w:val="single"/>
          <w:lang w:val="en-GB"/>
        </w:rPr>
      </w:pPr>
      <w:r>
        <w:rPr>
          <w:rFonts w:eastAsia="Calibri"/>
          <w:i/>
          <w:u w:val="single"/>
          <w:lang w:val="en-GB"/>
        </w:rPr>
        <w:t xml:space="preserve">Panel and Exome </w:t>
      </w:r>
      <w:r w:rsidR="0005072A" w:rsidRPr="00721D20">
        <w:rPr>
          <w:rFonts w:eastAsia="Calibri"/>
          <w:i/>
          <w:u w:val="single"/>
          <w:lang w:val="en-GB"/>
        </w:rPr>
        <w:t>Variant analysis and prioritization</w:t>
      </w:r>
    </w:p>
    <w:p w:rsidR="0005072A" w:rsidRDefault="0001031A" w:rsidP="002B3721">
      <w:pPr>
        <w:autoSpaceDE w:val="0"/>
        <w:autoSpaceDN w:val="0"/>
        <w:adjustRightInd w:val="0"/>
        <w:spacing w:line="360" w:lineRule="auto"/>
        <w:jc w:val="both"/>
        <w:rPr>
          <w:b/>
          <w:lang w:val="en-GB"/>
        </w:rPr>
      </w:pPr>
      <w:r w:rsidRPr="00C91CD9">
        <w:rPr>
          <w:rFonts w:eastAsia="Calibri"/>
          <w:iCs/>
          <w:lang w:val="en-US"/>
        </w:rPr>
        <w:t xml:space="preserve">Output paired-end sequencing data were processed for the detection of SNVs (single nucleotide variant), indels and CNV (copy number variation), through a double bioinformatics pipeline. (i) </w:t>
      </w:r>
      <w:proofErr w:type="gramStart"/>
      <w:r w:rsidRPr="00C91CD9">
        <w:rPr>
          <w:rFonts w:eastAsia="Calibri"/>
          <w:iCs/>
          <w:lang w:val="en-US"/>
        </w:rPr>
        <w:t>the</w:t>
      </w:r>
      <w:proofErr w:type="gramEnd"/>
      <w:r w:rsidRPr="00C91CD9">
        <w:rPr>
          <w:rFonts w:eastAsia="Calibri"/>
          <w:iCs/>
          <w:lang w:val="en-US"/>
        </w:rPr>
        <w:t xml:space="preserve"> bcl2fastq conversion software (Illumina, v2.20) was used for reads demultiplexing and generation of Fastq files. Sequenced reads were mapped to the human reference sequence (GRCh37, Hg19) using the Burrows-Wheeler Aligner (BWA v.0.7.17). Read duplicates were marked with Picard tools (v2.18.0), local realignments around indels, base-quality-score recalibration and variant calling were performed with the Genome Analysis Toolkit (GATK 4.0.6.0).  Single-nucleotide variants and small indels were identified with the GATK HaplotypeCaller (v4.0.6.0), VarScan2 (v2.4.3) and Vardict (v1.5.1). Variants were then annotated with SnpEff (v.4.2) and Alamut-batch (v.1.12). (ii) In the the second pipeline, large-scale rearrangements and the related CNVs were detected </w:t>
      </w:r>
      <w:r w:rsidRPr="00003EB5">
        <w:rPr>
          <w:rFonts w:eastAsia="Calibri"/>
          <w:iCs/>
          <w:lang w:val="en-US"/>
        </w:rPr>
        <w:t>using t</w:t>
      </w:r>
      <w:r w:rsidR="00732D2E" w:rsidRPr="00003EB5">
        <w:rPr>
          <w:rFonts w:eastAsia="Calibri"/>
          <w:iCs/>
          <w:lang w:val="en-US"/>
        </w:rPr>
        <w:t xml:space="preserve">he CANOES </w:t>
      </w:r>
      <w:r w:rsidR="00A051A2" w:rsidRPr="006D1BCE">
        <w:rPr>
          <w:rFonts w:eastAsia="Calibri"/>
          <w:iCs/>
          <w:lang w:val="en-US"/>
        </w:rPr>
        <w:t xml:space="preserve">software </w:t>
      </w:r>
      <w:r w:rsidR="009C0653">
        <w:rPr>
          <w:rFonts w:eastAsia="Calibri"/>
          <w:iCs/>
          <w:lang w:val="en-US"/>
        </w:rPr>
        <w:t>[1]</w:t>
      </w:r>
      <w:r w:rsidR="00FE771A" w:rsidRPr="006D1BCE">
        <w:rPr>
          <w:rFonts w:eastAsia="Calibri"/>
          <w:iCs/>
          <w:lang w:val="en-US"/>
        </w:rPr>
        <w:t>.</w:t>
      </w:r>
      <w:r w:rsidR="002B3721" w:rsidRPr="002B3721">
        <w:rPr>
          <w:rFonts w:eastAsia="Calibri"/>
          <w:iCs/>
          <w:lang w:val="en-US"/>
        </w:rPr>
        <w:t xml:space="preserve"> </w:t>
      </w:r>
      <w:r w:rsidR="0005072A" w:rsidRPr="002B3721">
        <w:rPr>
          <w:lang w:val="en-GB"/>
        </w:rPr>
        <w:t>Variants with a minor allele frequency (MAF) of less than 1% in available were visualized on Alamut Visual software (Interactive Biosoftware) and classified in 5 classes from 1-benign to 5-pathogenic, based on MAF, predicted effect on protein, predicted effect on splicing, databases of pathogenic variations, according to ACMG recommendations.</w:t>
      </w:r>
      <w:r w:rsidR="0005072A" w:rsidRPr="00721D20">
        <w:rPr>
          <w:b/>
          <w:lang w:val="en-GB"/>
        </w:rPr>
        <w:t xml:space="preserve"> </w:t>
      </w:r>
    </w:p>
    <w:p w:rsidR="00DE1AEF" w:rsidRPr="00721D20" w:rsidRDefault="00DE1AEF" w:rsidP="00DE1AEF">
      <w:pPr>
        <w:autoSpaceDE w:val="0"/>
        <w:autoSpaceDN w:val="0"/>
        <w:adjustRightInd w:val="0"/>
        <w:spacing w:line="360" w:lineRule="auto"/>
        <w:rPr>
          <w:rFonts w:eastAsia="Calibri"/>
          <w:i/>
          <w:u w:val="single"/>
          <w:lang w:val="en-GB"/>
        </w:rPr>
      </w:pPr>
      <w:r w:rsidRPr="00721D20">
        <w:rPr>
          <w:rFonts w:eastAsia="Calibri"/>
          <w:i/>
          <w:u w:val="single"/>
          <w:lang w:val="en-GB"/>
        </w:rPr>
        <w:t>Sanger Dideoxy Terminator Sequencing</w:t>
      </w:r>
    </w:p>
    <w:p w:rsidR="00DE1AEF" w:rsidRDefault="0030524E" w:rsidP="00146F8F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n-GB"/>
        </w:rPr>
      </w:pPr>
      <w:r w:rsidRPr="00FB7604">
        <w:rPr>
          <w:color w:val="0033CC"/>
          <w:lang w:val="en-GB"/>
        </w:rPr>
        <w:t>The indel variant in exon 22</w:t>
      </w:r>
      <w:r w:rsidRPr="00FB7604">
        <w:rPr>
          <w:lang w:val="en-GB"/>
        </w:rPr>
        <w:t xml:space="preserve"> was</w:t>
      </w:r>
      <w:r w:rsidR="00DE1AEF" w:rsidRPr="00721D20">
        <w:rPr>
          <w:lang w:val="en-GB"/>
        </w:rPr>
        <w:t xml:space="preserve"> confirmed by Sanger sequencing in probands and segregation analysis was performed in asymptomatic parents (primers available upon request).</w:t>
      </w:r>
      <w:r w:rsidR="00DE1AEF" w:rsidRPr="00721D20">
        <w:rPr>
          <w:rFonts w:eastAsia="Calibri"/>
          <w:lang w:val="en-GB"/>
        </w:rPr>
        <w:t xml:space="preserve"> Sequencing products were resolved on an ABI3130xl capillary sequencing instrument (Applied Biosystems, </w:t>
      </w:r>
      <w:smartTag w:uri="urn:schemas-microsoft-com:office:smarttags" w:element="place">
        <w:smartTag w:uri="urn:schemas-microsoft-com:office:smarttags" w:element="City">
          <w:r w:rsidR="00DE1AEF" w:rsidRPr="00721D20">
            <w:rPr>
              <w:rFonts w:eastAsia="Calibri"/>
              <w:lang w:val="en-GB"/>
            </w:rPr>
            <w:t>Courtaboeuf</w:t>
          </w:r>
        </w:smartTag>
        <w:r w:rsidR="00DE1AEF" w:rsidRPr="00721D20">
          <w:rPr>
            <w:rFonts w:eastAsia="Calibri"/>
            <w:lang w:val="en-GB"/>
          </w:rPr>
          <w:t xml:space="preserve">, </w:t>
        </w:r>
        <w:smartTag w:uri="urn:schemas-microsoft-com:office:smarttags" w:element="country-region">
          <w:r w:rsidR="00DE1AEF" w:rsidRPr="00721D20">
            <w:rPr>
              <w:rFonts w:eastAsia="Calibri"/>
              <w:lang w:val="en-GB"/>
            </w:rPr>
            <w:t>France</w:t>
          </w:r>
        </w:smartTag>
      </w:smartTag>
      <w:r w:rsidR="00DE1AEF" w:rsidRPr="00721D20">
        <w:rPr>
          <w:rFonts w:eastAsia="Calibri"/>
          <w:lang w:val="en-GB"/>
        </w:rPr>
        <w:t xml:space="preserve">). </w:t>
      </w:r>
    </w:p>
    <w:p w:rsidR="0001031A" w:rsidRPr="006E0744" w:rsidRDefault="006E0744" w:rsidP="00146F8F">
      <w:pPr>
        <w:spacing w:line="360" w:lineRule="auto"/>
        <w:jc w:val="both"/>
        <w:rPr>
          <w:rFonts w:eastAsia="Calibri"/>
          <w:i/>
          <w:iCs/>
          <w:u w:val="single"/>
          <w:lang w:val="en-US"/>
        </w:rPr>
      </w:pPr>
      <w:r w:rsidRPr="006E0744">
        <w:rPr>
          <w:i/>
          <w:u w:val="single"/>
          <w:lang w:val="en-US"/>
        </w:rPr>
        <w:t>Digital Droplet PCR (ddPCR)</w:t>
      </w:r>
      <w:r w:rsidRPr="006E0744">
        <w:rPr>
          <w:u w:val="single"/>
          <w:lang w:val="en-US"/>
        </w:rPr>
        <w:t xml:space="preserve"> </w:t>
      </w:r>
    </w:p>
    <w:p w:rsidR="006E0744" w:rsidRDefault="006E0744" w:rsidP="006E0744">
      <w:pPr>
        <w:spacing w:line="360" w:lineRule="auto"/>
        <w:jc w:val="both"/>
        <w:rPr>
          <w:rStyle w:val="Strong"/>
          <w:b w:val="0"/>
          <w:bCs/>
          <w:lang w:val="en-US"/>
        </w:rPr>
      </w:pPr>
      <w:r w:rsidRPr="006E0744">
        <w:rPr>
          <w:rStyle w:val="Strong"/>
          <w:b w:val="0"/>
          <w:bCs/>
          <w:lang w:val="en-US"/>
        </w:rPr>
        <w:t xml:space="preserve">Universal ddPCR assay for relative was performed in the QX200 plateform (Biorad) as already </w:t>
      </w:r>
      <w:r w:rsidRPr="006D1BCE">
        <w:rPr>
          <w:rStyle w:val="Strong"/>
          <w:b w:val="0"/>
          <w:bCs/>
          <w:lang w:val="en-US"/>
        </w:rPr>
        <w:t xml:space="preserve">described </w:t>
      </w:r>
      <w:r w:rsidR="009C0653">
        <w:rPr>
          <w:rStyle w:val="Strong"/>
          <w:b w:val="0"/>
          <w:bCs/>
          <w:lang w:val="en-US"/>
        </w:rPr>
        <w:t>[2]</w:t>
      </w:r>
      <w:r w:rsidRPr="006D1BCE">
        <w:rPr>
          <w:rStyle w:val="Strong"/>
          <w:b w:val="0"/>
          <w:bCs/>
          <w:lang w:val="en-US"/>
        </w:rPr>
        <w:t>.</w:t>
      </w:r>
      <w:r w:rsidRPr="006E0744">
        <w:rPr>
          <w:rStyle w:val="Strong"/>
          <w:b w:val="0"/>
          <w:bCs/>
          <w:lang w:val="en-US"/>
        </w:rPr>
        <w:t xml:space="preserve"> Target region into the CCDC88C gene exon 23 was amplified using the </w:t>
      </w:r>
      <w:r w:rsidRPr="006E0744">
        <w:rPr>
          <w:rStyle w:val="Strong"/>
          <w:b w:val="0"/>
          <w:bCs/>
          <w:lang w:val="en-US"/>
        </w:rPr>
        <w:lastRenderedPageBreak/>
        <w:t>forward (5’- TGGTACTGCTCCTTGTTCTCC-</w:t>
      </w:r>
      <w:smartTag w:uri="urn:schemas-microsoft-com:office:smarttags" w:element="metricconverter">
        <w:smartTagPr>
          <w:attr w:name="ProductID" w:val="3’"/>
        </w:smartTagPr>
        <w:r w:rsidRPr="006E0744">
          <w:rPr>
            <w:rStyle w:val="Strong"/>
            <w:b w:val="0"/>
            <w:bCs/>
            <w:lang w:val="en-US"/>
          </w:rPr>
          <w:t>3’</w:t>
        </w:r>
      </w:smartTag>
      <w:r w:rsidRPr="006E0744">
        <w:rPr>
          <w:rStyle w:val="Strong"/>
          <w:b w:val="0"/>
          <w:bCs/>
          <w:lang w:val="en-US"/>
        </w:rPr>
        <w:t xml:space="preserve">) and the reverse (5’- AGCCAGATCCAGCTGTTGAG </w:t>
      </w:r>
      <w:smartTag w:uri="urn:schemas-microsoft-com:office:smarttags" w:element="metricconverter">
        <w:smartTagPr>
          <w:attr w:name="ProductID" w:val="-3’"/>
        </w:smartTagPr>
        <w:r w:rsidRPr="006E0744">
          <w:rPr>
            <w:rStyle w:val="Strong"/>
            <w:b w:val="0"/>
            <w:bCs/>
            <w:lang w:val="en-US"/>
          </w:rPr>
          <w:t>-3’</w:t>
        </w:r>
      </w:smartTag>
      <w:r w:rsidRPr="006E0744">
        <w:rPr>
          <w:rStyle w:val="Strong"/>
          <w:b w:val="0"/>
          <w:bCs/>
          <w:lang w:val="en-US"/>
        </w:rPr>
        <w:t>) primer associated with the UPL50 FAM labelled LNA probe (</w:t>
      </w:r>
      <w:smartTag w:uri="urn:schemas-microsoft-com:office:smarttags" w:element="place">
        <w:smartTag w:uri="urn:schemas-microsoft-com:office:smarttags" w:element="City">
          <w:r w:rsidRPr="006E0744">
            <w:rPr>
              <w:rStyle w:val="Strong"/>
              <w:b w:val="0"/>
              <w:bCs/>
              <w:lang w:val="en-US"/>
            </w:rPr>
            <w:t>Roche Diagnostics</w:t>
          </w:r>
        </w:smartTag>
        <w:r w:rsidRPr="006E0744">
          <w:rPr>
            <w:rStyle w:val="Strong"/>
            <w:b w:val="0"/>
            <w:bCs/>
            <w:lang w:val="en-US"/>
          </w:rPr>
          <w:t xml:space="preserve">, </w:t>
        </w:r>
        <w:smartTag w:uri="urn:schemas-microsoft-com:office:smarttags" w:element="country-region">
          <w:r w:rsidRPr="006E0744">
            <w:rPr>
              <w:rStyle w:val="Strong"/>
              <w:b w:val="0"/>
              <w:bCs/>
              <w:lang w:val="en-US"/>
            </w:rPr>
            <w:t>USA</w:t>
          </w:r>
        </w:smartTag>
      </w:smartTag>
      <w:r w:rsidRPr="006E0744">
        <w:rPr>
          <w:rStyle w:val="Strong"/>
          <w:b w:val="0"/>
          <w:bCs/>
          <w:lang w:val="en-US"/>
        </w:rPr>
        <w:t>). Reference region, in the housekeeping gene HMBS (11q23), was amplified using the forward (5’-GGGACAGTGTACCCAAGGTC-</w:t>
      </w:r>
      <w:smartTag w:uri="urn:schemas-microsoft-com:office:smarttags" w:element="metricconverter">
        <w:smartTagPr>
          <w:attr w:name="ProductID" w:val="3’"/>
        </w:smartTagPr>
        <w:r w:rsidRPr="006E0744">
          <w:rPr>
            <w:rStyle w:val="Strong"/>
            <w:b w:val="0"/>
            <w:bCs/>
            <w:lang w:val="en-US"/>
          </w:rPr>
          <w:t>3’</w:t>
        </w:r>
      </w:smartTag>
      <w:r w:rsidRPr="006E0744">
        <w:rPr>
          <w:rStyle w:val="Strong"/>
          <w:b w:val="0"/>
          <w:bCs/>
          <w:lang w:val="en-US"/>
        </w:rPr>
        <w:t>) and the reverse (5’-CTGAGGTAAACGGATCTGACG-</w:t>
      </w:r>
      <w:smartTag w:uri="urn:schemas-microsoft-com:office:smarttags" w:element="metricconverter">
        <w:smartTagPr>
          <w:attr w:name="ProductID" w:val="3’"/>
        </w:smartTagPr>
        <w:r w:rsidRPr="006E0744">
          <w:rPr>
            <w:rStyle w:val="Strong"/>
            <w:b w:val="0"/>
            <w:bCs/>
            <w:lang w:val="en-US"/>
          </w:rPr>
          <w:t>3’</w:t>
        </w:r>
      </w:smartTag>
      <w:r w:rsidRPr="006E0744">
        <w:rPr>
          <w:rStyle w:val="Strong"/>
          <w:b w:val="0"/>
          <w:bCs/>
          <w:lang w:val="en-US"/>
        </w:rPr>
        <w:t>) primer associated with a 20 base VIC labelled hydrolysis probe (5’-CCAAGAGGCTGAGGCTGAGCAGGACT-</w:t>
      </w:r>
      <w:smartTag w:uri="urn:schemas-microsoft-com:office:smarttags" w:element="metricconverter">
        <w:smartTagPr>
          <w:attr w:name="ProductID" w:val="3’"/>
        </w:smartTagPr>
        <w:r w:rsidRPr="006E0744">
          <w:rPr>
            <w:rStyle w:val="Strong"/>
            <w:b w:val="0"/>
            <w:bCs/>
            <w:lang w:val="en-US"/>
          </w:rPr>
          <w:t>3’</w:t>
        </w:r>
      </w:smartTag>
      <w:r w:rsidRPr="006E0744">
        <w:rPr>
          <w:rStyle w:val="Strong"/>
          <w:b w:val="0"/>
          <w:bCs/>
          <w:lang w:val="en-US"/>
        </w:rPr>
        <w:t>).</w:t>
      </w:r>
      <w:r w:rsidRPr="00C60E66">
        <w:rPr>
          <w:rStyle w:val="Strong"/>
          <w:b w:val="0"/>
          <w:bCs/>
          <w:lang w:val="en-US"/>
        </w:rPr>
        <w:t xml:space="preserve"> </w:t>
      </w:r>
    </w:p>
    <w:p w:rsidR="0005072A" w:rsidRPr="00721D20" w:rsidRDefault="0005072A" w:rsidP="006E0744">
      <w:pPr>
        <w:spacing w:line="360" w:lineRule="auto"/>
        <w:jc w:val="both"/>
        <w:rPr>
          <w:i/>
          <w:u w:val="single"/>
          <w:lang w:val="en-GB"/>
        </w:rPr>
      </w:pPr>
      <w:r w:rsidRPr="00721D20">
        <w:rPr>
          <w:i/>
          <w:u w:val="single"/>
          <w:lang w:val="en-GB"/>
        </w:rPr>
        <w:t>Bioinformatic Resources</w:t>
      </w:r>
    </w:p>
    <w:p w:rsidR="0005072A" w:rsidRPr="00721D20" w:rsidRDefault="0005072A" w:rsidP="0005072A">
      <w:pPr>
        <w:spacing w:line="360" w:lineRule="auto"/>
        <w:jc w:val="both"/>
        <w:rPr>
          <w:lang w:val="en-GB"/>
        </w:rPr>
      </w:pPr>
      <w:r w:rsidRPr="00721D20">
        <w:rPr>
          <w:rFonts w:eastAsia="Calibri"/>
          <w:lang w:val="en-GB"/>
        </w:rPr>
        <w:t>Pri</w:t>
      </w:r>
      <w:r w:rsidR="00BE48DF">
        <w:rPr>
          <w:rFonts w:eastAsia="Calibri"/>
          <w:lang w:val="en-GB"/>
        </w:rPr>
        <w:t xml:space="preserve">mers for Sanger sequencing were </w:t>
      </w:r>
      <w:r w:rsidRPr="00721D20">
        <w:rPr>
          <w:rFonts w:eastAsia="Calibri"/>
          <w:lang w:val="en-GB"/>
        </w:rPr>
        <w:t>designed with Primer3 software</w:t>
      </w:r>
      <w:r w:rsidRPr="00721D20">
        <w:rPr>
          <w:lang w:val="en-GB"/>
        </w:rPr>
        <w:t xml:space="preserve"> (</w:t>
      </w:r>
      <w:hyperlink r:id="rId4" w:history="1">
        <w:r w:rsidRPr="00721D20">
          <w:rPr>
            <w:rStyle w:val="Hyperlink"/>
            <w:lang w:val="en-GB"/>
          </w:rPr>
          <w:t>http://bioinfo.ut.ee/primer3-0.4.0/</w:t>
        </w:r>
      </w:hyperlink>
      <w:r w:rsidRPr="00721D20">
        <w:rPr>
          <w:lang w:val="en-GB"/>
        </w:rPr>
        <w:t>). MAF was obtained on ExAC database (</w:t>
      </w:r>
      <w:hyperlink r:id="rId5" w:history="1">
        <w:r w:rsidRPr="00721D20">
          <w:rPr>
            <w:rStyle w:val="Hyperlink"/>
            <w:lang w:val="en-GB"/>
          </w:rPr>
          <w:t>http://exac.broadinstitute.org/</w:t>
        </w:r>
      </w:hyperlink>
      <w:r w:rsidRPr="00721D20">
        <w:rPr>
          <w:lang w:val="en-GB"/>
        </w:rPr>
        <w:t>), EVS (</w:t>
      </w:r>
      <w:hyperlink r:id="rId6" w:history="1">
        <w:r w:rsidRPr="00721D20">
          <w:rPr>
            <w:rStyle w:val="Hyperlink"/>
            <w:lang w:val="en-GB"/>
          </w:rPr>
          <w:t>http://evs.gs.washington.edu/EVS/</w:t>
        </w:r>
      </w:hyperlink>
      <w:r w:rsidRPr="00721D20">
        <w:rPr>
          <w:lang w:val="en-GB"/>
        </w:rPr>
        <w:t>)</w:t>
      </w:r>
      <w:r w:rsidR="00E2610B">
        <w:rPr>
          <w:lang w:val="en-GB"/>
        </w:rPr>
        <w:t xml:space="preserve">, </w:t>
      </w:r>
      <w:r w:rsidR="00E2610B" w:rsidRPr="00C91CD9">
        <w:rPr>
          <w:lang w:val="en-GB"/>
        </w:rPr>
        <w:t>gnomAD (https://gnomad.broadinstitute.org/)</w:t>
      </w:r>
      <w:r w:rsidRPr="00721D20">
        <w:rPr>
          <w:lang w:val="en-GB"/>
        </w:rPr>
        <w:t xml:space="preserve"> and 1000 genomes (</w:t>
      </w:r>
      <w:hyperlink r:id="rId7" w:history="1">
        <w:r w:rsidRPr="00721D20">
          <w:rPr>
            <w:rStyle w:val="Hyperlink"/>
            <w:lang w:val="en-GB"/>
          </w:rPr>
          <w:t>http://www.1000genomes.org/</w:t>
        </w:r>
      </w:hyperlink>
      <w:r w:rsidRPr="00721D20">
        <w:rPr>
          <w:lang w:val="en-GB"/>
        </w:rPr>
        <w:t>). Two databases of pathogenic variations, HGMD (</w:t>
      </w:r>
      <w:hyperlink r:id="rId8" w:history="1">
        <w:r w:rsidRPr="00721D20">
          <w:rPr>
            <w:rStyle w:val="Hyperlink"/>
            <w:lang w:val="en-GB"/>
          </w:rPr>
          <w:t>http://www.hgmd.cf.ac.uk/ac/index.php</w:t>
        </w:r>
      </w:hyperlink>
      <w:r w:rsidRPr="00721D20">
        <w:rPr>
          <w:lang w:val="en-GB"/>
        </w:rPr>
        <w:t>) and ClinVar (</w:t>
      </w:r>
      <w:hyperlink r:id="rId9" w:history="1">
        <w:r w:rsidRPr="00721D20">
          <w:rPr>
            <w:rStyle w:val="Hyperlink"/>
            <w:lang w:val="en-GB"/>
          </w:rPr>
          <w:t>http://www.ncbi.nlm.nih.gov/clinvar/</w:t>
        </w:r>
      </w:hyperlink>
      <w:r w:rsidRPr="00721D20">
        <w:rPr>
          <w:lang w:val="en-GB"/>
        </w:rPr>
        <w:t xml:space="preserve">), were consulted. </w:t>
      </w:r>
    </w:p>
    <w:p w:rsidR="00582BA8" w:rsidRDefault="00582BA8">
      <w:pPr>
        <w:rPr>
          <w:lang w:val="en-GB"/>
        </w:rPr>
      </w:pPr>
    </w:p>
    <w:p w:rsidR="006E0744" w:rsidRDefault="006E0744">
      <w:pPr>
        <w:rPr>
          <w:b/>
          <w:lang w:val="en-GB"/>
        </w:rPr>
      </w:pPr>
    </w:p>
    <w:p w:rsidR="00A36F1A" w:rsidRPr="00A36F1A" w:rsidRDefault="00A36F1A">
      <w:pPr>
        <w:rPr>
          <w:b/>
          <w:lang w:val="en-GB"/>
        </w:rPr>
      </w:pPr>
      <w:r w:rsidRPr="00A36F1A">
        <w:rPr>
          <w:b/>
          <w:lang w:val="en-GB"/>
        </w:rPr>
        <w:t>Supplementary references</w:t>
      </w:r>
    </w:p>
    <w:p w:rsidR="00A36F1A" w:rsidRDefault="00A36F1A">
      <w:pPr>
        <w:rPr>
          <w:lang w:val="en-GB"/>
        </w:rPr>
      </w:pPr>
    </w:p>
    <w:p w:rsidR="00A5400D" w:rsidRPr="00A5400D" w:rsidRDefault="009C0653" w:rsidP="00A5400D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1. </w:t>
      </w:r>
      <w:r w:rsidR="00A5400D" w:rsidRPr="00A5400D">
        <w:rPr>
          <w:lang w:val="en-GB"/>
        </w:rPr>
        <w:t xml:space="preserve">Backenroth D, Homsy J, Murillo LR, Glessner J, Lin E, Brueckner M, </w:t>
      </w:r>
      <w:r w:rsidR="00A5400D">
        <w:rPr>
          <w:lang w:val="en-GB"/>
        </w:rPr>
        <w:t>et al (2014)</w:t>
      </w:r>
      <w:r w:rsidR="00A5400D" w:rsidRPr="00A5400D">
        <w:rPr>
          <w:lang w:val="en-GB"/>
        </w:rPr>
        <w:t xml:space="preserve"> CANOES: detecting rare copy number variants from whole exome sequencing data. Nucleic Acids Res.</w:t>
      </w:r>
      <w:r w:rsidR="00A5400D">
        <w:rPr>
          <w:lang w:val="en-GB"/>
        </w:rPr>
        <w:t xml:space="preserve"> </w:t>
      </w:r>
      <w:r w:rsidR="00A5400D" w:rsidRPr="00A5400D">
        <w:rPr>
          <w:lang w:val="en-GB"/>
        </w:rPr>
        <w:t xml:space="preserve">doi: 10.1093/nar/gku345. </w:t>
      </w:r>
    </w:p>
    <w:p w:rsidR="00A5400D" w:rsidRPr="00A5400D" w:rsidRDefault="009C0653" w:rsidP="00A5400D">
      <w:pPr>
        <w:spacing w:line="360" w:lineRule="auto"/>
        <w:jc w:val="both"/>
        <w:rPr>
          <w:lang w:val="en-GB"/>
        </w:rPr>
      </w:pPr>
      <w:r w:rsidRPr="00A5400D">
        <w:rPr>
          <w:lang w:val="en-GB"/>
        </w:rPr>
        <w:t xml:space="preserve">2. </w:t>
      </w:r>
      <w:r w:rsidR="00A5400D" w:rsidRPr="00A5400D">
        <w:rPr>
          <w:lang w:val="en-GB"/>
        </w:rPr>
        <w:t xml:space="preserve">Cassinari K, Quenez O, Joly-Hélas G, Beaussire L, Le Meur N, Castelain M, </w:t>
      </w:r>
      <w:r w:rsidR="00A5400D">
        <w:rPr>
          <w:lang w:val="en-GB"/>
        </w:rPr>
        <w:t>et al (2019)</w:t>
      </w:r>
      <w:r w:rsidR="00A5400D" w:rsidRPr="00A5400D">
        <w:rPr>
          <w:lang w:val="en-GB"/>
        </w:rPr>
        <w:t xml:space="preserve"> A Simple, Universal, and Cost-Efficient Digital PCR Method for the Targeted Analysis of Copy Number Variations. </w:t>
      </w:r>
      <w:r w:rsidR="00A5400D">
        <w:rPr>
          <w:lang w:val="en-GB"/>
        </w:rPr>
        <w:t xml:space="preserve">Clin Chem. </w:t>
      </w:r>
      <w:r w:rsidR="00A5400D" w:rsidRPr="00A5400D">
        <w:rPr>
          <w:lang w:val="en-GB"/>
        </w:rPr>
        <w:t xml:space="preserve">doi: 10.1373/clinchem.2019.304246. </w:t>
      </w:r>
    </w:p>
    <w:p w:rsidR="009C0653" w:rsidRPr="00A5400D" w:rsidRDefault="009C0653" w:rsidP="009C0653">
      <w:pPr>
        <w:widowControl w:val="0"/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 w:rsidRPr="00A5400D">
        <w:rPr>
          <w:lang w:val="en-US"/>
        </w:rPr>
        <w:t>3. Feess-Higgins A, Larroche JC</w:t>
      </w:r>
      <w:r w:rsidR="00A5400D" w:rsidRPr="00A5400D">
        <w:rPr>
          <w:lang w:val="en-GB"/>
        </w:rPr>
        <w:t xml:space="preserve"> (1987)</w:t>
      </w:r>
      <w:r w:rsidRPr="00A5400D">
        <w:rPr>
          <w:lang w:val="en-US"/>
        </w:rPr>
        <w:t xml:space="preserve"> Development of the human fetal brain. </w:t>
      </w:r>
      <w:smartTag w:uri="urn:schemas-microsoft-com:office:smarttags" w:element="place">
        <w:smartTag w:uri="urn:schemas-microsoft-com:office:smarttags" w:element="City">
          <w:r w:rsidRPr="00A5400D">
            <w:rPr>
              <w:lang w:val="en-GB"/>
            </w:rPr>
            <w:t>Paris</w:t>
          </w:r>
        </w:smartTag>
      </w:smartTag>
      <w:r w:rsidRPr="00A5400D">
        <w:rPr>
          <w:lang w:val="en-GB"/>
        </w:rPr>
        <w:t>:</w:t>
      </w:r>
      <w:r w:rsidRPr="00A5400D">
        <w:rPr>
          <w:lang w:val="en-US"/>
        </w:rPr>
        <w:t xml:space="preserve"> </w:t>
      </w:r>
      <w:r w:rsidRPr="00A5400D">
        <w:rPr>
          <w:lang w:val="en-GB"/>
        </w:rPr>
        <w:t xml:space="preserve">(Masson </w:t>
      </w:r>
      <w:proofErr w:type="gramStart"/>
      <w:r w:rsidRPr="00A5400D">
        <w:rPr>
          <w:lang w:val="en-GB"/>
        </w:rPr>
        <w:t>eds</w:t>
      </w:r>
      <w:proofErr w:type="gramEnd"/>
      <w:r w:rsidRPr="00A5400D">
        <w:rPr>
          <w:lang w:val="en-GB"/>
        </w:rPr>
        <w:t>) INSERM CNRS.</w:t>
      </w:r>
    </w:p>
    <w:p w:rsidR="009C0653" w:rsidRDefault="009C0653" w:rsidP="00A5400D">
      <w:pPr>
        <w:spacing w:line="360" w:lineRule="auto"/>
        <w:jc w:val="both"/>
        <w:rPr>
          <w:lang w:val="en-GB"/>
        </w:rPr>
      </w:pPr>
      <w:r>
        <w:rPr>
          <w:lang w:val="en-US"/>
        </w:rPr>
        <w:t xml:space="preserve">4. </w:t>
      </w:r>
      <w:r w:rsidR="00A5400D">
        <w:rPr>
          <w:lang w:val="en-GB"/>
        </w:rPr>
        <w:t xml:space="preserve">Guihard-Costa AM, Larroche JC (1990) </w:t>
      </w:r>
      <w:r w:rsidR="00A5400D" w:rsidRPr="00A5400D">
        <w:rPr>
          <w:lang w:val="en-GB"/>
        </w:rPr>
        <w:t xml:space="preserve">Differential growth between the fetal brain and its infratentorial part. Early Hum Dev. doi: 10.1016/0378-3782(90)90126-4. </w:t>
      </w:r>
    </w:p>
    <w:p w:rsidR="00A5400D" w:rsidRPr="00A5400D" w:rsidRDefault="009C0653" w:rsidP="00A5400D">
      <w:pPr>
        <w:spacing w:line="360" w:lineRule="auto"/>
        <w:jc w:val="both"/>
        <w:rPr>
          <w:lang w:val="en-GB"/>
        </w:rPr>
      </w:pPr>
      <w:r>
        <w:rPr>
          <w:lang w:val="en-GB"/>
        </w:rPr>
        <w:t>5</w:t>
      </w:r>
      <w:r w:rsidR="00D722BA">
        <w:rPr>
          <w:lang w:val="en-GB"/>
        </w:rPr>
        <w:t>.</w:t>
      </w:r>
      <w:r w:rsidR="00123DB3">
        <w:rPr>
          <w:lang w:val="en-GB"/>
        </w:rPr>
        <w:t xml:space="preserve"> </w:t>
      </w:r>
      <w:r w:rsidR="00A5400D" w:rsidRPr="00A5400D">
        <w:rPr>
          <w:lang w:val="en-GB"/>
        </w:rPr>
        <w:t>Guihard-</w:t>
      </w:r>
      <w:r w:rsidR="00A5400D">
        <w:rPr>
          <w:lang w:val="en-GB"/>
        </w:rPr>
        <w:t>Costa AM, Ménez F, Delezoide AL (2002)</w:t>
      </w:r>
      <w:r w:rsidR="00A5400D" w:rsidRPr="00A5400D">
        <w:rPr>
          <w:lang w:val="en-GB"/>
        </w:rPr>
        <w:t xml:space="preserve"> Organ weights in human fetuses after formalin fixation: standards by gestational age and body weight. Pediatr Dev Pathol. </w:t>
      </w:r>
      <w:proofErr w:type="gramStart"/>
      <w:r w:rsidR="00A5400D" w:rsidRPr="00A5400D">
        <w:rPr>
          <w:lang w:val="en-GB"/>
        </w:rPr>
        <w:t>doi</w:t>
      </w:r>
      <w:proofErr w:type="gramEnd"/>
      <w:r w:rsidR="00A5400D" w:rsidRPr="00A5400D">
        <w:rPr>
          <w:lang w:val="en-GB"/>
        </w:rPr>
        <w:t xml:space="preserve">: 10.1007/s10024-002-0036-7. </w:t>
      </w:r>
    </w:p>
    <w:p w:rsidR="00A5400D" w:rsidRPr="00356042" w:rsidRDefault="009C0653" w:rsidP="004A139A">
      <w:pPr>
        <w:spacing w:line="360" w:lineRule="auto"/>
        <w:jc w:val="both"/>
        <w:rPr>
          <w:lang w:val="en-GB"/>
        </w:rPr>
      </w:pPr>
      <w:r w:rsidRPr="00A5400D">
        <w:rPr>
          <w:lang w:val="en-GB"/>
        </w:rPr>
        <w:t>6</w:t>
      </w:r>
      <w:r w:rsidR="00102701" w:rsidRPr="00A5400D">
        <w:rPr>
          <w:lang w:val="en-GB"/>
        </w:rPr>
        <w:t>.</w:t>
      </w:r>
      <w:r w:rsidR="00102701" w:rsidRPr="00102701">
        <w:rPr>
          <w:noProof/>
          <w:lang w:val="nl-NL"/>
        </w:rPr>
        <w:t xml:space="preserve"> </w:t>
      </w:r>
      <w:r w:rsidR="00A5400D" w:rsidRPr="00356042">
        <w:rPr>
          <w:lang w:val="en-GB"/>
        </w:rPr>
        <w:t xml:space="preserve">Saugier-Veber P, Marguet F, Lecoquierre F, Adle-Biassette H, Guimiot F, Cipriani S, </w:t>
      </w:r>
      <w:r w:rsidR="00A5400D">
        <w:rPr>
          <w:lang w:val="en-GB"/>
        </w:rPr>
        <w:t>et al (2017)</w:t>
      </w:r>
      <w:r w:rsidR="00A5400D" w:rsidRPr="00356042">
        <w:rPr>
          <w:lang w:val="en-GB"/>
        </w:rPr>
        <w:t xml:space="preserve"> Hydrocephalus due to multiple ependymal malformations is caused by mutations in the MPDZ gene. Acta Neuropathol Commun. </w:t>
      </w:r>
      <w:proofErr w:type="gramStart"/>
      <w:r w:rsidR="00A5400D" w:rsidRPr="00356042">
        <w:rPr>
          <w:lang w:val="en-GB"/>
        </w:rPr>
        <w:t>doi</w:t>
      </w:r>
      <w:proofErr w:type="gramEnd"/>
      <w:r w:rsidR="00A5400D" w:rsidRPr="00356042">
        <w:rPr>
          <w:lang w:val="en-GB"/>
        </w:rPr>
        <w:t xml:space="preserve">: 10.1186/s40478-017-0438-4. </w:t>
      </w:r>
    </w:p>
    <w:p w:rsidR="009C0653" w:rsidRPr="009C0653" w:rsidRDefault="009C0653" w:rsidP="009C0653">
      <w:pPr>
        <w:widowControl w:val="0"/>
        <w:autoSpaceDE w:val="0"/>
        <w:autoSpaceDN w:val="0"/>
        <w:adjustRightInd w:val="0"/>
        <w:spacing w:line="360" w:lineRule="auto"/>
        <w:jc w:val="both"/>
      </w:pPr>
    </w:p>
    <w:sectPr w:rsidR="009C0653" w:rsidRPr="009C0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2A"/>
    <w:rsid w:val="00003EB5"/>
    <w:rsid w:val="0001031A"/>
    <w:rsid w:val="0005072A"/>
    <w:rsid w:val="00063103"/>
    <w:rsid w:val="000C1359"/>
    <w:rsid w:val="00102701"/>
    <w:rsid w:val="00123DB3"/>
    <w:rsid w:val="00146F8F"/>
    <w:rsid w:val="00150B98"/>
    <w:rsid w:val="00165F71"/>
    <w:rsid w:val="0019183A"/>
    <w:rsid w:val="001F0297"/>
    <w:rsid w:val="0029294E"/>
    <w:rsid w:val="002B3721"/>
    <w:rsid w:val="0030524E"/>
    <w:rsid w:val="0038697D"/>
    <w:rsid w:val="004A139A"/>
    <w:rsid w:val="00515022"/>
    <w:rsid w:val="00582BA8"/>
    <w:rsid w:val="00585631"/>
    <w:rsid w:val="00594ACA"/>
    <w:rsid w:val="005D53DB"/>
    <w:rsid w:val="005F2A55"/>
    <w:rsid w:val="005F5C52"/>
    <w:rsid w:val="00664DD1"/>
    <w:rsid w:val="00683197"/>
    <w:rsid w:val="00692661"/>
    <w:rsid w:val="006D1BCE"/>
    <w:rsid w:val="006E0744"/>
    <w:rsid w:val="00732D2E"/>
    <w:rsid w:val="00751561"/>
    <w:rsid w:val="0078234A"/>
    <w:rsid w:val="008C5687"/>
    <w:rsid w:val="008E7E96"/>
    <w:rsid w:val="00971616"/>
    <w:rsid w:val="00972172"/>
    <w:rsid w:val="009C0653"/>
    <w:rsid w:val="009F12A4"/>
    <w:rsid w:val="00A051A2"/>
    <w:rsid w:val="00A36F1A"/>
    <w:rsid w:val="00A5400D"/>
    <w:rsid w:val="00AD0F50"/>
    <w:rsid w:val="00B477EE"/>
    <w:rsid w:val="00BB2B37"/>
    <w:rsid w:val="00BC1549"/>
    <w:rsid w:val="00BE48DF"/>
    <w:rsid w:val="00C42809"/>
    <w:rsid w:val="00C72929"/>
    <w:rsid w:val="00C91CD9"/>
    <w:rsid w:val="00CA65A5"/>
    <w:rsid w:val="00CD654D"/>
    <w:rsid w:val="00D722BA"/>
    <w:rsid w:val="00D94EB4"/>
    <w:rsid w:val="00DE1AEF"/>
    <w:rsid w:val="00E0617F"/>
    <w:rsid w:val="00E2610B"/>
    <w:rsid w:val="00E533B0"/>
    <w:rsid w:val="00E82EEB"/>
    <w:rsid w:val="00EB52B9"/>
    <w:rsid w:val="00EC0EDA"/>
    <w:rsid w:val="00EF57E7"/>
    <w:rsid w:val="00F210C2"/>
    <w:rsid w:val="00F53480"/>
    <w:rsid w:val="00F53C2D"/>
    <w:rsid w:val="00F734F7"/>
    <w:rsid w:val="00F826E0"/>
    <w:rsid w:val="00FB7604"/>
    <w:rsid w:val="00F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4A84E6-A782-40CE-802C-25CF31BD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72A"/>
    <w:rPr>
      <w:sz w:val="24"/>
      <w:szCs w:val="24"/>
      <w:lang w:val="fr-FR" w:eastAsia="fr-FR"/>
    </w:rPr>
  </w:style>
  <w:style w:type="paragraph" w:styleId="Heading3">
    <w:name w:val="heading 3"/>
    <w:basedOn w:val="Normal"/>
    <w:link w:val="Heading3Char"/>
    <w:qFormat/>
    <w:rsid w:val="000507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5072A"/>
    <w:rPr>
      <w:color w:val="0000FF"/>
      <w:u w:val="single"/>
    </w:rPr>
  </w:style>
  <w:style w:type="character" w:customStyle="1" w:styleId="Heading3Char">
    <w:name w:val="Heading 3 Char"/>
    <w:link w:val="Heading3"/>
    <w:rsid w:val="0005072A"/>
    <w:rPr>
      <w:b/>
      <w:bCs/>
      <w:sz w:val="27"/>
      <w:szCs w:val="27"/>
      <w:lang w:val="fr-FR" w:eastAsia="fr-FR" w:bidi="ar-SA"/>
    </w:rPr>
  </w:style>
  <w:style w:type="character" w:styleId="Emphasis">
    <w:name w:val="Emphasis"/>
    <w:qFormat/>
    <w:rsid w:val="0005072A"/>
    <w:rPr>
      <w:i/>
      <w:iCs/>
    </w:rPr>
  </w:style>
  <w:style w:type="paragraph" w:styleId="HTMLPreformatted">
    <w:name w:val="HTML Preformatted"/>
    <w:basedOn w:val="Normal"/>
    <w:link w:val="HTMLPreformattedChar"/>
    <w:rsid w:val="00A36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locked/>
    <w:rsid w:val="00A36F1A"/>
    <w:rPr>
      <w:rFonts w:ascii="Courier New" w:hAnsi="Courier New" w:cs="Courier New"/>
      <w:lang w:val="fr-FR" w:eastAsia="fr-FR" w:bidi="ar-SA"/>
    </w:rPr>
  </w:style>
  <w:style w:type="character" w:styleId="CommentReference">
    <w:name w:val="annotation reference"/>
    <w:semiHidden/>
    <w:rsid w:val="00165F71"/>
    <w:rPr>
      <w:sz w:val="16"/>
      <w:szCs w:val="16"/>
    </w:rPr>
  </w:style>
  <w:style w:type="paragraph" w:styleId="CommentText">
    <w:name w:val="annotation text"/>
    <w:basedOn w:val="Normal"/>
    <w:semiHidden/>
    <w:rsid w:val="00165F7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5F71"/>
    <w:rPr>
      <w:b/>
      <w:bCs/>
    </w:rPr>
  </w:style>
  <w:style w:type="paragraph" w:styleId="BalloonText">
    <w:name w:val="Balloon Text"/>
    <w:basedOn w:val="Normal"/>
    <w:semiHidden/>
    <w:rsid w:val="00165F71"/>
    <w:rPr>
      <w:rFonts w:ascii="Tahoma" w:hAnsi="Tahoma" w:cs="Tahoma"/>
      <w:sz w:val="16"/>
      <w:szCs w:val="16"/>
    </w:rPr>
  </w:style>
  <w:style w:type="character" w:customStyle="1" w:styleId="Mentionnonrsolue">
    <w:name w:val="Mention non résolue"/>
    <w:uiPriority w:val="99"/>
    <w:semiHidden/>
    <w:unhideWhenUsed/>
    <w:rsid w:val="00E2610B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146F8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gmd.cf.ac.uk/ac/index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1000genome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vs.gs.washington.edu/EV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xac.broadinstitute.org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ioinfo.ut.ee/primer3-0.4.0/" TargetMode="External"/><Relationship Id="rId9" Type="http://schemas.openxmlformats.org/officeDocument/2006/relationships/hyperlink" Target="http://www.ncbi.nlm.nih.gov/clinv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Post-mortem examination</vt:lpstr>
      <vt:lpstr>Post-mortem examination</vt:lpstr>
    </vt:vector>
  </TitlesOfParts>
  <Company>CHU de Rouen</Company>
  <LinksUpToDate>false</LinksUpToDate>
  <CharactersWithSpaces>7240</CharactersWithSpaces>
  <SharedDoc>false</SharedDoc>
  <HLinks>
    <vt:vector size="36" baseType="variant">
      <vt:variant>
        <vt:i4>64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http://www.ncbi.nlm.nih.gov/clinvar/</vt:lpwstr>
      </vt:variant>
      <vt:variant>
        <vt:lpwstr/>
      </vt:variant>
      <vt:variant>
        <vt:i4>4259905</vt:i4>
      </vt:variant>
      <vt:variant>
        <vt:i4>12</vt:i4>
      </vt:variant>
      <vt:variant>
        <vt:i4>0</vt:i4>
      </vt:variant>
      <vt:variant>
        <vt:i4>5</vt:i4>
      </vt:variant>
      <vt:variant>
        <vt:lpwstr>http://www.hgmd.cf.ac.uk/ac/index.php</vt:lpwstr>
      </vt:variant>
      <vt:variant>
        <vt:lpwstr/>
      </vt:variant>
      <vt:variant>
        <vt:i4>3473507</vt:i4>
      </vt:variant>
      <vt:variant>
        <vt:i4>9</vt:i4>
      </vt:variant>
      <vt:variant>
        <vt:i4>0</vt:i4>
      </vt:variant>
      <vt:variant>
        <vt:i4>5</vt:i4>
      </vt:variant>
      <vt:variant>
        <vt:lpwstr>http://www.1000genomes.org/</vt:lpwstr>
      </vt:variant>
      <vt:variant>
        <vt:lpwstr/>
      </vt:variant>
      <vt:variant>
        <vt:i4>983124</vt:i4>
      </vt:variant>
      <vt:variant>
        <vt:i4>6</vt:i4>
      </vt:variant>
      <vt:variant>
        <vt:i4>0</vt:i4>
      </vt:variant>
      <vt:variant>
        <vt:i4>5</vt:i4>
      </vt:variant>
      <vt:variant>
        <vt:lpwstr>http://evs.gs.washington.edu/EVS/</vt:lpwstr>
      </vt:variant>
      <vt:variant>
        <vt:lpwstr/>
      </vt:variant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http://exac.broadinstitute.org/</vt:lpwstr>
      </vt:variant>
      <vt:variant>
        <vt:lpwstr/>
      </vt:variant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http://bioinfo.ut.ee/primer3-0.4.0/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Post-mortem examination</dc:title>
  <dc:subject/>
  <dc:creator>Localadmin</dc:creator>
  <cp:keywords/>
  <dc:description/>
  <cp:lastModifiedBy>Sowmiya N.</cp:lastModifiedBy>
  <cp:revision>2</cp:revision>
  <cp:lastPrinted>2021-03-10T09:22:00Z</cp:lastPrinted>
  <dcterms:created xsi:type="dcterms:W3CDTF">2021-05-31T08:58:00Z</dcterms:created>
  <dcterms:modified xsi:type="dcterms:W3CDTF">2021-05-31T08:58:00Z</dcterms:modified>
</cp:coreProperties>
</file>