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B8E" w:rsidRPr="00AC2508" w:rsidRDefault="00FD74BB" w:rsidP="00FD74B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C2508">
        <w:rPr>
          <w:rFonts w:ascii="Times New Roman" w:hAnsi="Times New Roman" w:cs="Times New Roman"/>
          <w:b/>
          <w:sz w:val="28"/>
          <w:szCs w:val="28"/>
          <w:lang w:val="en-GB"/>
        </w:rPr>
        <w:t>Supplementary material 1</w:t>
      </w:r>
    </w:p>
    <w:p w:rsidR="00FD74BB" w:rsidRDefault="00FD74BB" w:rsidP="00FD74B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Pathological exam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ination</w:t>
      </w:r>
    </w:p>
    <w:p w:rsidR="00FD74BB" w:rsidRPr="00FD74BB" w:rsidRDefault="00FD74BB" w:rsidP="00FD74B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Brain autopsy was carried out within 4 h of death according to the Legal and Ethical Code of Conduct of the Netherlands Brain Bank. Tissue blocks taken from all cortical areas, hippocampus, amygdala, basal ganglia, substantia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nigra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, pons, medulla oblongata, cerebellum and cervical spinal cord were embedded in paraffin blocks, and underwent routine staining with haematoxylin–eosin,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Bodian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methenamine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-silver and Congo red. Tissue blocks were taken from the right hemisphere in each case. Immunohistochemistry was performed using primary antibodies against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hyperphosphorylated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 tau (AT8,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Innogenetics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; 1:40), ubiquitin (anti-ubiquitin,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Dako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; 1:500, following 80°C antigen retrieval), β-amyloid protein (anti-beta amyloid,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Dako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; 1:100, following formic acid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pretreatment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>), α-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synuclein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 (anti-α-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synuclein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Zymed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 Laboratories; undiluted, following formic acid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pretreatment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), p62 (BD Biosciences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Pharmingen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>; 1:200, following 80°C antigen retrieval), TDP-43 (Biotech; 1:100, following pressure cooking), TDP-43 phosphorylated at serine 409/410 (Cosmo Bio; 1:8000), fused in sarcoma (Sigma-Aldrich anti-fused in sarcoma; 1:25–200 with initial overnight incubation at room temperature, following pressure cooking)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 Primary antibodies were incubated overnight at 4°C. Endogenous peroxidase activity was inhibited by incubation in phosphate buffered saline–hydrogen peroxide–sodium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azide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 solution (100 ml 0.1 M phosphate-buffered saline + 2 ml 30% H2O2 + 1 ml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natriumazide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) for 30 min. The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Histostain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>-Plus broad-spectrum kit DAB (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Zymed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 xml:space="preserve">) was used, and slides were counterstained with Mayer's haematoxylin and mounted in </w:t>
      </w:r>
      <w:proofErr w:type="spellStart"/>
      <w:r w:rsidRPr="00FD74BB">
        <w:rPr>
          <w:rFonts w:ascii="Times New Roman" w:hAnsi="Times New Roman" w:cs="Times New Roman"/>
          <w:sz w:val="24"/>
          <w:szCs w:val="24"/>
          <w:lang w:val="en-GB"/>
        </w:rPr>
        <w:t>Entellan</w:t>
      </w:r>
      <w:proofErr w:type="spellEnd"/>
      <w:r w:rsidRPr="00FD74BB">
        <w:rPr>
          <w:rFonts w:ascii="Times New Roman" w:hAnsi="Times New Roman" w:cs="Times New Roman"/>
          <w:sz w:val="24"/>
          <w:szCs w:val="24"/>
          <w:lang w:val="en-GB"/>
        </w:rPr>
        <w:t>®. The pathological diagnosis was made by a</w:t>
      </w:r>
      <w:r w:rsidR="00F55364">
        <w:rPr>
          <w:rFonts w:ascii="Times New Roman" w:hAnsi="Times New Roman" w:cs="Times New Roman"/>
          <w:sz w:val="24"/>
          <w:szCs w:val="24"/>
          <w:lang w:val="en-GB"/>
        </w:rPr>
        <w:t>n experienced neuropathologist (A</w:t>
      </w:r>
      <w:r w:rsidRPr="00FD74BB">
        <w:rPr>
          <w:rFonts w:ascii="Times New Roman" w:hAnsi="Times New Roman" w:cs="Times New Roman"/>
          <w:sz w:val="24"/>
          <w:szCs w:val="24"/>
          <w:lang w:val="en-GB"/>
        </w:rPr>
        <w:t>.R.).</w:t>
      </w:r>
    </w:p>
    <w:sectPr w:rsidR="00FD74BB" w:rsidRPr="00FD7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0"/>
    <w:rsid w:val="002F2880"/>
    <w:rsid w:val="00AC2508"/>
    <w:rsid w:val="00D844A2"/>
    <w:rsid w:val="00F55364"/>
    <w:rsid w:val="00FB7E16"/>
    <w:rsid w:val="00FD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A9575-540A-467D-AD8A-B91EA066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91ECAAD1</Template>
  <TotalTime>5</TotalTime>
  <Pages>1</Pages>
  <Words>269</Words>
  <Characters>1481</Characters>
  <Application>Microsoft Office Word</Application>
  <DocSecurity>0</DocSecurity>
  <Lines>12</Lines>
  <Paragraphs>3</Paragraphs>
  <ScaleCrop>false</ScaleCrop>
  <Company>VUmc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Ulugut Erkoyun, H. (Hülya)</dc:creator>
  <cp:keywords/>
  <dc:description/>
  <cp:lastModifiedBy>Ulugut Erkoyun, H. (Hülya)</cp:lastModifiedBy>
  <cp:revision>4</cp:revision>
  <dcterms:created xsi:type="dcterms:W3CDTF">2019-12-09T10:44:00Z</dcterms:created>
  <dcterms:modified xsi:type="dcterms:W3CDTF">2020-03-16T09:58:00Z</dcterms:modified>
</cp:coreProperties>
</file>