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D6222" w14:textId="7F56CFC0" w:rsidR="006C5A13" w:rsidRPr="00876DE3" w:rsidRDefault="00E611FB" w:rsidP="00A961FE">
      <w:pPr>
        <w:spacing w:line="480" w:lineRule="auto"/>
        <w:jc w:val="both"/>
        <w:rPr>
          <w:rFonts w:ascii="Times" w:eastAsiaTheme="minorEastAsia" w:hAnsi="Times" w:cs="Arial"/>
          <w:b/>
          <w:bCs/>
        </w:rPr>
      </w:pPr>
      <w:bookmarkStart w:id="0" w:name="_GoBack"/>
      <w:bookmarkEnd w:id="0"/>
      <w:r>
        <w:rPr>
          <w:rFonts w:ascii="Times" w:eastAsiaTheme="minorEastAsia" w:hAnsi="Times" w:cs="Arial" w:hint="eastAsia"/>
          <w:b/>
          <w:bCs/>
        </w:rPr>
        <w:t>Supplementary</w:t>
      </w:r>
      <w:r>
        <w:rPr>
          <w:rFonts w:ascii="Times" w:eastAsiaTheme="minorEastAsia" w:hAnsi="Times" w:cs="Arial"/>
          <w:b/>
          <w:bCs/>
        </w:rPr>
        <w:t xml:space="preserve"> </w:t>
      </w:r>
      <w:r>
        <w:rPr>
          <w:rFonts w:ascii="Times" w:eastAsiaTheme="minorEastAsia" w:hAnsi="Times" w:cs="Arial" w:hint="eastAsia"/>
          <w:b/>
          <w:bCs/>
        </w:rPr>
        <w:t>Methods</w:t>
      </w:r>
    </w:p>
    <w:p w14:paraId="0AF16276" w14:textId="6A9E025C" w:rsidR="00A961FE" w:rsidRPr="0035029A" w:rsidRDefault="00A961FE" w:rsidP="00A961FE">
      <w:pPr>
        <w:spacing w:line="480" w:lineRule="auto"/>
        <w:jc w:val="both"/>
        <w:rPr>
          <w:rFonts w:ascii="Times" w:hAnsi="Times" w:cs="Arial"/>
          <w:b/>
          <w:bCs/>
        </w:rPr>
      </w:pPr>
      <w:r>
        <w:rPr>
          <w:rFonts w:ascii="Times" w:hAnsi="Times" w:cs="Arial" w:hint="eastAsia"/>
          <w:b/>
          <w:bCs/>
        </w:rPr>
        <w:t>Western</w:t>
      </w:r>
      <w:r>
        <w:rPr>
          <w:rFonts w:ascii="Times" w:hAnsi="Times" w:cs="Arial"/>
          <w:b/>
          <w:bCs/>
        </w:rPr>
        <w:t xml:space="preserve"> b</w:t>
      </w:r>
      <w:r>
        <w:rPr>
          <w:rFonts w:ascii="Times" w:hAnsi="Times" w:cs="Arial" w:hint="eastAsia"/>
          <w:b/>
          <w:bCs/>
        </w:rPr>
        <w:t>lot</w:t>
      </w:r>
    </w:p>
    <w:p w14:paraId="695B0A94" w14:textId="3B2B7357" w:rsidR="00A961FE" w:rsidRPr="008B3908" w:rsidRDefault="00A961FE" w:rsidP="00A961FE">
      <w:pPr>
        <w:spacing w:line="480" w:lineRule="auto"/>
        <w:jc w:val="both"/>
        <w:rPr>
          <w:rFonts w:ascii="Times" w:eastAsiaTheme="minorEastAsia" w:hAnsi="Times" w:cs="Arial"/>
          <w:color w:val="000000" w:themeColor="text1"/>
        </w:rPr>
      </w:pPr>
      <w:r w:rsidRPr="006A75ED">
        <w:rPr>
          <w:rFonts w:ascii="Times" w:hAnsi="Times" w:cs="Arial"/>
        </w:rPr>
        <w:t xml:space="preserve">Cell pellets were lysed </w:t>
      </w:r>
      <w:r w:rsidRPr="006A75ED">
        <w:rPr>
          <w:rFonts w:ascii="Times" w:hAnsi="Times" w:cs="Arial" w:hint="eastAsia"/>
        </w:rPr>
        <w:t>with</w:t>
      </w:r>
      <w:r w:rsidRPr="006A75ED">
        <w:rPr>
          <w:rFonts w:ascii="Times" w:hAnsi="Times" w:cs="Arial"/>
        </w:rPr>
        <w:t xml:space="preserve"> Blue Loading Buffer Pack (Cell Signaling </w:t>
      </w:r>
      <w:r>
        <w:rPr>
          <w:rFonts w:ascii="Times" w:hAnsi="Times" w:cs="Arial"/>
        </w:rPr>
        <w:t>Cat</w:t>
      </w:r>
      <w:r w:rsidRPr="006A75ED">
        <w:rPr>
          <w:rFonts w:ascii="Times" w:hAnsi="Times" w:cs="Arial"/>
        </w:rPr>
        <w:t xml:space="preserve">#7722) and </w:t>
      </w:r>
      <w:r>
        <w:rPr>
          <w:rFonts w:ascii="Times" w:hAnsi="Times" w:cs="Arial"/>
        </w:rPr>
        <w:t xml:space="preserve">were </w:t>
      </w:r>
      <w:proofErr w:type="spellStart"/>
      <w:r w:rsidRPr="006A75ED">
        <w:rPr>
          <w:rFonts w:ascii="Times" w:hAnsi="Times" w:cs="Arial"/>
        </w:rPr>
        <w:t>sonicated</w:t>
      </w:r>
      <w:proofErr w:type="spellEnd"/>
      <w:r w:rsidRPr="006A75ED">
        <w:rPr>
          <w:rFonts w:ascii="Times" w:hAnsi="Times" w:cs="Arial"/>
        </w:rPr>
        <w:t xml:space="preserve"> using </w:t>
      </w:r>
      <w:r>
        <w:rPr>
          <w:rFonts w:ascii="Times" w:hAnsi="Times" w:cs="Arial"/>
        </w:rPr>
        <w:t xml:space="preserve">the </w:t>
      </w:r>
      <w:proofErr w:type="spellStart"/>
      <w:r w:rsidRPr="006A75ED">
        <w:rPr>
          <w:rFonts w:ascii="Times" w:hAnsi="Times" w:cs="Arial"/>
        </w:rPr>
        <w:t>Bioruptor</w:t>
      </w:r>
      <w:proofErr w:type="spellEnd"/>
      <w:r w:rsidRPr="006A75ED">
        <w:rPr>
          <w:rFonts w:ascii="Times" w:hAnsi="Times" w:cs="Arial"/>
        </w:rPr>
        <w:t xml:space="preserve"> UCD-200TM </w:t>
      </w:r>
      <w:proofErr w:type="spellStart"/>
      <w:r w:rsidRPr="006A75ED">
        <w:rPr>
          <w:rFonts w:ascii="Times" w:hAnsi="Times" w:cs="Arial"/>
        </w:rPr>
        <w:t>sonicator</w:t>
      </w:r>
      <w:proofErr w:type="spellEnd"/>
      <w:r w:rsidRPr="006A75ED">
        <w:rPr>
          <w:rFonts w:ascii="Times" w:hAnsi="Times" w:cs="Arial"/>
        </w:rPr>
        <w:t xml:space="preserve">. Total cell lysate </w:t>
      </w:r>
      <w:r w:rsidRPr="0035029A">
        <w:rPr>
          <w:rFonts w:ascii="Times" w:hAnsi="Times" w:cs="Arial"/>
        </w:rPr>
        <w:t>containing ~20 ug</w:t>
      </w:r>
      <w:r>
        <w:rPr>
          <w:rFonts w:ascii="Times" w:hAnsi="Times" w:cs="Arial"/>
        </w:rPr>
        <w:t xml:space="preserve"> </w:t>
      </w:r>
      <w:r w:rsidRPr="0035029A">
        <w:rPr>
          <w:rFonts w:ascii="Times" w:hAnsi="Times" w:cs="Arial"/>
        </w:rPr>
        <w:t>total protein</w:t>
      </w:r>
      <w:r w:rsidRPr="006A75ED">
        <w:rPr>
          <w:rFonts w:ascii="Times" w:hAnsi="Times" w:cs="Arial"/>
        </w:rPr>
        <w:t xml:space="preserve"> </w:t>
      </w:r>
      <w:r w:rsidRPr="0035029A">
        <w:rPr>
          <w:rFonts w:ascii="Times" w:hAnsi="Times" w:cs="Arial"/>
        </w:rPr>
        <w:t>was</w:t>
      </w:r>
      <w:r w:rsidRPr="006A75ED">
        <w:rPr>
          <w:rFonts w:ascii="Times" w:hAnsi="Times" w:cs="Arial"/>
        </w:rPr>
        <w:t xml:space="preserve"> </w:t>
      </w:r>
      <w:r w:rsidRPr="0035029A">
        <w:rPr>
          <w:rFonts w:ascii="Times" w:hAnsi="Times" w:cs="Arial"/>
        </w:rPr>
        <w:t>resolved</w:t>
      </w:r>
      <w:r w:rsidRPr="006A75ED">
        <w:rPr>
          <w:rFonts w:ascii="Times" w:hAnsi="Times" w:cs="Arial"/>
        </w:rPr>
        <w:t xml:space="preserve"> </w:t>
      </w:r>
      <w:r w:rsidRPr="0035029A">
        <w:rPr>
          <w:rFonts w:ascii="Times" w:hAnsi="Times" w:cs="Arial"/>
        </w:rPr>
        <w:t>using (</w:t>
      </w:r>
      <w:r w:rsidRPr="006A75ED">
        <w:rPr>
          <w:rFonts w:ascii="Times" w:hAnsi="Times" w:cs="Arial"/>
        </w:rPr>
        <w:t xml:space="preserve">4-12%) </w:t>
      </w:r>
      <w:proofErr w:type="spellStart"/>
      <w:r w:rsidRPr="006A75ED">
        <w:rPr>
          <w:rFonts w:ascii="Times" w:hAnsi="Times" w:cs="Arial"/>
        </w:rPr>
        <w:t>NuPAGE</w:t>
      </w:r>
      <w:proofErr w:type="spellEnd"/>
      <w:r w:rsidRPr="006A75ED">
        <w:rPr>
          <w:rFonts w:ascii="Times" w:hAnsi="Times" w:cs="Arial"/>
        </w:rPr>
        <w:t xml:space="preserve"> </w:t>
      </w:r>
      <w:proofErr w:type="spellStart"/>
      <w:r w:rsidRPr="006A75ED">
        <w:rPr>
          <w:rFonts w:ascii="Times" w:hAnsi="Times" w:cs="Arial"/>
        </w:rPr>
        <w:t>Bis</w:t>
      </w:r>
      <w:proofErr w:type="spellEnd"/>
      <w:r w:rsidRPr="006A75ED">
        <w:rPr>
          <w:rFonts w:ascii="Times" w:hAnsi="Times" w:cs="Arial"/>
        </w:rPr>
        <w:t>-Tris gradient gel</w:t>
      </w:r>
      <w:r w:rsidRPr="0035029A">
        <w:rPr>
          <w:rFonts w:ascii="Times" w:hAnsi="Times" w:cs="Arial"/>
        </w:rPr>
        <w:t>.</w:t>
      </w:r>
      <w:r>
        <w:rPr>
          <w:rFonts w:ascii="Times" w:hAnsi="Times" w:cs="Arial"/>
        </w:rPr>
        <w:t xml:space="preserve"> </w:t>
      </w:r>
      <w:r w:rsidRPr="0035029A">
        <w:rPr>
          <w:rFonts w:ascii="Times" w:hAnsi="Times" w:cs="Arial"/>
        </w:rPr>
        <w:t xml:space="preserve">Gels were soaked in </w:t>
      </w:r>
      <w:proofErr w:type="spellStart"/>
      <w:r w:rsidRPr="006A75ED">
        <w:rPr>
          <w:rFonts w:ascii="Times" w:hAnsi="Times" w:cs="Arial"/>
        </w:rPr>
        <w:t>NuPAGE</w:t>
      </w:r>
      <w:proofErr w:type="spellEnd"/>
      <w:r>
        <w:rPr>
          <w:rFonts w:ascii="Times" w:hAnsi="Times" w:cs="Arial"/>
        </w:rPr>
        <w:t xml:space="preserve"> </w:t>
      </w:r>
      <w:r w:rsidRPr="0035029A">
        <w:rPr>
          <w:rFonts w:ascii="Times" w:hAnsi="Times" w:cs="Arial"/>
        </w:rPr>
        <w:t xml:space="preserve">protein transfer buffer and transferred to a PVDF membrane using a </w:t>
      </w:r>
      <w:proofErr w:type="spellStart"/>
      <w:r w:rsidRPr="006A75ED">
        <w:rPr>
          <w:rFonts w:ascii="Times" w:hAnsi="Times" w:cs="Arial"/>
        </w:rPr>
        <w:t>XCell</w:t>
      </w:r>
      <w:proofErr w:type="spellEnd"/>
      <w:r w:rsidRPr="006A75ED">
        <w:rPr>
          <w:rFonts w:ascii="Times" w:hAnsi="Times" w:cs="Arial"/>
        </w:rPr>
        <w:t xml:space="preserve"> II™ Blot Module</w:t>
      </w:r>
      <w:r w:rsidRPr="0035029A">
        <w:rPr>
          <w:rFonts w:ascii="Times" w:hAnsi="Times" w:cs="Arial"/>
        </w:rPr>
        <w:t>. After transfer, PVDF membranes were washed briefly in TBST (150 mM NaCl, 50 mM</w:t>
      </w:r>
      <w:r>
        <w:rPr>
          <w:rFonts w:ascii="Times" w:hAnsi="Times" w:cs="Arial"/>
        </w:rPr>
        <w:t xml:space="preserve"> </w:t>
      </w:r>
      <w:r w:rsidRPr="0035029A">
        <w:rPr>
          <w:rFonts w:ascii="Times" w:hAnsi="Times" w:cs="Arial"/>
        </w:rPr>
        <w:t xml:space="preserve">Tris-HCl, pH7.5, 0.1% Tween-20) and then blocked for </w:t>
      </w:r>
      <w:r>
        <w:rPr>
          <w:rFonts w:ascii="Times" w:hAnsi="Times" w:cs="Arial"/>
        </w:rPr>
        <w:t>1-2</w:t>
      </w:r>
      <w:r w:rsidRPr="0035029A">
        <w:rPr>
          <w:rFonts w:ascii="Times" w:hAnsi="Times" w:cs="Arial"/>
        </w:rPr>
        <w:t xml:space="preserve"> hours in Pierce TBST Protein-Free blocking buffer (Cat#37571).</w:t>
      </w:r>
      <w:r>
        <w:rPr>
          <w:rFonts w:ascii="Times" w:hAnsi="Times" w:cs="Arial"/>
        </w:rPr>
        <w:t xml:space="preserve"> </w:t>
      </w:r>
      <w:r w:rsidRPr="0035029A">
        <w:rPr>
          <w:rFonts w:ascii="Times" w:hAnsi="Times" w:cs="Arial"/>
        </w:rPr>
        <w:t>After blocking, primary</w:t>
      </w:r>
      <w:r>
        <w:rPr>
          <w:rFonts w:ascii="Times" w:hAnsi="Times" w:cs="Arial"/>
        </w:rPr>
        <w:t xml:space="preserve"> </w:t>
      </w:r>
      <w:r w:rsidRPr="0035029A">
        <w:rPr>
          <w:rFonts w:ascii="Times" w:hAnsi="Times" w:cs="Arial"/>
        </w:rPr>
        <w:t>antibodies were diluted</w:t>
      </w:r>
      <w:r>
        <w:rPr>
          <w:rFonts w:ascii="Times" w:hAnsi="Times" w:cs="Arial"/>
        </w:rPr>
        <w:t xml:space="preserve"> </w:t>
      </w:r>
      <w:r w:rsidRPr="0035029A">
        <w:rPr>
          <w:rFonts w:ascii="Times" w:hAnsi="Times" w:cs="Arial"/>
        </w:rPr>
        <w:t>in TBST blocking buffer and incubated overnight at</w:t>
      </w:r>
      <w:r>
        <w:rPr>
          <w:rFonts w:ascii="Times" w:hAnsi="Times" w:cs="Arial"/>
        </w:rPr>
        <w:t xml:space="preserve"> </w:t>
      </w:r>
      <w:r w:rsidRPr="0035029A">
        <w:rPr>
          <w:rFonts w:ascii="Times" w:hAnsi="Times" w:cs="Arial"/>
        </w:rPr>
        <w:t>4°</w:t>
      </w:r>
      <w:r w:rsidRPr="00BA54D3">
        <w:rPr>
          <w:rFonts w:ascii="Times" w:hAnsi="Times" w:cs="Arial"/>
          <w:color w:val="000000" w:themeColor="text1"/>
        </w:rPr>
        <w:t>C.</w:t>
      </w:r>
      <w:r>
        <w:rPr>
          <w:rFonts w:ascii="Times" w:hAnsi="Times" w:cs="Arial"/>
          <w:color w:val="000000" w:themeColor="text1"/>
        </w:rPr>
        <w:t xml:space="preserve"> </w:t>
      </w:r>
      <w:r w:rsidRPr="00BA54D3">
        <w:rPr>
          <w:rFonts w:ascii="Times" w:hAnsi="Times" w:cs="Arial"/>
          <w:color w:val="000000" w:themeColor="text1"/>
        </w:rPr>
        <w:t xml:space="preserve">Membranes </w:t>
      </w:r>
      <w:r w:rsidRPr="0035029A">
        <w:rPr>
          <w:rFonts w:ascii="Times" w:hAnsi="Times" w:cs="Arial"/>
        </w:rPr>
        <w:t>were</w:t>
      </w:r>
      <w:r>
        <w:rPr>
          <w:rFonts w:ascii="Times" w:hAnsi="Times" w:cs="Arial"/>
        </w:rPr>
        <w:t xml:space="preserve"> </w:t>
      </w:r>
      <w:r w:rsidRPr="0035029A">
        <w:rPr>
          <w:rFonts w:ascii="Times" w:hAnsi="Times" w:cs="Arial"/>
        </w:rPr>
        <w:t>washed</w:t>
      </w:r>
      <w:r>
        <w:rPr>
          <w:rFonts w:ascii="Times" w:hAnsi="Times" w:cs="Arial"/>
        </w:rPr>
        <w:t xml:space="preserve"> </w:t>
      </w:r>
      <w:r w:rsidRPr="0035029A">
        <w:rPr>
          <w:rFonts w:ascii="Times" w:hAnsi="Times" w:cs="Arial"/>
        </w:rPr>
        <w:t>and</w:t>
      </w:r>
      <w:r>
        <w:rPr>
          <w:rFonts w:ascii="Times" w:hAnsi="Times" w:cs="Arial"/>
        </w:rPr>
        <w:t xml:space="preserve"> </w:t>
      </w:r>
      <w:r w:rsidRPr="0035029A">
        <w:rPr>
          <w:rFonts w:ascii="Times" w:eastAsiaTheme="minorEastAsia" w:hAnsi="Times" w:cs="Arial"/>
        </w:rPr>
        <w:t>then</w:t>
      </w:r>
      <w:r>
        <w:rPr>
          <w:rFonts w:ascii="Times" w:eastAsiaTheme="minorEastAsia" w:hAnsi="Times" w:cs="Arial"/>
        </w:rPr>
        <w:t xml:space="preserve"> </w:t>
      </w:r>
      <w:r w:rsidRPr="0035029A">
        <w:rPr>
          <w:rFonts w:ascii="Times" w:eastAsiaTheme="minorEastAsia" w:hAnsi="Times" w:cs="Arial"/>
        </w:rPr>
        <w:t>incubated</w:t>
      </w:r>
      <w:r>
        <w:rPr>
          <w:rFonts w:ascii="Times" w:eastAsiaTheme="minorEastAsia" w:hAnsi="Times" w:cs="Arial"/>
        </w:rPr>
        <w:t xml:space="preserve"> </w:t>
      </w:r>
      <w:r w:rsidRPr="0035029A">
        <w:rPr>
          <w:rFonts w:ascii="Times" w:eastAsiaTheme="minorEastAsia" w:hAnsi="Times" w:cs="Arial"/>
        </w:rPr>
        <w:t>with</w:t>
      </w:r>
      <w:r>
        <w:rPr>
          <w:rFonts w:ascii="Times" w:eastAsiaTheme="minorEastAsia" w:hAnsi="Times" w:cs="Arial"/>
        </w:rPr>
        <w:t xml:space="preserve"> </w:t>
      </w:r>
      <w:r w:rsidRPr="0035029A">
        <w:rPr>
          <w:rFonts w:ascii="Times" w:eastAsiaTheme="minorEastAsia" w:hAnsi="Times" w:cs="Arial"/>
        </w:rPr>
        <w:t>horseradish peroxidase (HRP) conjugated</w:t>
      </w:r>
      <w:r>
        <w:rPr>
          <w:rFonts w:ascii="Times" w:eastAsiaTheme="minorEastAsia" w:hAnsi="Times" w:cs="Arial"/>
        </w:rPr>
        <w:t xml:space="preserve"> </w:t>
      </w:r>
      <w:r w:rsidRPr="0035029A">
        <w:rPr>
          <w:rFonts w:ascii="Times" w:eastAsiaTheme="minorEastAsia" w:hAnsi="Times" w:cs="Arial"/>
        </w:rPr>
        <w:t>secondary antibody for one hour and HRP signals were detected by</w:t>
      </w:r>
      <w:r>
        <w:rPr>
          <w:rFonts w:ascii="Times" w:eastAsiaTheme="minorEastAsia" w:hAnsi="Times" w:cs="Arial"/>
        </w:rPr>
        <w:t xml:space="preserve"> </w:t>
      </w:r>
      <w:proofErr w:type="spellStart"/>
      <w:r w:rsidRPr="0035029A">
        <w:rPr>
          <w:rFonts w:ascii="Times" w:eastAsiaTheme="minorEastAsia" w:hAnsi="Times" w:cs="Arial"/>
        </w:rPr>
        <w:t>chemiluminescence</w:t>
      </w:r>
      <w:proofErr w:type="spellEnd"/>
      <w:r w:rsidRPr="0035029A">
        <w:rPr>
          <w:rFonts w:ascii="Times" w:eastAsiaTheme="minorEastAsia" w:hAnsi="Times" w:cs="Arial"/>
        </w:rPr>
        <w:t xml:space="preserve"> using the </w:t>
      </w:r>
      <w:proofErr w:type="spellStart"/>
      <w:r w:rsidRPr="0035029A">
        <w:rPr>
          <w:rFonts w:ascii="Times" w:eastAsiaTheme="minorEastAsia" w:hAnsi="Times" w:cs="Arial"/>
        </w:rPr>
        <w:t>BioRad</w:t>
      </w:r>
      <w:proofErr w:type="spellEnd"/>
      <w:r w:rsidRPr="0035029A">
        <w:rPr>
          <w:rFonts w:ascii="Times" w:eastAsiaTheme="minorEastAsia" w:hAnsi="Times" w:cs="Arial"/>
        </w:rPr>
        <w:t xml:space="preserve"> </w:t>
      </w:r>
      <w:proofErr w:type="spellStart"/>
      <w:r w:rsidRPr="0035029A">
        <w:rPr>
          <w:rFonts w:ascii="Times" w:eastAsiaTheme="minorEastAsia" w:hAnsi="Times" w:cs="Arial"/>
        </w:rPr>
        <w:t>ChemiDoc</w:t>
      </w:r>
      <w:proofErr w:type="spellEnd"/>
      <w:r w:rsidRPr="0035029A">
        <w:rPr>
          <w:rFonts w:ascii="Times" w:eastAsiaTheme="minorEastAsia" w:hAnsi="Times" w:cs="Arial"/>
        </w:rPr>
        <w:t xml:space="preserve"> MP system.</w:t>
      </w:r>
      <w:r>
        <w:rPr>
          <w:rFonts w:ascii="Times" w:eastAsiaTheme="minorEastAsia" w:hAnsi="Times" w:cs="Arial"/>
        </w:rPr>
        <w:t xml:space="preserve"> </w:t>
      </w:r>
    </w:p>
    <w:p w14:paraId="1BCE07FD" w14:textId="6D1ADCC7" w:rsidR="00E74CC1" w:rsidRDefault="00942D5A"/>
    <w:p w14:paraId="3A94A851" w14:textId="02573B03" w:rsidR="00A52897" w:rsidRDefault="00DB5ABB">
      <w:r>
        <w:rPr>
          <w:rFonts w:ascii="Times" w:eastAsiaTheme="minorEastAsia" w:hAnsi="Times" w:cs="Arial"/>
          <w:b/>
          <w:bCs/>
        </w:rPr>
        <w:t xml:space="preserve"> </w:t>
      </w:r>
    </w:p>
    <w:p w14:paraId="4EA97F0F" w14:textId="3E2FC770" w:rsidR="00A52897" w:rsidRDefault="00A52897">
      <w:pPr>
        <w:rPr>
          <w:b/>
          <w:bCs/>
        </w:rPr>
      </w:pPr>
      <w:r w:rsidRPr="00A52897">
        <w:rPr>
          <w:b/>
          <w:bCs/>
        </w:rPr>
        <w:t>RNA-seq data analysis</w:t>
      </w:r>
    </w:p>
    <w:p w14:paraId="4A02F8C4" w14:textId="77777777" w:rsidR="00A52897" w:rsidRPr="00A52897" w:rsidRDefault="00A52897">
      <w:pPr>
        <w:rPr>
          <w:b/>
          <w:bCs/>
        </w:rPr>
      </w:pPr>
    </w:p>
    <w:p w14:paraId="49723A34" w14:textId="4B615CEA" w:rsidR="00A52897" w:rsidRDefault="00A52897" w:rsidP="00A52897">
      <w:pPr>
        <w:spacing w:line="480" w:lineRule="auto"/>
        <w:jc w:val="both"/>
        <w:rPr>
          <w:rFonts w:ascii="Times" w:eastAsiaTheme="minorEastAsia" w:hAnsi="Times" w:cs="Arial"/>
        </w:rPr>
      </w:pPr>
      <w:r>
        <w:rPr>
          <w:rFonts w:ascii="Times" w:eastAsiaTheme="minorEastAsia" w:hAnsi="Times" w:cs="Arial"/>
        </w:rPr>
        <w:t xml:space="preserve">Reads were trimmed using </w:t>
      </w:r>
      <w:proofErr w:type="spellStart"/>
      <w:r>
        <w:rPr>
          <w:rFonts w:ascii="Times" w:eastAsiaTheme="minorEastAsia" w:hAnsi="Times" w:cs="Arial"/>
        </w:rPr>
        <w:t>cutadapt</w:t>
      </w:r>
      <w:proofErr w:type="spellEnd"/>
      <w:r>
        <w:rPr>
          <w:rFonts w:ascii="Times" w:eastAsiaTheme="minorEastAsia" w:hAnsi="Times" w:cs="Arial"/>
        </w:rPr>
        <w:t xml:space="preserve"> (</w:t>
      </w:r>
      <w:r w:rsidRPr="00F52420">
        <w:rPr>
          <w:rFonts w:ascii="Times" w:eastAsiaTheme="minorEastAsia" w:hAnsi="Times" w:cs="Arial"/>
        </w:rPr>
        <w:t>https://cutadapt.readthedocs.io/en/stable/</w:t>
      </w:r>
      <w:r>
        <w:rPr>
          <w:rFonts w:ascii="Times" w:eastAsiaTheme="minorEastAsia" w:hAnsi="Times" w:cs="Arial"/>
        </w:rPr>
        <w:t>) and mapped to hg38 genome using HISAT2</w:t>
      </w:r>
      <w:r w:rsidR="004871B2">
        <w:rPr>
          <w:rFonts w:ascii="Times" w:eastAsiaTheme="minorEastAsia" w:hAnsi="Times" w:cs="Arial"/>
        </w:rPr>
        <w:fldChar w:fldCharType="begin"/>
      </w:r>
      <w:r w:rsidR="006C5A13">
        <w:rPr>
          <w:rFonts w:ascii="Times" w:eastAsiaTheme="minorEastAsia" w:hAnsi="Times" w:cs="Arial"/>
        </w:rPr>
        <w:instrText xml:space="preserve"> ADDIN EN.CITE &lt;EndNote&gt;&lt;Cite&gt;&lt;Author&gt;Kim&lt;/Author&gt;&lt;Year&gt;2015&lt;/Year&gt;&lt;RecNum&gt;325&lt;/RecNum&gt;&lt;DisplayText&gt;&lt;style face="superscript"&gt;1&lt;/style&gt;&lt;/DisplayText&gt;&lt;record&gt;&lt;rec-number&gt;325&lt;/rec-number&gt;&lt;foreign-keys&gt;&lt;key app="EN" db-id="z02s092s8pf553ed5sxvx5rmra2d02tp9e9p" timestamp="1621943457"&gt;325&lt;/key&gt;&lt;/foreign-keys&gt;&lt;ref-type name="Journal Article"&gt;17&lt;/ref-type&gt;&lt;contributors&gt;&lt;authors&gt;&lt;author&gt;Kim, D.&lt;/author&gt;&lt;author&gt;Landmead, B.&lt;/author&gt;&lt;author&gt;Salzberg, S. L.&lt;/author&gt;&lt;/authors&gt;&lt;/contributors&gt;&lt;auth-address&gt;Johns Hopkins Univ, Sch Med, Ctr Computat Biol, McKusick Nathans Inst Genet Med, Baltimore, MD 21205 USA&amp;#xD;Johns Hopkins Univ, Dept Biostat, Bloomberg Sch Publ Hlth, Baltimore, MD 21205 USA&amp;#xD;Johns Hopkins Univ, Dept Comp Sci, Baltimore, MD 21218 USA&lt;/auth-address&gt;&lt;titles&gt;&lt;title&gt;HISAT: a fast spliced aligner with low memory requirements&lt;/title&gt;&lt;secondary-title&gt;Nature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Methods&lt;/abbr-1&gt;&lt;/alt-periodical&gt;&lt;pages&gt;357-U121&lt;/pages&gt;&lt;volume&gt;12&lt;/volume&gt;&lt;number&gt;4&lt;/number&gt;&lt;keywords&gt;&lt;keyword&gt;rna-seq experiments&lt;/keyword&gt;&lt;keyword&gt;alignment&lt;/keyword&gt;&lt;keyword&gt;transcriptomes&lt;/keyword&gt;&lt;keyword&gt;annotation&lt;/keyword&gt;&lt;keyword&gt;tophat&lt;/keyword&gt;&lt;keyword&gt;gene&lt;/keyword&gt;&lt;/keywords&gt;&lt;dates&gt;&lt;year&gt;2015&lt;/year&gt;&lt;pub-dates&gt;&lt;date&gt;Apr&lt;/date&gt;&lt;/pub-dates&gt;&lt;/dates&gt;&lt;isbn&gt;1548-7091&lt;/isbn&gt;&lt;accession-num&gt;WOS:000352083100026&lt;/accession-num&gt;&lt;urls&gt;&lt;related-urls&gt;&lt;url&gt;&amp;lt;Go to ISI&amp;gt;://WOS:000352083100026&lt;/url&gt;&lt;/related-urls&gt;&lt;/urls&gt;&lt;electronic-resource-num&gt;10.1038/Nmeth.3317&lt;/electronic-resource-num&gt;&lt;language&gt;English&lt;/language&gt;&lt;/record&gt;&lt;/Cite&gt;&lt;/EndNote&gt;</w:instrText>
      </w:r>
      <w:r w:rsidR="004871B2">
        <w:rPr>
          <w:rFonts w:ascii="Times" w:eastAsiaTheme="minorEastAsia" w:hAnsi="Times" w:cs="Arial"/>
        </w:rPr>
        <w:fldChar w:fldCharType="separate"/>
      </w:r>
      <w:r w:rsidR="006C5A13" w:rsidRPr="006C5A13">
        <w:rPr>
          <w:rFonts w:ascii="Times" w:eastAsiaTheme="minorEastAsia" w:hAnsi="Times" w:cs="Arial"/>
          <w:noProof/>
          <w:vertAlign w:val="superscript"/>
        </w:rPr>
        <w:t>1</w:t>
      </w:r>
      <w:r w:rsidR="004871B2">
        <w:rPr>
          <w:rFonts w:ascii="Times" w:eastAsiaTheme="minorEastAsia" w:hAnsi="Times" w:cs="Arial"/>
        </w:rPr>
        <w:fldChar w:fldCharType="end"/>
      </w:r>
      <w:r>
        <w:rPr>
          <w:rFonts w:ascii="Times" w:eastAsiaTheme="minorEastAsia" w:hAnsi="Times" w:cs="Arial"/>
        </w:rPr>
        <w:t xml:space="preserve">. </w:t>
      </w:r>
      <w:proofErr w:type="spellStart"/>
      <w:r>
        <w:rPr>
          <w:rFonts w:ascii="Times" w:eastAsiaTheme="minorEastAsia" w:hAnsi="Times" w:cs="Arial"/>
        </w:rPr>
        <w:t>FeatureCounts</w:t>
      </w:r>
      <w:proofErr w:type="spellEnd"/>
      <w:r>
        <w:rPr>
          <w:rFonts w:ascii="Times" w:eastAsiaTheme="minorEastAsia" w:hAnsi="Times" w:cs="Arial"/>
        </w:rPr>
        <w:t xml:space="preserve"> was used to quantify counts over reference genes</w:t>
      </w:r>
      <w:r w:rsidR="004871B2">
        <w:rPr>
          <w:rFonts w:ascii="Times" w:eastAsiaTheme="minorEastAsia" w:hAnsi="Times" w:cs="Arial"/>
        </w:rPr>
        <w:fldChar w:fldCharType="begin"/>
      </w:r>
      <w:r w:rsidR="006C5A13">
        <w:rPr>
          <w:rFonts w:ascii="Times" w:eastAsiaTheme="minorEastAsia" w:hAnsi="Times" w:cs="Arial"/>
        </w:rPr>
        <w:instrText xml:space="preserve"> ADDIN EN.CITE &lt;EndNote&gt;&lt;Cite&gt;&lt;Author&gt;Liao&lt;/Author&gt;&lt;Year&gt;2014&lt;/Year&gt;&lt;RecNum&gt;355&lt;/RecNum&gt;&lt;DisplayText&gt;&lt;style face="superscript"&gt;2&lt;/style&gt;&lt;/DisplayText&gt;&lt;record&gt;&lt;rec-number&gt;355&lt;/rec-number&gt;&lt;foreign-keys&gt;&lt;key app="EN" db-id="z02s092s8pf553ed5sxvx5rmra2d02tp9e9p" timestamp="1621961391"&gt;355&lt;/key&gt;&lt;/foreign-keys&gt;&lt;ref-type name="Journal Article"&gt;17&lt;/ref-type&gt;&lt;contributors&gt;&lt;authors&gt;&lt;author&gt;Liao, Y.&lt;/author&gt;&lt;author&gt;Smyth, G. K.&lt;/author&gt;&lt;author&gt;Shi, W.&lt;/author&gt;&lt;/authors&gt;&lt;/contributors&gt;&lt;auth-address&gt;Walter &amp;amp; Eliza Hall Inst Med Res, Bioinformat Div, Parkville, Vic 3052, Australia&amp;#xD;Univ Melbourne, Dept Comp &amp;amp; Informat Syst, Melbourne, Vic 3010, Australia&amp;#xD;Univ Melbourne, Dept Math &amp;amp; Stat, Parkville, Vic 3010, Australia&lt;/auth-address&gt;&lt;titles&gt;&lt;title&gt;featureCounts: an efficient general purpose program for assigning sequence reads to genomic features&lt;/title&gt;&lt;secondary-title&gt;Bioinformatics&lt;/secondary-title&gt;&lt;alt-title&gt;Bioinformatics&lt;/alt-title&gt;&lt;/titles&gt;&lt;periodical&gt;&lt;full-title&gt;Bioinformatics&lt;/full-title&gt;&lt;abbr-1&gt;Bioinformatics&lt;/abbr-1&gt;&lt;/periodical&gt;&lt;alt-periodical&gt;&lt;full-title&gt;Bioinformatics&lt;/full-title&gt;&lt;abbr-1&gt;Bioinformatics&lt;/abbr-1&gt;&lt;/alt-periodical&gt;&lt;pages&gt;923-930&lt;/pages&gt;&lt;volume&gt;30&lt;/volume&gt;&lt;number&gt;7&lt;/number&gt;&lt;keywords&gt;&lt;keyword&gt;differential expression analysis&lt;/keyword&gt;&lt;keyword&gt;accurate&lt;/keyword&gt;&lt;keyword&gt;alignment&lt;/keyword&gt;&lt;keyword&gt;quantification&lt;/keyword&gt;&lt;keyword&gt;bioconductor&lt;/keyword&gt;&lt;keyword&gt;binding&lt;/keyword&gt;&lt;/keywords&gt;&lt;dates&gt;&lt;year&gt;2014&lt;/year&gt;&lt;pub-dates&gt;&lt;date&gt;Apr 1&lt;/date&gt;&lt;/pub-dates&gt;&lt;/dates&gt;&lt;isbn&gt;1367-4803&lt;/isbn&gt;&lt;accession-num&gt;WOS:000334078300005&lt;/accession-num&gt;&lt;urls&gt;&lt;related-urls&gt;&lt;url&gt;&amp;lt;Go to ISI&amp;gt;://WOS:000334078300005&lt;/url&gt;&lt;/related-urls&gt;&lt;/urls&gt;&lt;electronic-resource-num&gt;10.1093/bioinformatics/btt656&lt;/electronic-resource-num&gt;&lt;language&gt;English&lt;/language&gt;&lt;/record&gt;&lt;/Cite&gt;&lt;/EndNote&gt;</w:instrText>
      </w:r>
      <w:r w:rsidR="004871B2">
        <w:rPr>
          <w:rFonts w:ascii="Times" w:eastAsiaTheme="minorEastAsia" w:hAnsi="Times" w:cs="Arial"/>
        </w:rPr>
        <w:fldChar w:fldCharType="separate"/>
      </w:r>
      <w:r w:rsidR="006C5A13" w:rsidRPr="006C5A13">
        <w:rPr>
          <w:rFonts w:ascii="Times" w:eastAsiaTheme="minorEastAsia" w:hAnsi="Times" w:cs="Arial"/>
          <w:noProof/>
          <w:vertAlign w:val="superscript"/>
        </w:rPr>
        <w:t>2</w:t>
      </w:r>
      <w:r w:rsidR="004871B2">
        <w:rPr>
          <w:rFonts w:ascii="Times" w:eastAsiaTheme="minorEastAsia" w:hAnsi="Times" w:cs="Arial"/>
        </w:rPr>
        <w:fldChar w:fldCharType="end"/>
      </w:r>
      <w:r>
        <w:rPr>
          <w:rFonts w:ascii="Times" w:eastAsiaTheme="minorEastAsia" w:hAnsi="Times" w:cs="Arial"/>
        </w:rPr>
        <w:t xml:space="preserve">. </w:t>
      </w:r>
      <w:r>
        <w:rPr>
          <w:rFonts w:ascii="Times" w:eastAsiaTheme="minorEastAsia" w:hAnsi="Times" w:cs="Arial" w:hint="eastAsia"/>
        </w:rPr>
        <w:t>T</w:t>
      </w:r>
      <w:r>
        <w:rPr>
          <w:rFonts w:ascii="Times" w:eastAsiaTheme="minorEastAsia" w:hAnsi="Times" w:cs="Arial"/>
        </w:rPr>
        <w:t>ranscript level (FPKM) and DESeq2-normalized counts were performed using DESeq2</w:t>
      </w:r>
      <w:r w:rsidR="004871B2">
        <w:rPr>
          <w:rFonts w:ascii="Times" w:eastAsiaTheme="minorEastAsia" w:hAnsi="Times" w:cs="Arial"/>
        </w:rPr>
        <w:fldChar w:fldCharType="begin"/>
      </w:r>
      <w:r w:rsidR="006C5A13">
        <w:rPr>
          <w:rFonts w:ascii="Times" w:eastAsiaTheme="minorEastAsia" w:hAnsi="Times" w:cs="Arial"/>
        </w:rPr>
        <w:instrText xml:space="preserve"> ADDIN EN.CITE &lt;EndNote&gt;&lt;Cite&gt;&lt;Author&gt;Love&lt;/Author&gt;&lt;Year&gt;2014&lt;/Year&gt;&lt;RecNum&gt;356&lt;/RecNum&gt;&lt;DisplayText&gt;&lt;style face="superscript"&gt;3&lt;/style&gt;&lt;/DisplayText&gt;&lt;record&gt;&lt;rec-number&gt;356&lt;/rec-number&gt;&lt;foreign-keys&gt;&lt;key app="EN" db-id="z02s092s8pf553ed5sxvx5rmra2d02tp9e9p" timestamp="1621961455"&gt;356&lt;/key&gt;&lt;/foreign-keys&gt;&lt;ref-type name="Journal Article"&gt;17&lt;/ref-type&gt;&lt;contributors&gt;&lt;authors&gt;&lt;author&gt;Love, M. I.&lt;/author&gt;&lt;author&gt;Huber, W.&lt;/author&gt;&lt;author&gt;Anders, S.&lt;/author&gt;&lt;/authors&gt;&lt;/contributors&gt;&lt;auth-address&gt;Dana Farber Canc Inst, Dept Biostat &amp;amp; Computat Biol, Boston, MA 02115 USA&amp;#xD;Harvard Univ, Sch Publ Hlth, Dept Biostat, Boston, MA 02115 USA&amp;#xD;European Mol Biol Lab, Genome Biol Unit, D-69117 Heidelberg, Germany&amp;#xD;Max Planck Inst Mol Genet, Dept Computat Mol Biol, D-14195 Berlin, Germany&lt;/auth-address&gt;&lt;titles&gt;&lt;title&gt;Moderated estimation of fold change and dispersion for RNA-seq data with DESeq2&lt;/title&gt;&lt;secondary-title&gt;Genome Biology&lt;/secondary-title&gt;&lt;alt-title&gt;Genome Biol&lt;/alt-title&gt;&lt;/titles&gt;&lt;periodical&gt;&lt;full-title&gt;Genome Biology&lt;/full-title&gt;&lt;abbr-1&gt;Genome Biol&lt;/abbr-1&gt;&lt;/periodical&gt;&lt;alt-periodical&gt;&lt;full-title&gt;Genome Biology&lt;/full-title&gt;&lt;abbr-1&gt;Genome Biol&lt;/abbr-1&gt;&lt;/alt-periodical&gt;&lt;volume&gt;15&lt;/volume&gt;&lt;number&gt;12&lt;/number&gt;&lt;keywords&gt;&lt;keyword&gt;identifying differential expression&lt;/keyword&gt;&lt;keyword&gt;sequencing data&lt;/keyword&gt;&lt;keyword&gt;classification&lt;/keyword&gt;&lt;keyword&gt;variability&lt;/keyword&gt;&lt;keyword&gt;inference&lt;/keyword&gt;&lt;keyword&gt;powerful&lt;/keyword&gt;&lt;keyword&gt;genes&lt;/keyword&gt;&lt;/keywords&gt;&lt;dates&gt;&lt;year&gt;2014&lt;/year&gt;&lt;/dates&gt;&lt;isbn&gt;1474-760x&lt;/isbn&gt;&lt;accession-num&gt;WOS:000346609500022&lt;/accession-num&gt;&lt;urls&gt;&lt;related-urls&gt;&lt;url&gt;&amp;lt;Go to ISI&amp;gt;://WOS:000346609500022&lt;/url&gt;&lt;/related-urls&gt;&lt;/urls&gt;&lt;electronic-resource-num&gt;ARTN 550&amp;#xD;10.1186/s13059-014-0550-8&lt;/electronic-resource-num&gt;&lt;language&gt;English&lt;/language&gt;&lt;/record&gt;&lt;/Cite&gt;&lt;/EndNote&gt;</w:instrText>
      </w:r>
      <w:r w:rsidR="004871B2">
        <w:rPr>
          <w:rFonts w:ascii="Times" w:eastAsiaTheme="minorEastAsia" w:hAnsi="Times" w:cs="Arial"/>
        </w:rPr>
        <w:fldChar w:fldCharType="separate"/>
      </w:r>
      <w:r w:rsidR="006C5A13" w:rsidRPr="006C5A13">
        <w:rPr>
          <w:rFonts w:ascii="Times" w:eastAsiaTheme="minorEastAsia" w:hAnsi="Times" w:cs="Arial"/>
          <w:noProof/>
          <w:vertAlign w:val="superscript"/>
        </w:rPr>
        <w:t>3</w:t>
      </w:r>
      <w:r w:rsidR="004871B2">
        <w:rPr>
          <w:rFonts w:ascii="Times" w:eastAsiaTheme="minorEastAsia" w:hAnsi="Times" w:cs="Arial"/>
        </w:rPr>
        <w:fldChar w:fldCharType="end"/>
      </w:r>
      <w:r>
        <w:rPr>
          <w:rFonts w:ascii="Times" w:eastAsiaTheme="minorEastAsia" w:hAnsi="Times" w:cs="Arial"/>
        </w:rPr>
        <w:t>. DESeq2-normalized counts were then log2-transformed and plotted as Heatmaps using ggplot2-heatmap2</w:t>
      </w:r>
      <w:r w:rsidR="004871B2">
        <w:rPr>
          <w:rFonts w:ascii="Times" w:eastAsiaTheme="minorEastAsia" w:hAnsi="Times" w:cs="Arial"/>
        </w:rPr>
        <w:fldChar w:fldCharType="begin"/>
      </w:r>
      <w:r w:rsidR="006C5A13">
        <w:rPr>
          <w:rFonts w:ascii="Times" w:eastAsiaTheme="minorEastAsia" w:hAnsi="Times" w:cs="Arial"/>
        </w:rPr>
        <w:instrText xml:space="preserve"> ADDIN EN.CITE &lt;EndNote&gt;&lt;Cite&gt;&lt;Author&gt;Wickham&lt;/Author&gt;&lt;Year&gt;2009&lt;/Year&gt;&lt;RecNum&gt;359&lt;/RecNum&gt;&lt;DisplayText&gt;&lt;style face="superscript"&gt;4&lt;/style&gt;&lt;/DisplayText&gt;&lt;record&gt;&lt;rec-number&gt;359&lt;/rec-number&gt;&lt;foreign-keys&gt;&lt;key app="EN" db-id="z02s092s8pf553ed5sxvx5rmra2d02tp9e9p" timestamp="1621961514"&gt;359&lt;/key&gt;&lt;/foreign-keys&gt;&lt;ref-type name="Journal Article"&gt;17&lt;/ref-type&gt;&lt;contributors&gt;&lt;authors&gt;&lt;author&gt;Wickham, H.&lt;/author&gt;&lt;/authors&gt;&lt;/contributors&gt;&lt;titles&gt;&lt;title&gt;ggplot2: Elegant Graphics for Data Analysis&lt;/title&gt;&lt;secondary-title&gt;Ggplot2: Elegant Graphics for Data Analysis&lt;/secondary-title&gt;&lt;alt-title&gt;Use R&lt;/alt-title&gt;&lt;/titles&gt;&lt;periodical&gt;&lt;full-title&gt;Ggplot2: Elegant Graphics for Data Analysis&lt;/full-title&gt;&lt;abbr-1&gt;Use R&lt;/abbr-1&gt;&lt;/periodical&gt;&lt;alt-periodical&gt;&lt;full-title&gt;Ggplot2: Elegant Graphics for Data Analysis&lt;/full-title&gt;&lt;abbr-1&gt;Use R&lt;/abbr-1&gt;&lt;/alt-periodical&gt;&lt;pages&gt;1-212&lt;/pages&gt;&lt;dates&gt;&lt;year&gt;2009&lt;/year&gt;&lt;/dates&gt;&lt;accession-num&gt;WOS:000269437100014&lt;/accession-num&gt;&lt;urls&gt;&lt;related-urls&gt;&lt;url&gt;&amp;lt;Go to ISI&amp;gt;://WOS:000269437100014&lt;/url&gt;&lt;/related-urls&gt;&lt;/urls&gt;&lt;electronic-resource-num&gt;10.1007/978-0-387-98141-3&lt;/electronic-resource-num&gt;&lt;language&gt;English&lt;/language&gt;&lt;/record&gt;&lt;/Cite&gt;&lt;/EndNote&gt;</w:instrText>
      </w:r>
      <w:r w:rsidR="004871B2">
        <w:rPr>
          <w:rFonts w:ascii="Times" w:eastAsiaTheme="minorEastAsia" w:hAnsi="Times" w:cs="Arial"/>
        </w:rPr>
        <w:fldChar w:fldCharType="separate"/>
      </w:r>
      <w:r w:rsidR="006C5A13" w:rsidRPr="006C5A13">
        <w:rPr>
          <w:rFonts w:ascii="Times" w:eastAsiaTheme="minorEastAsia" w:hAnsi="Times" w:cs="Arial"/>
          <w:noProof/>
          <w:vertAlign w:val="superscript"/>
        </w:rPr>
        <w:t>4</w:t>
      </w:r>
      <w:r w:rsidR="004871B2">
        <w:rPr>
          <w:rFonts w:ascii="Times" w:eastAsiaTheme="minorEastAsia" w:hAnsi="Times" w:cs="Arial"/>
        </w:rPr>
        <w:fldChar w:fldCharType="end"/>
      </w:r>
      <w:r>
        <w:rPr>
          <w:rFonts w:ascii="Times" w:eastAsiaTheme="minorEastAsia" w:hAnsi="Times" w:cs="Arial"/>
        </w:rPr>
        <w:t xml:space="preserve">. EGSEA with 10 methods (camera, safe, gage, </w:t>
      </w:r>
      <w:proofErr w:type="spellStart"/>
      <w:r>
        <w:rPr>
          <w:rFonts w:ascii="Times" w:eastAsiaTheme="minorEastAsia" w:hAnsi="Times" w:cs="Arial"/>
        </w:rPr>
        <w:t>zscore</w:t>
      </w:r>
      <w:proofErr w:type="spellEnd"/>
      <w:r>
        <w:rPr>
          <w:rFonts w:ascii="Times" w:eastAsiaTheme="minorEastAsia" w:hAnsi="Times" w:cs="Arial"/>
        </w:rPr>
        <w:t xml:space="preserve">, </w:t>
      </w:r>
      <w:proofErr w:type="spellStart"/>
      <w:r>
        <w:rPr>
          <w:rFonts w:ascii="Times" w:eastAsiaTheme="minorEastAsia" w:hAnsi="Times" w:cs="Arial"/>
        </w:rPr>
        <w:t>gsva</w:t>
      </w:r>
      <w:proofErr w:type="spellEnd"/>
      <w:r>
        <w:rPr>
          <w:rFonts w:ascii="Times" w:eastAsiaTheme="minorEastAsia" w:hAnsi="Times" w:cs="Arial"/>
        </w:rPr>
        <w:t xml:space="preserve">, </w:t>
      </w:r>
      <w:proofErr w:type="spellStart"/>
      <w:r>
        <w:rPr>
          <w:rFonts w:ascii="Times" w:eastAsiaTheme="minorEastAsia" w:hAnsi="Times" w:cs="Arial"/>
        </w:rPr>
        <w:t>globaltest</w:t>
      </w:r>
      <w:proofErr w:type="spellEnd"/>
      <w:r>
        <w:rPr>
          <w:rFonts w:ascii="Times" w:eastAsiaTheme="minorEastAsia" w:hAnsi="Times" w:cs="Arial"/>
        </w:rPr>
        <w:t xml:space="preserve">, </w:t>
      </w:r>
      <w:proofErr w:type="spellStart"/>
      <w:r>
        <w:rPr>
          <w:rFonts w:ascii="Times" w:eastAsiaTheme="minorEastAsia" w:hAnsi="Times" w:cs="Arial"/>
        </w:rPr>
        <w:t>ora</w:t>
      </w:r>
      <w:proofErr w:type="spellEnd"/>
      <w:r>
        <w:rPr>
          <w:rFonts w:ascii="Times" w:eastAsiaTheme="minorEastAsia" w:hAnsi="Times" w:cs="Arial"/>
        </w:rPr>
        <w:t xml:space="preserve">, </w:t>
      </w:r>
      <w:proofErr w:type="spellStart"/>
      <w:r>
        <w:rPr>
          <w:rFonts w:ascii="Times" w:eastAsiaTheme="minorEastAsia" w:hAnsi="Times" w:cs="Arial"/>
        </w:rPr>
        <w:t>ssgsea</w:t>
      </w:r>
      <w:proofErr w:type="spellEnd"/>
      <w:r>
        <w:rPr>
          <w:rFonts w:ascii="Times" w:eastAsiaTheme="minorEastAsia" w:hAnsi="Times" w:cs="Arial"/>
        </w:rPr>
        <w:t xml:space="preserve">, </w:t>
      </w:r>
      <w:proofErr w:type="spellStart"/>
      <w:r>
        <w:rPr>
          <w:rFonts w:ascii="Times" w:eastAsiaTheme="minorEastAsia" w:hAnsi="Times" w:cs="Arial"/>
        </w:rPr>
        <w:t>padog</w:t>
      </w:r>
      <w:proofErr w:type="spellEnd"/>
      <w:r>
        <w:rPr>
          <w:rFonts w:ascii="Times" w:eastAsiaTheme="minorEastAsia" w:hAnsi="Times" w:cs="Arial"/>
        </w:rPr>
        <w:t xml:space="preserve">, </w:t>
      </w:r>
      <w:proofErr w:type="spellStart"/>
      <w:r>
        <w:rPr>
          <w:rFonts w:ascii="Times" w:eastAsiaTheme="minorEastAsia" w:hAnsi="Times" w:cs="Arial"/>
        </w:rPr>
        <w:t>plage</w:t>
      </w:r>
      <w:proofErr w:type="spellEnd"/>
      <w:r>
        <w:rPr>
          <w:rFonts w:ascii="Times" w:eastAsiaTheme="minorEastAsia" w:hAnsi="Times" w:cs="Arial"/>
        </w:rPr>
        <w:t>, fry and roast) was used for enrichment analysis of KEGG pathways</w:t>
      </w:r>
      <w:r w:rsidR="006958EA">
        <w:rPr>
          <w:rFonts w:ascii="Times" w:eastAsiaTheme="minorEastAsia" w:hAnsi="Times" w:cs="Arial"/>
        </w:rPr>
        <w:fldChar w:fldCharType="begin">
          <w:fldData xml:space="preserve">PEVuZE5vdGU+PENpdGU+PEF1dGhvcj5BbGhhbWRvb3NoPC9BdXRob3I+PFllYXI+MjAxNzwvWWVh
cj48UmVjTnVtPjMyNjwvUmVjTnVtPjxEaXNwbGF5VGV4dD48c3R5bGUgZmFjZT0ic3VwZXJzY3Jp
cHQiPjU8L3N0eWxlPjwvRGlzcGxheVRleHQ+PHJlY29yZD48cmVjLW51bWJlcj4zMjY8L3JlYy1u
dW1iZXI+PGZvcmVpZ24ta2V5cz48a2V5IGFwcD0iRU4iIGRiLWlkPSJ6MDJzMDkyczhwZjU1M2Vk
NXN4dng1cm1yYTJkMDJ0cDllOXAiIHRpbWVzdGFtcD0iMTYyMTk0MzQ3NCI+MzI2PC9rZXk+PC9m
b3JlaWduLWtleXM+PHJlZi10eXBlIG5hbWU9IkpvdXJuYWwgQXJ0aWNsZSI+MTc8L3JlZi10eXBl
Pjxjb250cmlidXRvcnM+PGF1dGhvcnM+PGF1dGhvcj5BbGhhbWRvb3NoLCBNLjwvYXV0aG9yPjxh
dXRob3I+TmcsIE0uPC9hdXRob3I+PGF1dGhvcj5XaWxzb24sIE4uIEouPC9hdXRob3I+PGF1dGhv
cj5TaGVyaWRhbiwgSi4gTS48L2F1dGhvcj48YXV0aG9yPkh1eW5oLCBILjwvYXV0aG9yPjxhdXRo
b3I+V2lsc29uLCBNLiBKLjwvYXV0aG9yPjxhdXRob3I+Uml0Y2hpZSwgTS4gRS48L2F1dGhvcj48
L2F1dGhvcnM+PC9jb250cmlidXRvcnM+PGF1dGgtYWRkcmVzcz5DU0wgTHRkLCBJbnN0IEJpbzIx
LCBQYXJrdmlsbGUsIFZpYyAzMDEwLCBBdXN0cmFsaWEmI3hEO1dhbHRlciAmYW1wOyBFbGl6YSBI
YWxsIEluc3QgTWVkIFJlcywgQUNSRiBTdGVtIENlbGxzICZhbXA7IENhbmMgRGl2LCBQYXJrdmls
bGUsIFZpYyAzMDUyLCBBdXN0cmFsaWEmI3hEO1VuaXYgTWVsYm91cm5lLCBEZXB0IE1lZCBCaW9s
LCBQYXJrdmlsbGUsIFZpYyAzMDEwLCBBdXN0cmFsaWEmI3hEO1dhbHRlciAmYW1wOyBFbGl6YSBI
YWxsIEluc3QgTWVkIFJlcywgRGl2IE1vbCBNZWQsIFBhcmt2aWxsZSwgVmljIDMwNTIsIEF1c3Ry
YWxpYSYjeEQ7VW5pdiBNZWxib3VybmUsIFNjaCBNYXRoICZhbXA7IFN0YXQsIFBhcmt2aWxsZSwg
VmljIDMwMTAsIEF1c3RyYWxpYTwvYXV0aC1hZGRyZXNzPjx0aXRsZXM+PHRpdGxlPkNvbWJpbmlu
ZyBtdWx0aXBsZSB0b29scyBvdXRwZXJmb3JtcyBpbmRpdmlkdWFsIG1ldGhvZHMgaW4gZ2VuZSBz
ZXQgZW5yaWNobWVudCBhbmFseXNlczwvdGl0bGU+PHNlY29uZGFyeS10aXRsZT5CaW9pbmZvcm1h
dGljczwvc2Vjb25kYXJ5LXRpdGxlPjxhbHQtdGl0bGU+QmlvaW5mb3JtYXRpY3M8L2FsdC10aXRs
ZT48L3RpdGxlcz48cGVyaW9kaWNhbD48ZnVsbC10aXRsZT5CaW9pbmZvcm1hdGljczwvZnVsbC10
aXRsZT48YWJici0xPkJpb2luZm9ybWF0aWNzPC9hYmJyLTE+PC9wZXJpb2RpY2FsPjxhbHQtcGVy
aW9kaWNhbD48ZnVsbC10aXRsZT5CaW9pbmZvcm1hdGljczwvZnVsbC10aXRsZT48YWJici0xPkJp
b2luZm9ybWF0aWNzPC9hYmJyLTE+PC9hbHQtcGVyaW9kaWNhbD48cGFnZXM+NDE0LTQyNDwvcGFn
ZXM+PHZvbHVtZT4zMzwvdm9sdW1lPjxudW1iZXI+MzwvbnVtYmVyPjxrZXl3b3Jkcz48a2V5d29y
ZD5kaWZmZXJlbnRpYWwgZXhwcmVzc2lvbiBhbmFseXNpczwva2V5d29yZD48a2V5d29yZD5ybmE8
L2tleXdvcmQ+PGtleXdvcmQ+aW50ZXJsZXVraW4tMTM8L2tleXdvcmQ+PGtleXdvcmQ+aWwtMTM8
L2tleXdvcmQ+PGtleXdvcmQ+YmlvY29uZHVjdG9yPC9rZXl3b3JkPjxrZXl3b3JkPmFzc29jaWF0
aW9uPC9rZXl3b3JkPjxrZXl3b3JkPm1pY3JvYXJyYXk8L2tleXdvcmQ+PGtleXdvcmQ+ZnJhbWV3
b3JrPC9rZXl3b3JkPjxrZXl3b3JkPmFjY3VyYXRlPC9rZXl3b3JkPjxrZXl3b3JkPmNvbXBsZXg8
L2tleXdvcmQ+PC9rZXl3b3Jkcz48ZGF0ZXM+PHllYXI+MjAxNzwveWVhcj48cHViLWRhdGVzPjxk
YXRlPkZlYiAxPC9kYXRlPjwvcHViLWRhdGVzPjwvZGF0ZXM+PGlzYm4+MTM2Ny00ODAzPC9pc2Ju
PjxhY2Nlc3Npb24tbnVtPldPUzowMDAzOTcyNjA4MDAwMTQ8L2FjY2Vzc2lvbi1udW0+PHVybHM+
PHJlbGF0ZWQtdXJscz48dXJsPiZsdDtHbyB0byBJU0kmZ3Q7Oi8vV09TOjAwMDM5NzI2MDgwMDAx
NDwvdXJsPjwvcmVsYXRlZC11cmxzPjwvdXJscz48ZWxlY3Ryb25pYy1yZXNvdXJjZS1udW0+MTAu
MTA5My9iaW9pbmZvcm1hdGljcy9idHc2MjM8L2VsZWN0cm9uaWMtcmVzb3VyY2UtbnVtPjxsYW5n
dWFnZT5FbmdsaXNoPC9sYW5ndWFnZT48L3JlY29yZD48L0NpdGU+PC9FbmROb3RlPn==
</w:fldData>
        </w:fldChar>
      </w:r>
      <w:r w:rsidR="006C5A13">
        <w:rPr>
          <w:rFonts w:ascii="Times" w:eastAsiaTheme="minorEastAsia" w:hAnsi="Times" w:cs="Arial"/>
        </w:rPr>
        <w:instrText xml:space="preserve"> ADDIN EN.CITE </w:instrText>
      </w:r>
      <w:r w:rsidR="006C5A13">
        <w:rPr>
          <w:rFonts w:ascii="Times" w:eastAsiaTheme="minorEastAsia" w:hAnsi="Times" w:cs="Arial"/>
        </w:rPr>
        <w:fldChar w:fldCharType="begin">
          <w:fldData xml:space="preserve">PEVuZE5vdGU+PENpdGU+PEF1dGhvcj5BbGhhbWRvb3NoPC9BdXRob3I+PFllYXI+MjAxNzwvWWVh
cj48UmVjTnVtPjMyNjwvUmVjTnVtPjxEaXNwbGF5VGV4dD48c3R5bGUgZmFjZT0ic3VwZXJzY3Jp
cHQiPjU8L3N0eWxlPjwvRGlzcGxheVRleHQ+PHJlY29yZD48cmVjLW51bWJlcj4zMjY8L3JlYy1u
dW1iZXI+PGZvcmVpZ24ta2V5cz48a2V5IGFwcD0iRU4iIGRiLWlkPSJ6MDJzMDkyczhwZjU1M2Vk
NXN4dng1cm1yYTJkMDJ0cDllOXAiIHRpbWVzdGFtcD0iMTYyMTk0MzQ3NCI+MzI2PC9rZXk+PC9m
b3JlaWduLWtleXM+PHJlZi10eXBlIG5hbWU9IkpvdXJuYWwgQXJ0aWNsZSI+MTc8L3JlZi10eXBl
Pjxjb250cmlidXRvcnM+PGF1dGhvcnM+PGF1dGhvcj5BbGhhbWRvb3NoLCBNLjwvYXV0aG9yPjxh
dXRob3I+TmcsIE0uPC9hdXRob3I+PGF1dGhvcj5XaWxzb24sIE4uIEouPC9hdXRob3I+PGF1dGhv
cj5TaGVyaWRhbiwgSi4gTS48L2F1dGhvcj48YXV0aG9yPkh1eW5oLCBILjwvYXV0aG9yPjxhdXRo
b3I+V2lsc29uLCBNLiBKLjwvYXV0aG9yPjxhdXRob3I+Uml0Y2hpZSwgTS4gRS48L2F1dGhvcj48
L2F1dGhvcnM+PC9jb250cmlidXRvcnM+PGF1dGgtYWRkcmVzcz5DU0wgTHRkLCBJbnN0IEJpbzIx
LCBQYXJrdmlsbGUsIFZpYyAzMDEwLCBBdXN0cmFsaWEmI3hEO1dhbHRlciAmYW1wOyBFbGl6YSBI
YWxsIEluc3QgTWVkIFJlcywgQUNSRiBTdGVtIENlbGxzICZhbXA7IENhbmMgRGl2LCBQYXJrdmls
bGUsIFZpYyAzMDUyLCBBdXN0cmFsaWEmI3hEO1VuaXYgTWVsYm91cm5lLCBEZXB0IE1lZCBCaW9s
LCBQYXJrdmlsbGUsIFZpYyAzMDEwLCBBdXN0cmFsaWEmI3hEO1dhbHRlciAmYW1wOyBFbGl6YSBI
YWxsIEluc3QgTWVkIFJlcywgRGl2IE1vbCBNZWQsIFBhcmt2aWxsZSwgVmljIDMwNTIsIEF1c3Ry
YWxpYSYjeEQ7VW5pdiBNZWxib3VybmUsIFNjaCBNYXRoICZhbXA7IFN0YXQsIFBhcmt2aWxsZSwg
VmljIDMwMTAsIEF1c3RyYWxpYTwvYXV0aC1hZGRyZXNzPjx0aXRsZXM+PHRpdGxlPkNvbWJpbmlu
ZyBtdWx0aXBsZSB0b29scyBvdXRwZXJmb3JtcyBpbmRpdmlkdWFsIG1ldGhvZHMgaW4gZ2VuZSBz
ZXQgZW5yaWNobWVudCBhbmFseXNlczwvdGl0bGU+PHNlY29uZGFyeS10aXRsZT5CaW9pbmZvcm1h
dGljczwvc2Vjb25kYXJ5LXRpdGxlPjxhbHQtdGl0bGU+QmlvaW5mb3JtYXRpY3M8L2FsdC10aXRs
ZT48L3RpdGxlcz48cGVyaW9kaWNhbD48ZnVsbC10aXRsZT5CaW9pbmZvcm1hdGljczwvZnVsbC10
aXRsZT48YWJici0xPkJpb2luZm9ybWF0aWNzPC9hYmJyLTE+PC9wZXJpb2RpY2FsPjxhbHQtcGVy
aW9kaWNhbD48ZnVsbC10aXRsZT5CaW9pbmZvcm1hdGljczwvZnVsbC10aXRsZT48YWJici0xPkJp
b2luZm9ybWF0aWNzPC9hYmJyLTE+PC9hbHQtcGVyaW9kaWNhbD48cGFnZXM+NDE0LTQyNDwvcGFn
ZXM+PHZvbHVtZT4zMzwvdm9sdW1lPjxudW1iZXI+MzwvbnVtYmVyPjxrZXl3b3Jkcz48a2V5d29y
ZD5kaWZmZXJlbnRpYWwgZXhwcmVzc2lvbiBhbmFseXNpczwva2V5d29yZD48a2V5d29yZD5ybmE8
L2tleXdvcmQ+PGtleXdvcmQ+aW50ZXJsZXVraW4tMTM8L2tleXdvcmQ+PGtleXdvcmQ+aWwtMTM8
L2tleXdvcmQ+PGtleXdvcmQ+YmlvY29uZHVjdG9yPC9rZXl3b3JkPjxrZXl3b3JkPmFzc29jaWF0
aW9uPC9rZXl3b3JkPjxrZXl3b3JkPm1pY3JvYXJyYXk8L2tleXdvcmQ+PGtleXdvcmQ+ZnJhbWV3
b3JrPC9rZXl3b3JkPjxrZXl3b3JkPmFjY3VyYXRlPC9rZXl3b3JkPjxrZXl3b3JkPmNvbXBsZXg8
L2tleXdvcmQ+PC9rZXl3b3Jkcz48ZGF0ZXM+PHllYXI+MjAxNzwveWVhcj48cHViLWRhdGVzPjxk
YXRlPkZlYiAxPC9kYXRlPjwvcHViLWRhdGVzPjwvZGF0ZXM+PGlzYm4+MTM2Ny00ODAzPC9pc2Ju
PjxhY2Nlc3Npb24tbnVtPldPUzowMDAzOTcyNjA4MDAwMTQ8L2FjY2Vzc2lvbi1udW0+PHVybHM+
PHJlbGF0ZWQtdXJscz48dXJsPiZsdDtHbyB0byBJU0kmZ3Q7Oi8vV09TOjAwMDM5NzI2MDgwMDAx
NDwvdXJsPjwvcmVsYXRlZC11cmxzPjwvdXJscz48ZWxlY3Ryb25pYy1yZXNvdXJjZS1udW0+MTAu
MTA5My9iaW9pbmZvcm1hdGljcy9idHc2MjM8L2VsZWN0cm9uaWMtcmVzb3VyY2UtbnVtPjxsYW5n
dWFnZT5FbmdsaXNoPC9sYW5ndWFnZT48L3JlY29yZD48L0NpdGU+PC9FbmROb3RlPn==
</w:fldData>
        </w:fldChar>
      </w:r>
      <w:r w:rsidR="006C5A13">
        <w:rPr>
          <w:rFonts w:ascii="Times" w:eastAsiaTheme="minorEastAsia" w:hAnsi="Times" w:cs="Arial"/>
        </w:rPr>
        <w:instrText xml:space="preserve"> ADDIN EN.CITE.DATA </w:instrText>
      </w:r>
      <w:r w:rsidR="006C5A13">
        <w:rPr>
          <w:rFonts w:ascii="Times" w:eastAsiaTheme="minorEastAsia" w:hAnsi="Times" w:cs="Arial"/>
        </w:rPr>
      </w:r>
      <w:r w:rsidR="006C5A13">
        <w:rPr>
          <w:rFonts w:ascii="Times" w:eastAsiaTheme="minorEastAsia" w:hAnsi="Times" w:cs="Arial"/>
        </w:rPr>
        <w:fldChar w:fldCharType="end"/>
      </w:r>
      <w:r w:rsidR="006958EA">
        <w:rPr>
          <w:rFonts w:ascii="Times" w:eastAsiaTheme="minorEastAsia" w:hAnsi="Times" w:cs="Arial"/>
        </w:rPr>
      </w:r>
      <w:r w:rsidR="006958EA">
        <w:rPr>
          <w:rFonts w:ascii="Times" w:eastAsiaTheme="minorEastAsia" w:hAnsi="Times" w:cs="Arial"/>
        </w:rPr>
        <w:fldChar w:fldCharType="separate"/>
      </w:r>
      <w:r w:rsidR="006C5A13" w:rsidRPr="006C5A13">
        <w:rPr>
          <w:rFonts w:ascii="Times" w:eastAsiaTheme="minorEastAsia" w:hAnsi="Times" w:cs="Arial"/>
          <w:noProof/>
          <w:vertAlign w:val="superscript"/>
        </w:rPr>
        <w:t>5</w:t>
      </w:r>
      <w:r w:rsidR="006958EA">
        <w:rPr>
          <w:rFonts w:ascii="Times" w:eastAsiaTheme="minorEastAsia" w:hAnsi="Times" w:cs="Arial"/>
        </w:rPr>
        <w:fldChar w:fldCharType="end"/>
      </w:r>
      <w:r>
        <w:rPr>
          <w:rFonts w:ascii="Times" w:eastAsiaTheme="minorEastAsia" w:hAnsi="Times" w:cs="Arial"/>
        </w:rPr>
        <w:t xml:space="preserve">. Differential expression (from DESeq2) was </w:t>
      </w:r>
      <w:r>
        <w:rPr>
          <w:rFonts w:ascii="Times" w:eastAsiaTheme="minorEastAsia" w:hAnsi="Times" w:cs="Arial" w:hint="eastAsia"/>
        </w:rPr>
        <w:t>plotted</w:t>
      </w:r>
      <w:r>
        <w:rPr>
          <w:rFonts w:ascii="Times" w:eastAsiaTheme="minorEastAsia" w:hAnsi="Times" w:cs="Arial"/>
        </w:rPr>
        <w:t xml:space="preserve"> as volcano plots using ggplot2-volcanoplot package</w:t>
      </w:r>
      <w:r w:rsidR="006958EA">
        <w:rPr>
          <w:rFonts w:ascii="Times" w:eastAsiaTheme="minorEastAsia" w:hAnsi="Times" w:cs="Arial"/>
        </w:rPr>
        <w:fldChar w:fldCharType="begin"/>
      </w:r>
      <w:r w:rsidR="006C5A13">
        <w:rPr>
          <w:rFonts w:ascii="Times" w:eastAsiaTheme="minorEastAsia" w:hAnsi="Times" w:cs="Arial"/>
        </w:rPr>
        <w:instrText xml:space="preserve"> ADDIN EN.CITE &lt;EndNote&gt;&lt;Cite&gt;&lt;Author&gt;Wickham&lt;/Author&gt;&lt;Year&gt;2009&lt;/Year&gt;&lt;RecNum&gt;359&lt;/RecNum&gt;&lt;DisplayText&gt;&lt;style face="superscript"&gt;4&lt;/style&gt;&lt;/DisplayText&gt;&lt;record&gt;&lt;rec-number&gt;359&lt;/rec-number&gt;&lt;foreign-keys&gt;&lt;key app="EN" db-id="z02s092s8pf553ed5sxvx5rmra2d02tp9e9p" timestamp="1621961514"&gt;359&lt;/key&gt;&lt;/foreign-keys&gt;&lt;ref-type name="Journal Article"&gt;17&lt;/ref-type&gt;&lt;contributors&gt;&lt;authors&gt;&lt;author&gt;Wickham, H.&lt;/author&gt;&lt;/authors&gt;&lt;/contributors&gt;&lt;titles&gt;&lt;title&gt;ggplot2: Elegant Graphics for Data Analysis&lt;/title&gt;&lt;secondary-title&gt;Ggplot2: Elegant Graphics for Data Analysis&lt;/secondary-title&gt;&lt;alt-title&gt;Use R&lt;/alt-title&gt;&lt;/titles&gt;&lt;periodical&gt;&lt;full-title&gt;Ggplot2: Elegant Graphics for Data Analysis&lt;/full-title&gt;&lt;abbr-1&gt;Use R&lt;/abbr-1&gt;&lt;/periodical&gt;&lt;alt-periodical&gt;&lt;full-title&gt;Ggplot2: Elegant Graphics for Data Analysis&lt;/full-title&gt;&lt;abbr-1&gt;Use R&lt;/abbr-1&gt;&lt;/alt-periodical&gt;&lt;pages&gt;1-212&lt;/pages&gt;&lt;dates&gt;&lt;year&gt;2009&lt;/year&gt;&lt;/dates&gt;&lt;accession-num&gt;WOS:000269437100014&lt;/accession-num&gt;&lt;urls&gt;&lt;related-urls&gt;&lt;url&gt;&amp;lt;Go to ISI&amp;gt;://WOS:000269437100014&lt;/url&gt;&lt;/related-urls&gt;&lt;/urls&gt;&lt;electronic-resource-num&gt;10.1007/978-0-387-98141-3&lt;/electronic-resource-num&gt;&lt;language&gt;English&lt;/language&gt;&lt;/record&gt;&lt;/Cite&gt;&lt;/EndNote&gt;</w:instrText>
      </w:r>
      <w:r w:rsidR="006958EA">
        <w:rPr>
          <w:rFonts w:ascii="Times" w:eastAsiaTheme="minorEastAsia" w:hAnsi="Times" w:cs="Arial"/>
        </w:rPr>
        <w:fldChar w:fldCharType="separate"/>
      </w:r>
      <w:r w:rsidR="006C5A13" w:rsidRPr="006C5A13">
        <w:rPr>
          <w:rFonts w:ascii="Times" w:eastAsiaTheme="minorEastAsia" w:hAnsi="Times" w:cs="Arial"/>
          <w:noProof/>
          <w:vertAlign w:val="superscript"/>
        </w:rPr>
        <w:t>4</w:t>
      </w:r>
      <w:r w:rsidR="006958EA">
        <w:rPr>
          <w:rFonts w:ascii="Times" w:eastAsiaTheme="minorEastAsia" w:hAnsi="Times" w:cs="Arial"/>
        </w:rPr>
        <w:fldChar w:fldCharType="end"/>
      </w:r>
      <w:r>
        <w:rPr>
          <w:rFonts w:ascii="Times" w:eastAsiaTheme="minorEastAsia" w:hAnsi="Times" w:cs="Arial"/>
        </w:rPr>
        <w:t xml:space="preserve">.  </w:t>
      </w:r>
    </w:p>
    <w:p w14:paraId="6853FF86" w14:textId="36D21450" w:rsidR="00A52897" w:rsidRDefault="00A52897"/>
    <w:p w14:paraId="42CF9619" w14:textId="77777777" w:rsidR="00911FE3" w:rsidRDefault="00A52897" w:rsidP="00A52897">
      <w:pPr>
        <w:spacing w:line="480" w:lineRule="auto"/>
        <w:jc w:val="both"/>
        <w:rPr>
          <w:rFonts w:ascii="Times" w:eastAsiaTheme="minorEastAsia" w:hAnsi="Times" w:cs="Arial"/>
          <w:b/>
          <w:bCs/>
        </w:rPr>
      </w:pPr>
      <w:r w:rsidRPr="00C939BB">
        <w:rPr>
          <w:rFonts w:ascii="Times" w:eastAsiaTheme="minorEastAsia" w:hAnsi="Times" w:cs="Arial" w:hint="eastAsia"/>
          <w:b/>
          <w:bCs/>
          <w:i/>
          <w:iCs/>
        </w:rPr>
        <w:t>In</w:t>
      </w:r>
      <w:r w:rsidRPr="00C939BB">
        <w:rPr>
          <w:rFonts w:ascii="Times" w:eastAsiaTheme="minorEastAsia" w:hAnsi="Times" w:cs="Arial"/>
          <w:b/>
          <w:bCs/>
          <w:i/>
          <w:iCs/>
        </w:rPr>
        <w:t xml:space="preserve"> </w:t>
      </w:r>
      <w:r w:rsidRPr="00C939BB">
        <w:rPr>
          <w:rFonts w:ascii="Times" w:eastAsiaTheme="minorEastAsia" w:hAnsi="Times" w:cs="Arial" w:hint="eastAsia"/>
          <w:b/>
          <w:bCs/>
          <w:i/>
          <w:iCs/>
        </w:rPr>
        <w:t>vivo</w:t>
      </w:r>
      <w:r w:rsidRPr="00C939BB">
        <w:rPr>
          <w:rFonts w:ascii="Times" w:eastAsiaTheme="minorEastAsia" w:hAnsi="Times" w:cs="Arial"/>
          <w:b/>
          <w:bCs/>
        </w:rPr>
        <w:t xml:space="preserve"> efficacy </w:t>
      </w:r>
      <w:r>
        <w:rPr>
          <w:rFonts w:ascii="Times" w:eastAsiaTheme="minorEastAsia" w:hAnsi="Times" w:cs="Arial"/>
          <w:b/>
          <w:bCs/>
        </w:rPr>
        <w:t>on mouse models</w:t>
      </w:r>
    </w:p>
    <w:p w14:paraId="318234F5" w14:textId="19B15326" w:rsidR="00A52897" w:rsidRPr="00911FE3" w:rsidRDefault="00A52897" w:rsidP="00A52897">
      <w:pPr>
        <w:spacing w:line="480" w:lineRule="auto"/>
        <w:jc w:val="both"/>
        <w:rPr>
          <w:rFonts w:ascii="Times" w:eastAsiaTheme="minorEastAsia" w:hAnsi="Times" w:cs="Arial"/>
          <w:b/>
          <w:bCs/>
        </w:rPr>
      </w:pPr>
      <w:r w:rsidRPr="00D01292">
        <w:rPr>
          <w:rFonts w:ascii="Times" w:eastAsiaTheme="minorEastAsia" w:hAnsi="Times" w:cs="Arial"/>
        </w:rPr>
        <w:lastRenderedPageBreak/>
        <w:t xml:space="preserve">12 </w:t>
      </w:r>
      <w:r>
        <w:rPr>
          <w:rFonts w:ascii="Times" w:eastAsiaTheme="minorEastAsia" w:hAnsi="Times" w:cs="Arial"/>
        </w:rPr>
        <w:t>outbred athymic nude mice (J:NU Stock#007850)</w:t>
      </w:r>
      <w:r w:rsidRPr="00D01292">
        <w:rPr>
          <w:rFonts w:ascii="Times" w:eastAsiaTheme="minorEastAsia" w:hAnsi="Times" w:cs="Arial"/>
        </w:rPr>
        <w:t xml:space="preserve"> were treated with RG7388 delivered by oral gavage at 50 mg/kg.</w:t>
      </w:r>
      <w:r>
        <w:rPr>
          <w:rFonts w:ascii="Times" w:eastAsiaTheme="minorEastAsia" w:hAnsi="Times" w:cs="Arial"/>
        </w:rPr>
        <w:t xml:space="preserve"> Two mice were randomly selected and sacrificed at six time points 0.5 hour, 1 hour, 2 hours, 4 hours, 8 hours and 24 hours after the treatment. We collected plasma, cerebrospinal fluid (CSF), cerebral hemispheres tissues and brainstem tissues from the mice. Collected tissues were mixed with water (4X weight) and homogenized using H-speed disperser (ULTRA-TURRAX, Model T10). Proteins in Plasma, CSF and tissue homogenates were precipitated by MeOH/Acetonitrile (1:1, v/v). Supernatants were collected and analyzed by Mass Spectrometry (AB </w:t>
      </w:r>
      <w:proofErr w:type="spellStart"/>
      <w:r>
        <w:rPr>
          <w:rFonts w:ascii="Times" w:eastAsiaTheme="minorEastAsia" w:hAnsi="Times" w:cs="Arial"/>
        </w:rPr>
        <w:t>Sciex</w:t>
      </w:r>
      <w:proofErr w:type="spellEnd"/>
      <w:r>
        <w:rPr>
          <w:rFonts w:ascii="Times" w:eastAsiaTheme="minorEastAsia" w:hAnsi="Times" w:cs="Arial"/>
        </w:rPr>
        <w:t xml:space="preserve"> 5500). The concentration of RG7388 was quantified by Analyst Software 1.6.3.</w:t>
      </w:r>
    </w:p>
    <w:p w14:paraId="53496C10" w14:textId="5F658085" w:rsidR="00A50FF6" w:rsidRDefault="00A52897" w:rsidP="00A52897">
      <w:pPr>
        <w:spacing w:line="480" w:lineRule="auto"/>
        <w:jc w:val="both"/>
        <w:rPr>
          <w:rFonts w:ascii="Times" w:eastAsiaTheme="minorEastAsia" w:hAnsi="Times" w:cs="Arial"/>
          <w:color w:val="000000" w:themeColor="text1"/>
        </w:rPr>
      </w:pPr>
      <w:r>
        <w:rPr>
          <w:rFonts w:ascii="Times" w:eastAsiaTheme="minorEastAsia" w:hAnsi="Times" w:cs="Arial"/>
        </w:rPr>
        <w:t xml:space="preserve">To further access the </w:t>
      </w:r>
      <w:r w:rsidRPr="00AB4A50">
        <w:rPr>
          <w:rFonts w:ascii="Times" w:eastAsiaTheme="minorEastAsia" w:hAnsi="Times" w:cs="Arial"/>
          <w:i/>
          <w:iCs/>
        </w:rPr>
        <w:t xml:space="preserve">in vivo </w:t>
      </w:r>
      <w:r>
        <w:rPr>
          <w:rFonts w:ascii="Times" w:eastAsiaTheme="minorEastAsia" w:hAnsi="Times" w:cs="Arial"/>
        </w:rPr>
        <w:t xml:space="preserve">efficacy of RG7388 on orthotopic DIPG models, </w:t>
      </w:r>
      <w:r>
        <w:rPr>
          <w:rFonts w:ascii="Times" w:eastAsiaTheme="minorEastAsia" w:hAnsi="Times" w:cs="Arial" w:hint="eastAsia"/>
        </w:rPr>
        <w:t>HSJD</w:t>
      </w:r>
      <w:r>
        <w:rPr>
          <w:rFonts w:ascii="Times" w:eastAsiaTheme="minorEastAsia" w:hAnsi="Times" w:cs="Arial"/>
        </w:rPr>
        <w:t xml:space="preserve">-DIPG-007 cells were transduced with </w:t>
      </w:r>
      <w:r w:rsidRPr="0014240F">
        <w:rPr>
          <w:rFonts w:ascii="Times" w:eastAsiaTheme="minorEastAsia" w:hAnsi="Times" w:cs="Arial"/>
        </w:rPr>
        <w:t xml:space="preserve">CMV-Firefly luciferase </w:t>
      </w:r>
      <w:proofErr w:type="spellStart"/>
      <w:r w:rsidRPr="0014240F">
        <w:rPr>
          <w:rFonts w:ascii="Times" w:eastAsiaTheme="minorEastAsia" w:hAnsi="Times" w:cs="Arial"/>
        </w:rPr>
        <w:t>lentivirus</w:t>
      </w:r>
      <w:proofErr w:type="spellEnd"/>
      <w:r>
        <w:rPr>
          <w:rFonts w:ascii="Times" w:eastAsiaTheme="minorEastAsia" w:hAnsi="Times" w:cs="Arial"/>
        </w:rPr>
        <w:t xml:space="preserve"> (</w:t>
      </w:r>
      <w:proofErr w:type="spellStart"/>
      <w:r>
        <w:rPr>
          <w:rFonts w:ascii="Times" w:eastAsiaTheme="minorEastAsia" w:hAnsi="Times" w:cs="Arial"/>
        </w:rPr>
        <w:t>Cellomics</w:t>
      </w:r>
      <w:proofErr w:type="spellEnd"/>
      <w:r>
        <w:rPr>
          <w:rFonts w:ascii="Times" w:eastAsiaTheme="minorEastAsia" w:hAnsi="Times" w:cs="Arial"/>
        </w:rPr>
        <w:t xml:space="preserve"> Technology cat#C839R47). </w:t>
      </w:r>
      <w:r w:rsidRPr="001D7530">
        <w:rPr>
          <w:rFonts w:ascii="Times" w:eastAsiaTheme="minorEastAsia" w:hAnsi="Times" w:cs="Arial"/>
        </w:rPr>
        <w:t>Stereotactic injection</w:t>
      </w:r>
      <w:r>
        <w:rPr>
          <w:rFonts w:ascii="Times" w:eastAsiaTheme="minorEastAsia" w:hAnsi="Times" w:cs="Arial"/>
        </w:rPr>
        <w:t xml:space="preserve"> equipment was used, and the coordinate was </w:t>
      </w:r>
      <w:r w:rsidRPr="001D7530">
        <w:rPr>
          <w:rFonts w:ascii="Times" w:eastAsiaTheme="minorEastAsia" w:hAnsi="Times" w:cs="Arial"/>
        </w:rPr>
        <w:t xml:space="preserve">1.5mm posterior to </w:t>
      </w:r>
      <w:r>
        <w:rPr>
          <w:rFonts w:ascii="Times" w:eastAsiaTheme="minorEastAsia" w:hAnsi="Times" w:cs="Arial"/>
        </w:rPr>
        <w:t>L</w:t>
      </w:r>
      <w:r w:rsidRPr="001D7530">
        <w:rPr>
          <w:rFonts w:ascii="Times" w:eastAsiaTheme="minorEastAsia" w:hAnsi="Times" w:cs="Arial"/>
        </w:rPr>
        <w:t>am</w:t>
      </w:r>
      <w:r>
        <w:rPr>
          <w:rFonts w:ascii="Times" w:eastAsiaTheme="minorEastAsia" w:hAnsi="Times" w:cs="Arial"/>
        </w:rPr>
        <w:t>b</w:t>
      </w:r>
      <w:r w:rsidRPr="001D7530">
        <w:rPr>
          <w:rFonts w:ascii="Times" w:eastAsiaTheme="minorEastAsia" w:hAnsi="Times" w:cs="Arial"/>
        </w:rPr>
        <w:t xml:space="preserve">da, 1.0mm lateral to midline and 4.5mm beneath the skull. </w:t>
      </w:r>
      <w:r>
        <w:rPr>
          <w:rFonts w:ascii="Times" w:eastAsiaTheme="minorEastAsia" w:hAnsi="Times" w:cs="Arial"/>
        </w:rPr>
        <w:t>5 x 10</w:t>
      </w:r>
      <w:r w:rsidRPr="001D7530">
        <w:rPr>
          <w:rFonts w:ascii="Times" w:eastAsiaTheme="minorEastAsia" w:hAnsi="Times" w:cs="Arial"/>
          <w:vertAlign w:val="superscript"/>
        </w:rPr>
        <w:t>5</w:t>
      </w:r>
      <w:r>
        <w:rPr>
          <w:rFonts w:ascii="Times" w:eastAsiaTheme="minorEastAsia" w:hAnsi="Times" w:cs="Arial"/>
        </w:rPr>
        <w:t xml:space="preserve"> </w:t>
      </w:r>
      <w:r w:rsidRPr="001D7530">
        <w:rPr>
          <w:rFonts w:ascii="Times" w:eastAsiaTheme="minorEastAsia" w:hAnsi="Times" w:cs="Arial"/>
        </w:rPr>
        <w:t xml:space="preserve">cells </w:t>
      </w:r>
      <w:r>
        <w:rPr>
          <w:rFonts w:ascii="Times" w:eastAsiaTheme="minorEastAsia" w:hAnsi="Times" w:cs="Arial"/>
        </w:rPr>
        <w:t xml:space="preserve">were </w:t>
      </w:r>
      <w:r w:rsidRPr="001D7530">
        <w:rPr>
          <w:rFonts w:ascii="Times" w:eastAsiaTheme="minorEastAsia" w:hAnsi="Times" w:cs="Arial"/>
        </w:rPr>
        <w:t>injected</w:t>
      </w:r>
      <w:r>
        <w:rPr>
          <w:rFonts w:ascii="Times" w:eastAsiaTheme="minorEastAsia" w:hAnsi="Times" w:cs="Arial"/>
        </w:rPr>
        <w:t xml:space="preserve"> into the </w:t>
      </w:r>
      <w:r w:rsidRPr="001D7530">
        <w:rPr>
          <w:rFonts w:ascii="Times" w:eastAsiaTheme="minorEastAsia" w:hAnsi="Times" w:cs="Arial"/>
        </w:rPr>
        <w:t>brainstem of six to eight weeks old nude mice</w:t>
      </w:r>
      <w:r>
        <w:rPr>
          <w:rFonts w:ascii="Times" w:eastAsiaTheme="minorEastAsia" w:hAnsi="Times" w:cs="Arial"/>
        </w:rPr>
        <w:t xml:space="preserve"> (n=18) from The Jackson Laboratory. Every three days, mice were injected with D-</w:t>
      </w:r>
      <w:proofErr w:type="spellStart"/>
      <w:r>
        <w:rPr>
          <w:rFonts w:ascii="Times" w:eastAsiaTheme="minorEastAsia" w:hAnsi="Times" w:cs="Arial"/>
        </w:rPr>
        <w:t>Luciferin</w:t>
      </w:r>
      <w:proofErr w:type="spellEnd"/>
      <w:r>
        <w:rPr>
          <w:rFonts w:ascii="Times" w:eastAsiaTheme="minorEastAsia" w:hAnsi="Times" w:cs="Arial"/>
        </w:rPr>
        <w:t xml:space="preserve"> (</w:t>
      </w:r>
      <w:proofErr w:type="spellStart"/>
      <w:r>
        <w:rPr>
          <w:rFonts w:ascii="Times" w:eastAsiaTheme="minorEastAsia" w:hAnsi="Times" w:cs="Arial"/>
        </w:rPr>
        <w:t>GoldBio</w:t>
      </w:r>
      <w:proofErr w:type="spellEnd"/>
      <w:r>
        <w:rPr>
          <w:rFonts w:ascii="Times" w:eastAsiaTheme="minorEastAsia" w:hAnsi="Times" w:cs="Arial"/>
        </w:rPr>
        <w:t xml:space="preserve"> </w:t>
      </w:r>
      <w:proofErr w:type="spellStart"/>
      <w:r>
        <w:rPr>
          <w:rFonts w:ascii="Times" w:eastAsiaTheme="minorEastAsia" w:hAnsi="Times" w:cs="Arial"/>
        </w:rPr>
        <w:t>cat#LUCNA</w:t>
      </w:r>
      <w:proofErr w:type="spellEnd"/>
      <w:r>
        <w:rPr>
          <w:rFonts w:ascii="Times" w:eastAsiaTheme="minorEastAsia" w:hAnsi="Times" w:cs="Arial"/>
        </w:rPr>
        <w:t xml:space="preserve">) and luminescence signals were monitored using IVIS Spectrum </w:t>
      </w:r>
      <w:r w:rsidRPr="001D7530">
        <w:rPr>
          <w:rFonts w:ascii="Times" w:eastAsiaTheme="minorEastAsia" w:hAnsi="Times" w:cs="Arial"/>
        </w:rPr>
        <w:t>In Vivo</w:t>
      </w:r>
      <w:r>
        <w:rPr>
          <w:rFonts w:ascii="Times" w:eastAsiaTheme="minorEastAsia" w:hAnsi="Times" w:cs="Arial"/>
        </w:rPr>
        <w:t xml:space="preserve"> Imaging System. On the 21</w:t>
      </w:r>
      <w:r w:rsidRPr="001D7530">
        <w:rPr>
          <w:rFonts w:ascii="Times" w:eastAsiaTheme="minorEastAsia" w:hAnsi="Times" w:cs="Arial"/>
        </w:rPr>
        <w:t>st</w:t>
      </w:r>
      <w:r>
        <w:rPr>
          <w:rFonts w:ascii="Times" w:eastAsiaTheme="minorEastAsia" w:hAnsi="Times" w:cs="Arial"/>
        </w:rPr>
        <w:t xml:space="preserve">-day post injection, mice with </w:t>
      </w:r>
      <w:r>
        <w:rPr>
          <w:rFonts w:ascii="Times" w:eastAsiaTheme="minorEastAsia" w:hAnsi="Times" w:cs="Arial" w:hint="eastAsia"/>
        </w:rPr>
        <w:t>similar</w:t>
      </w:r>
      <w:r>
        <w:rPr>
          <w:rFonts w:ascii="Times" w:eastAsiaTheme="minorEastAsia" w:hAnsi="Times" w:cs="Arial"/>
        </w:rPr>
        <w:t xml:space="preserve"> </w:t>
      </w:r>
      <w:r w:rsidRPr="00C6254D">
        <w:rPr>
          <w:rFonts w:ascii="Times" w:eastAsiaTheme="minorEastAsia" w:hAnsi="Times" w:cs="Arial"/>
        </w:rPr>
        <w:t>bioluminescence</w:t>
      </w:r>
      <w:r>
        <w:rPr>
          <w:rFonts w:ascii="Times" w:eastAsiaTheme="minorEastAsia" w:hAnsi="Times" w:cs="Arial"/>
        </w:rPr>
        <w:t xml:space="preserve"> signals were randomly assigned to vehicle group or RG7388 treatment group</w:t>
      </w:r>
      <w:r w:rsidR="00911FE3">
        <w:rPr>
          <w:rFonts w:ascii="Times" w:eastAsiaTheme="minorEastAsia" w:hAnsi="Times" w:cs="Arial"/>
        </w:rPr>
        <w:t xml:space="preserve"> </w:t>
      </w:r>
      <w:r w:rsidR="00911FE3">
        <w:rPr>
          <w:rFonts w:ascii="Times" w:eastAsia="DengXian" w:hAnsi="Times" w:cs="Arial"/>
        </w:rPr>
        <w:t>(n=18)</w:t>
      </w:r>
      <w:r>
        <w:rPr>
          <w:rFonts w:ascii="Times" w:eastAsiaTheme="minorEastAsia" w:hAnsi="Times" w:cs="Arial"/>
        </w:rPr>
        <w:t xml:space="preserve">. </w:t>
      </w:r>
      <w:r>
        <w:rPr>
          <w:rFonts w:ascii="Times" w:eastAsiaTheme="minorEastAsia" w:hAnsi="Times" w:cs="Arial" w:hint="eastAsia"/>
        </w:rPr>
        <w:t>For</w:t>
      </w:r>
      <w:r>
        <w:rPr>
          <w:rFonts w:ascii="Times" w:eastAsiaTheme="minorEastAsia" w:hAnsi="Times" w:cs="Arial"/>
        </w:rPr>
        <w:t xml:space="preserve"> each group, mice were treated by oral gavage with 50mg/kg of </w:t>
      </w:r>
      <w:r>
        <w:rPr>
          <w:rFonts w:ascii="Times" w:eastAsiaTheme="minorEastAsia" w:hAnsi="Times" w:cs="Arial" w:hint="eastAsia"/>
        </w:rPr>
        <w:t>RG</w:t>
      </w:r>
      <w:r>
        <w:rPr>
          <w:rFonts w:ascii="Times" w:eastAsiaTheme="minorEastAsia" w:hAnsi="Times" w:cs="Arial"/>
        </w:rPr>
        <w:t>7388 (</w:t>
      </w:r>
      <w:proofErr w:type="spellStart"/>
      <w:r>
        <w:rPr>
          <w:rFonts w:ascii="Times" w:eastAsiaTheme="minorEastAsia" w:hAnsi="Times" w:cs="Arial"/>
        </w:rPr>
        <w:t>AstaTech</w:t>
      </w:r>
      <w:proofErr w:type="spellEnd"/>
      <w:r>
        <w:rPr>
          <w:rFonts w:ascii="Times" w:eastAsiaTheme="minorEastAsia" w:hAnsi="Times" w:cs="Arial"/>
        </w:rPr>
        <w:t xml:space="preserve"> cat#40916) dissolved </w:t>
      </w:r>
      <w:r>
        <w:rPr>
          <w:rFonts w:ascii="Times" w:eastAsiaTheme="minorEastAsia" w:hAnsi="Times" w:cs="Arial" w:hint="eastAsia"/>
        </w:rPr>
        <w:t>in</w:t>
      </w:r>
      <w:r>
        <w:rPr>
          <w:rFonts w:ascii="Times" w:eastAsiaTheme="minorEastAsia" w:hAnsi="Times" w:cs="Arial"/>
        </w:rPr>
        <w:t xml:space="preserve"> </w:t>
      </w:r>
      <w:r w:rsidRPr="00142F00">
        <w:rPr>
          <w:rFonts w:ascii="Times" w:eastAsiaTheme="minorEastAsia" w:hAnsi="Times" w:cs="Arial"/>
        </w:rPr>
        <w:t>(2-Hydroxypropyl)-β-</w:t>
      </w:r>
      <w:proofErr w:type="spellStart"/>
      <w:r w:rsidRPr="00142F00">
        <w:rPr>
          <w:rFonts w:ascii="Times" w:eastAsiaTheme="minorEastAsia" w:hAnsi="Times" w:cs="Arial"/>
        </w:rPr>
        <w:t>cyclodextrin</w:t>
      </w:r>
      <w:proofErr w:type="spellEnd"/>
      <w:r w:rsidRPr="00142F00">
        <w:rPr>
          <w:rFonts w:ascii="Times" w:eastAsiaTheme="minorEastAsia" w:hAnsi="Times" w:cs="Arial"/>
        </w:rPr>
        <w:t xml:space="preserve"> solution</w:t>
      </w:r>
      <w:r>
        <w:rPr>
          <w:rFonts w:ascii="Times" w:eastAsiaTheme="minorEastAsia" w:hAnsi="Times" w:cs="Arial"/>
        </w:rPr>
        <w:t xml:space="preserve"> (</w:t>
      </w:r>
      <w:proofErr w:type="spellStart"/>
      <w:r w:rsidRPr="00142F00">
        <w:rPr>
          <w:rFonts w:ascii="Times" w:eastAsiaTheme="minorEastAsia" w:hAnsi="Times" w:cs="Arial"/>
        </w:rPr>
        <w:t>MilliporeSigma</w:t>
      </w:r>
      <w:proofErr w:type="spellEnd"/>
      <w:r>
        <w:rPr>
          <w:rFonts w:ascii="Times" w:eastAsiaTheme="minorEastAsia" w:hAnsi="Times" w:cs="Arial"/>
        </w:rPr>
        <w:t xml:space="preserve"> cat#332607) or vehicle once per day, five days per week for three weeks. Mice were assessed for neurological symptoms and weight loss and sacrificed when either 20% weight loss was measured or when they exhibited neurologic symptoms.  </w:t>
      </w:r>
      <w:r w:rsidRPr="00753CA1">
        <w:rPr>
          <w:rFonts w:ascii="Times" w:eastAsiaTheme="minorEastAsia" w:hAnsi="Times" w:cs="Arial"/>
        </w:rPr>
        <w:t>Kaplan–Meier</w:t>
      </w:r>
      <w:r>
        <w:rPr>
          <w:rFonts w:ascii="Times" w:eastAsiaTheme="minorEastAsia" w:hAnsi="Times" w:cs="Arial"/>
        </w:rPr>
        <w:t xml:space="preserve"> curves were used for survival analysis</w:t>
      </w:r>
      <w:r w:rsidRPr="00483C51">
        <w:rPr>
          <w:rFonts w:ascii="Times" w:eastAsiaTheme="minorEastAsia" w:hAnsi="Times" w:cs="Arial"/>
          <w:color w:val="000000" w:themeColor="text1"/>
        </w:rPr>
        <w:t xml:space="preserve">. </w:t>
      </w:r>
    </w:p>
    <w:p w14:paraId="540047A1" w14:textId="77777777" w:rsidR="00911FE3" w:rsidRDefault="00911FE3" w:rsidP="00A52897">
      <w:pPr>
        <w:spacing w:line="480" w:lineRule="auto"/>
        <w:jc w:val="both"/>
        <w:rPr>
          <w:rFonts w:ascii="Times" w:eastAsiaTheme="minorEastAsia" w:hAnsi="Times" w:cs="Arial"/>
          <w:color w:val="000000" w:themeColor="text1"/>
        </w:rPr>
      </w:pPr>
    </w:p>
    <w:p w14:paraId="660A1770" w14:textId="77777777" w:rsidR="00A50FF6" w:rsidRPr="00E611FB" w:rsidRDefault="00A50FF6" w:rsidP="00A50FF6">
      <w:pPr>
        <w:tabs>
          <w:tab w:val="left" w:pos="7200"/>
        </w:tabs>
        <w:spacing w:line="480" w:lineRule="auto"/>
        <w:jc w:val="both"/>
        <w:rPr>
          <w:rFonts w:ascii="Times" w:eastAsiaTheme="minorEastAsia" w:hAnsi="Times" w:cs="Arial"/>
          <w:b/>
          <w:bCs/>
        </w:rPr>
      </w:pPr>
      <w:r w:rsidRPr="00D21E76">
        <w:rPr>
          <w:rFonts w:ascii="Times" w:eastAsiaTheme="minorEastAsia" w:hAnsi="Times" w:cs="Arial"/>
          <w:b/>
          <w:bCs/>
        </w:rPr>
        <w:t xml:space="preserve">H&amp;E </w:t>
      </w:r>
      <w:r>
        <w:rPr>
          <w:rFonts w:ascii="Times" w:eastAsiaTheme="minorEastAsia" w:hAnsi="Times" w:cs="Arial"/>
          <w:b/>
          <w:bCs/>
        </w:rPr>
        <w:t>and i</w:t>
      </w:r>
      <w:r w:rsidRPr="00D21E76">
        <w:rPr>
          <w:rFonts w:ascii="Times" w:eastAsiaTheme="minorEastAsia" w:hAnsi="Times" w:cs="Arial"/>
          <w:b/>
          <w:bCs/>
        </w:rPr>
        <w:t xml:space="preserve">mmunofluorescence </w:t>
      </w:r>
      <w:r>
        <w:rPr>
          <w:rFonts w:ascii="Times" w:eastAsiaTheme="minorEastAsia" w:hAnsi="Times" w:cs="Arial"/>
          <w:b/>
          <w:bCs/>
        </w:rPr>
        <w:t>staining</w:t>
      </w:r>
      <w:r>
        <w:rPr>
          <w:rFonts w:ascii="Times" w:eastAsiaTheme="minorEastAsia" w:hAnsi="Times" w:cs="Arial"/>
          <w:b/>
          <w:bCs/>
        </w:rPr>
        <w:tab/>
      </w:r>
    </w:p>
    <w:p w14:paraId="2C320A6A" w14:textId="51272F41" w:rsidR="00A50FF6" w:rsidRDefault="00A50FF6" w:rsidP="00A50FF6">
      <w:pPr>
        <w:spacing w:line="480" w:lineRule="auto"/>
        <w:jc w:val="both"/>
        <w:rPr>
          <w:rFonts w:ascii="Times" w:eastAsiaTheme="minorEastAsia" w:hAnsi="Times" w:cs="Arial"/>
          <w:color w:val="000000" w:themeColor="text1"/>
        </w:rPr>
      </w:pPr>
      <w:r w:rsidRPr="00A6011D">
        <w:rPr>
          <w:rFonts w:ascii="Times" w:eastAsiaTheme="minorEastAsia" w:hAnsi="Times" w:cs="Arial"/>
          <w:color w:val="000000" w:themeColor="text1"/>
        </w:rPr>
        <w:t xml:space="preserve">Standard H&amp;E </w:t>
      </w:r>
      <w:r>
        <w:rPr>
          <w:rFonts w:ascii="Times" w:eastAsiaTheme="minorEastAsia" w:hAnsi="Times" w:cs="Arial"/>
          <w:color w:val="000000" w:themeColor="text1"/>
        </w:rPr>
        <w:t xml:space="preserve">staining </w:t>
      </w:r>
      <w:r w:rsidRPr="00A6011D">
        <w:rPr>
          <w:rFonts w:ascii="Times" w:eastAsiaTheme="minorEastAsia" w:hAnsi="Times" w:cs="Arial"/>
          <w:color w:val="000000" w:themeColor="text1"/>
        </w:rPr>
        <w:t>procedures were performed</w:t>
      </w:r>
      <w:r>
        <w:rPr>
          <w:rFonts w:ascii="Times" w:eastAsiaTheme="minorEastAsia" w:hAnsi="Times" w:cs="Arial"/>
          <w:color w:val="000000" w:themeColor="text1"/>
        </w:rPr>
        <w:t>,</w:t>
      </w:r>
      <w:r w:rsidRPr="00A6011D">
        <w:rPr>
          <w:rFonts w:ascii="Times" w:eastAsiaTheme="minorEastAsia" w:hAnsi="Times" w:cs="Arial"/>
          <w:color w:val="000000" w:themeColor="text1"/>
        </w:rPr>
        <w:t xml:space="preserve"> requiring paraffin sections to undergo deparaffinization in 3 washes with Sub-X</w:t>
      </w:r>
      <w:r>
        <w:rPr>
          <w:rFonts w:ascii="Times" w:eastAsiaTheme="minorEastAsia" w:hAnsi="Times" w:cs="Arial"/>
          <w:color w:val="000000" w:themeColor="text1"/>
        </w:rPr>
        <w:t xml:space="preserve"> (Leica Cat#</w:t>
      </w:r>
      <w:r w:rsidRPr="002E3E76">
        <w:rPr>
          <w:rFonts w:ascii="Times" w:eastAsiaTheme="minorEastAsia" w:hAnsi="Times" w:cs="Arial"/>
          <w:color w:val="000000" w:themeColor="text1"/>
        </w:rPr>
        <w:t>3803670</w:t>
      </w:r>
      <w:r>
        <w:rPr>
          <w:rFonts w:ascii="Times" w:eastAsiaTheme="minorEastAsia" w:hAnsi="Times" w:cs="Arial"/>
          <w:color w:val="000000" w:themeColor="text1"/>
        </w:rPr>
        <w:t>)</w:t>
      </w:r>
      <w:r w:rsidRPr="00A6011D">
        <w:rPr>
          <w:rFonts w:ascii="Times" w:eastAsiaTheme="minorEastAsia" w:hAnsi="Times" w:cs="Arial"/>
          <w:color w:val="000000" w:themeColor="text1"/>
        </w:rPr>
        <w:t xml:space="preserve"> followed by rehydration in a graded ethanol series, Hematoxylin staining, wash with ammonia water, eosin staining, dehydration </w:t>
      </w:r>
      <w:r w:rsidR="006958EA" w:rsidRPr="00A6011D">
        <w:rPr>
          <w:rFonts w:ascii="Times" w:eastAsiaTheme="minorEastAsia" w:hAnsi="Times" w:cs="Arial"/>
          <w:color w:val="000000" w:themeColor="text1"/>
        </w:rPr>
        <w:t>in a</w:t>
      </w:r>
      <w:r w:rsidRPr="00A6011D">
        <w:rPr>
          <w:rFonts w:ascii="Times" w:eastAsiaTheme="minorEastAsia" w:hAnsi="Times" w:cs="Arial"/>
          <w:color w:val="000000" w:themeColor="text1"/>
        </w:rPr>
        <w:t xml:space="preserve"> graded ethanol series, and clearing in Sub-X followed by mounting with a Sub-X</w:t>
      </w:r>
      <w:r>
        <w:rPr>
          <w:rFonts w:ascii="Times" w:eastAsiaTheme="minorEastAsia" w:hAnsi="Times" w:cs="Arial"/>
          <w:color w:val="000000" w:themeColor="text1"/>
        </w:rPr>
        <w:t>-</w:t>
      </w:r>
      <w:r w:rsidRPr="00A6011D">
        <w:rPr>
          <w:rFonts w:ascii="Times" w:eastAsiaTheme="minorEastAsia" w:hAnsi="Times" w:cs="Arial"/>
          <w:color w:val="000000" w:themeColor="text1"/>
        </w:rPr>
        <w:t>based  mounting  media</w:t>
      </w:r>
      <w:r>
        <w:rPr>
          <w:rFonts w:ascii="Times" w:eastAsiaTheme="minorEastAsia" w:hAnsi="Times" w:cs="Arial"/>
          <w:color w:val="000000" w:themeColor="text1"/>
        </w:rPr>
        <w:t xml:space="preserve"> (Leica Cat#</w:t>
      </w:r>
      <w:r w:rsidRPr="00EA0B37">
        <w:rPr>
          <w:rFonts w:ascii="Times" w:eastAsiaTheme="minorEastAsia" w:hAnsi="Times" w:cs="Arial"/>
          <w:color w:val="000000" w:themeColor="text1"/>
        </w:rPr>
        <w:t>3801740</w:t>
      </w:r>
      <w:r>
        <w:rPr>
          <w:rFonts w:ascii="Times" w:eastAsiaTheme="minorEastAsia" w:hAnsi="Times" w:cs="Arial"/>
          <w:color w:val="000000" w:themeColor="text1"/>
        </w:rPr>
        <w:t>)</w:t>
      </w:r>
      <w:r w:rsidRPr="00A6011D">
        <w:rPr>
          <w:rFonts w:ascii="Times" w:eastAsiaTheme="minorEastAsia" w:hAnsi="Times" w:cs="Arial"/>
          <w:color w:val="000000" w:themeColor="text1"/>
        </w:rPr>
        <w:t>. Standard immunofluorescent staining procedures were performed</w:t>
      </w:r>
      <w:r w:rsidR="006958EA">
        <w:rPr>
          <w:rFonts w:ascii="Times" w:eastAsiaTheme="minorEastAsia" w:hAnsi="Times" w:cs="Arial"/>
          <w:color w:val="000000" w:themeColor="text1"/>
        </w:rPr>
        <w:fldChar w:fldCharType="begin"/>
      </w:r>
      <w:r w:rsidR="006C5A13">
        <w:rPr>
          <w:rFonts w:ascii="Times" w:eastAsiaTheme="minorEastAsia" w:hAnsi="Times" w:cs="Arial"/>
          <w:color w:val="000000" w:themeColor="text1"/>
        </w:rPr>
        <w:instrText xml:space="preserve"> ADDIN EN.CITE &lt;EndNote&gt;&lt;Cite&gt;&lt;Author&gt;Wang&lt;/Author&gt;&lt;Year&gt;2014&lt;/Year&gt;&lt;RecNum&gt;362&lt;/RecNum&gt;&lt;DisplayText&gt;&lt;style face="superscript"&gt;6&lt;/style&gt;&lt;/DisplayText&gt;&lt;record&gt;&lt;rec-number&gt;362&lt;/rec-number&gt;&lt;foreign-keys&gt;&lt;key app="EN" db-id="z02s092s8pf553ed5sxvx5rmra2d02tp9e9p" timestamp="1621961788"&gt;362&lt;/key&gt;&lt;/foreign-keys&gt;&lt;ref-type name="Journal Article"&gt;17&lt;/ref-type&gt;&lt;contributors&gt;&lt;authors&gt;&lt;author&gt;Wang, C. C.&lt;/author&gt;&lt;author&gt;Bajikar, S. S.&lt;/author&gt;&lt;author&gt;Jamal, L.&lt;/author&gt;&lt;author&gt;Atkins, K. A.&lt;/author&gt;&lt;author&gt;Janes, K. A.&lt;/author&gt;&lt;/authors&gt;&lt;/contributors&gt;&lt;auth-address&gt;Univ Virginia, Dept Biomed Engn, Charlottesville, VA 22908 USA&amp;#xD;Univ Virginia, Dept Pathol, Charlottesville, VA 22908 USA&lt;/auth-address&gt;&lt;titles&gt;&lt;title&gt;A time-and matrix-dependent TGFBR3-JUND-KRT5 regulatory circuit in single breast epithelial cells and basal-like premalignancies&lt;/title&gt;&lt;secondary-title&gt;Nature Cell Biology&lt;/secondary-title&gt;&lt;alt-title&gt;Nat Cell Biol&lt;/alt-title&gt;&lt;/titles&gt;&lt;periodical&gt;&lt;full-title&gt;Nature Cell Biology&lt;/full-title&gt;&lt;abbr-1&gt;Nat Cell Biol&lt;/abbr-1&gt;&lt;/periodical&gt;&lt;alt-periodical&gt;&lt;full-title&gt;Nature Cell Biology&lt;/full-title&gt;&lt;abbr-1&gt;Nat Cell Biol&lt;/abbr-1&gt;&lt;/alt-periodical&gt;&lt;pages&gt;345-+&lt;/pages&gt;&lt;volume&gt;16&lt;/volume&gt;&lt;number&gt;4&lt;/number&gt;&lt;keywords&gt;&lt;keyword&gt;carcinoma in-situ&lt;/keyword&gt;&lt;keyword&gt;stochastic gene-expression&lt;/keyword&gt;&lt;keyword&gt;human protein atlas&lt;/keyword&gt;&lt;keyword&gt;iii tgf-beta&lt;/keyword&gt;&lt;keyword&gt;cancer-cells&lt;/keyword&gt;&lt;keyword&gt;tenascin expression&lt;/keyword&gt;&lt;keyword&gt;fluorescent protein&lt;/keyword&gt;&lt;keyword&gt;signaling pathways&lt;/keyword&gt;&lt;keyword&gt;negative feedback&lt;/keyword&gt;&lt;keyword&gt;morphogenesis&lt;/keyword&gt;&lt;/keywords&gt;&lt;dates&gt;&lt;year&gt;2014&lt;/year&gt;&lt;pub-dates&gt;&lt;date&gt;Apr&lt;/date&gt;&lt;/pub-dates&gt;&lt;/dates&gt;&lt;isbn&gt;1465-7392&lt;/isbn&gt;&lt;accession-num&gt;WOS:000333556900008&lt;/accession-num&gt;&lt;urls&gt;&lt;related-urls&gt;&lt;url&gt;&amp;lt;Go to ISI&amp;gt;://WOS:000333556900008&lt;/url&gt;&lt;/related-urls&gt;&lt;/urls&gt;&lt;electronic-resource-num&gt;10.1038/ncb2930&lt;/electronic-resource-num&gt;&lt;language&gt;English&lt;/language&gt;&lt;/record&gt;&lt;/Cite&gt;&lt;/EndNote&gt;</w:instrText>
      </w:r>
      <w:r w:rsidR="006958EA">
        <w:rPr>
          <w:rFonts w:ascii="Times" w:eastAsiaTheme="minorEastAsia" w:hAnsi="Times" w:cs="Arial"/>
          <w:color w:val="000000" w:themeColor="text1"/>
        </w:rPr>
        <w:fldChar w:fldCharType="separate"/>
      </w:r>
      <w:r w:rsidR="006C5A13" w:rsidRPr="006C5A13">
        <w:rPr>
          <w:rFonts w:ascii="Times" w:eastAsiaTheme="minorEastAsia" w:hAnsi="Times" w:cs="Arial"/>
          <w:noProof/>
          <w:color w:val="000000" w:themeColor="text1"/>
          <w:vertAlign w:val="superscript"/>
        </w:rPr>
        <w:t>6</w:t>
      </w:r>
      <w:r w:rsidR="006958EA">
        <w:rPr>
          <w:rFonts w:ascii="Times" w:eastAsiaTheme="minorEastAsia" w:hAnsi="Times" w:cs="Arial"/>
          <w:color w:val="000000" w:themeColor="text1"/>
        </w:rPr>
        <w:fldChar w:fldCharType="end"/>
      </w:r>
      <w:r w:rsidRPr="00A6011D">
        <w:rPr>
          <w:rFonts w:ascii="Times" w:eastAsiaTheme="minorEastAsia" w:hAnsi="Times" w:cs="Arial"/>
          <w:color w:val="000000" w:themeColor="text1"/>
        </w:rPr>
        <w:t xml:space="preserve">. </w:t>
      </w:r>
      <w:r w:rsidRPr="00A6011D">
        <w:rPr>
          <w:rFonts w:ascii="Times" w:eastAsiaTheme="minorEastAsia" w:hAnsi="Times" w:cs="Arial" w:hint="eastAsia"/>
          <w:color w:val="000000" w:themeColor="text1"/>
        </w:rPr>
        <w:t>Primary</w:t>
      </w:r>
      <w:r w:rsidRPr="00A6011D">
        <w:rPr>
          <w:rFonts w:ascii="Times" w:eastAsiaTheme="minorEastAsia" w:hAnsi="Times" w:cs="Arial"/>
          <w:color w:val="000000" w:themeColor="text1"/>
        </w:rPr>
        <w:t xml:space="preserve"> </w:t>
      </w:r>
      <w:r w:rsidRPr="00A6011D">
        <w:rPr>
          <w:rFonts w:ascii="Times" w:eastAsiaTheme="minorEastAsia" w:hAnsi="Times" w:cs="Arial" w:hint="eastAsia"/>
          <w:color w:val="000000" w:themeColor="text1"/>
        </w:rPr>
        <w:t>antibodies</w:t>
      </w:r>
      <w:r w:rsidRPr="00A6011D">
        <w:rPr>
          <w:rFonts w:ascii="Times" w:eastAsiaTheme="minorEastAsia" w:hAnsi="Times" w:cs="Arial"/>
          <w:color w:val="000000" w:themeColor="text1"/>
        </w:rPr>
        <w:t>: H3K27M (Cell Signaling Cat#74829, 1:1000) and p21 (Cell Signaling Cat#2947, 1:1000). Secondary antibody: anti-rabbit IgG Alexa Fluor 488 (Thermo</w:t>
      </w:r>
      <w:r>
        <w:rPr>
          <w:rFonts w:ascii="Times" w:eastAsiaTheme="minorEastAsia" w:hAnsi="Times" w:cs="Arial"/>
          <w:color w:val="000000" w:themeColor="text1"/>
        </w:rPr>
        <w:t xml:space="preserve"> </w:t>
      </w:r>
      <w:r w:rsidRPr="00A6011D">
        <w:rPr>
          <w:rFonts w:ascii="Times" w:eastAsiaTheme="minorEastAsia" w:hAnsi="Times" w:cs="Arial"/>
          <w:color w:val="000000" w:themeColor="text1"/>
        </w:rPr>
        <w:t xml:space="preserve">Fisher </w:t>
      </w:r>
      <w:r>
        <w:rPr>
          <w:rFonts w:ascii="Times" w:eastAsiaTheme="minorEastAsia" w:hAnsi="Times" w:cs="Arial"/>
          <w:color w:val="000000" w:themeColor="text1"/>
        </w:rPr>
        <w:t xml:space="preserve">Scientific </w:t>
      </w:r>
      <w:r w:rsidRPr="00A6011D">
        <w:rPr>
          <w:rFonts w:ascii="Times" w:eastAsiaTheme="minorEastAsia" w:hAnsi="Times" w:cs="Arial"/>
          <w:color w:val="000000" w:themeColor="text1"/>
        </w:rPr>
        <w:t xml:space="preserve">Cat#A27034, 1:2000). </w:t>
      </w:r>
      <w:r>
        <w:rPr>
          <w:rFonts w:ascii="Times" w:eastAsiaTheme="minorEastAsia" w:hAnsi="Times" w:cs="Arial"/>
          <w:color w:val="000000" w:themeColor="text1"/>
        </w:rPr>
        <w:t xml:space="preserve">Cells were stained with </w:t>
      </w:r>
      <w:r w:rsidRPr="00A6011D">
        <w:rPr>
          <w:rFonts w:ascii="Times" w:eastAsiaTheme="minorEastAsia" w:hAnsi="Times" w:cs="Arial"/>
          <w:color w:val="000000" w:themeColor="text1"/>
        </w:rPr>
        <w:t>DAPI</w:t>
      </w:r>
      <w:r>
        <w:rPr>
          <w:rFonts w:ascii="Times" w:eastAsiaTheme="minorEastAsia" w:hAnsi="Times" w:cs="Arial"/>
          <w:color w:val="000000" w:themeColor="text1"/>
        </w:rPr>
        <w:t xml:space="preserve"> </w:t>
      </w:r>
      <w:r w:rsidRPr="00A6011D">
        <w:rPr>
          <w:rFonts w:ascii="Times" w:eastAsiaTheme="minorEastAsia" w:hAnsi="Times" w:cs="Arial"/>
          <w:color w:val="000000" w:themeColor="text1"/>
        </w:rPr>
        <w:t>(Millipore Sigma Cat#D9542, 0.5μg/mL)</w:t>
      </w:r>
      <w:r>
        <w:rPr>
          <w:rFonts w:ascii="Times" w:eastAsiaTheme="minorEastAsia" w:hAnsi="Times" w:cs="Arial"/>
          <w:color w:val="000000" w:themeColor="text1"/>
        </w:rPr>
        <w:t xml:space="preserve">. </w:t>
      </w:r>
      <w:r w:rsidRPr="00A6011D">
        <w:rPr>
          <w:rFonts w:ascii="Times" w:eastAsiaTheme="minorEastAsia" w:hAnsi="Times" w:cs="Arial"/>
          <w:color w:val="000000" w:themeColor="text1"/>
        </w:rPr>
        <w:t>Immunofluorescent images were imaged on the Zeiss 880</w:t>
      </w:r>
      <w:r>
        <w:rPr>
          <w:rFonts w:ascii="Times" w:eastAsiaTheme="minorEastAsia" w:hAnsi="Times" w:cs="Arial"/>
          <w:color w:val="000000" w:themeColor="text1"/>
        </w:rPr>
        <w:t xml:space="preserve"> at Duke Light Microscopy Core Facility</w:t>
      </w:r>
      <w:r w:rsidRPr="00A6011D">
        <w:rPr>
          <w:rFonts w:ascii="Times" w:eastAsiaTheme="minorEastAsia" w:hAnsi="Times" w:cs="Arial"/>
          <w:color w:val="000000" w:themeColor="text1"/>
        </w:rPr>
        <w:t xml:space="preserve">. Positively stained cells were both manually counted and counted with ImageJ. Those assigned to counting were blinded to animal genotype and were given designated quadrants of specific size and magnification to count. </w:t>
      </w:r>
    </w:p>
    <w:p w14:paraId="49E1DFC5" w14:textId="23333A78" w:rsidR="000A06D2" w:rsidRPr="00AF4559" w:rsidRDefault="000A06D2" w:rsidP="00AF4559">
      <w:pPr>
        <w:spacing w:after="160" w:line="259" w:lineRule="auto"/>
        <w:rPr>
          <w:rFonts w:ascii="Times" w:eastAsia="DengXian" w:hAnsi="Times" w:cs="Arial"/>
          <w:b/>
          <w:bCs/>
        </w:rPr>
      </w:pPr>
    </w:p>
    <w:p w14:paraId="42E48566" w14:textId="2512B43D" w:rsidR="008E1A52" w:rsidRDefault="008E1A52" w:rsidP="008E1A52">
      <w:pPr>
        <w:spacing w:line="480" w:lineRule="auto"/>
        <w:jc w:val="both"/>
        <w:rPr>
          <w:rFonts w:ascii="Times" w:hAnsi="Times" w:cs="Arial"/>
          <w:b/>
          <w:bCs/>
        </w:rPr>
      </w:pPr>
      <w:r>
        <w:rPr>
          <w:rFonts w:ascii="Times" w:hAnsi="Times" w:cs="Arial" w:hint="eastAsia"/>
          <w:b/>
          <w:bCs/>
        </w:rPr>
        <w:t>Reference</w:t>
      </w:r>
    </w:p>
    <w:p w14:paraId="15C1FFC9" w14:textId="77777777" w:rsidR="007A531E" w:rsidRPr="007A531E" w:rsidRDefault="004871B2" w:rsidP="007A531E">
      <w:pPr>
        <w:pStyle w:val="EndNoteBibliography"/>
        <w:ind w:left="720" w:hanging="720"/>
        <w:rPr>
          <w:noProof/>
        </w:rPr>
      </w:pPr>
      <w:r>
        <w:fldChar w:fldCharType="begin"/>
      </w:r>
      <w:r>
        <w:instrText xml:space="preserve"> ADDIN EN.REFLIST </w:instrText>
      </w:r>
      <w:r>
        <w:fldChar w:fldCharType="separate"/>
      </w:r>
      <w:r w:rsidR="007A531E" w:rsidRPr="007A531E">
        <w:rPr>
          <w:b/>
          <w:noProof/>
        </w:rPr>
        <w:t>1.</w:t>
      </w:r>
      <w:r w:rsidR="007A531E" w:rsidRPr="007A531E">
        <w:rPr>
          <w:noProof/>
        </w:rPr>
        <w:tab/>
        <w:t xml:space="preserve">Kim D, Landmead B, Salzberg SL. HISAT: a fast spliced aligner with low memory requirements. </w:t>
      </w:r>
      <w:r w:rsidR="007A531E" w:rsidRPr="007A531E">
        <w:rPr>
          <w:i/>
          <w:noProof/>
        </w:rPr>
        <w:t xml:space="preserve">Nat Methods. </w:t>
      </w:r>
      <w:r w:rsidR="007A531E" w:rsidRPr="007A531E">
        <w:rPr>
          <w:noProof/>
        </w:rPr>
        <w:t>2015; 12(4):357-U121.</w:t>
      </w:r>
    </w:p>
    <w:p w14:paraId="0C3F0AC4" w14:textId="77777777" w:rsidR="007A531E" w:rsidRPr="007A531E" w:rsidRDefault="007A531E" w:rsidP="007A531E">
      <w:pPr>
        <w:pStyle w:val="EndNoteBibliography"/>
        <w:ind w:left="720" w:hanging="720"/>
        <w:rPr>
          <w:noProof/>
        </w:rPr>
      </w:pPr>
      <w:r w:rsidRPr="007A531E">
        <w:rPr>
          <w:b/>
          <w:noProof/>
        </w:rPr>
        <w:t>2.</w:t>
      </w:r>
      <w:r w:rsidRPr="007A531E">
        <w:rPr>
          <w:noProof/>
        </w:rPr>
        <w:tab/>
        <w:t xml:space="preserve">Liao Y, Smyth GK, Shi W. featureCounts: an efficient general purpose program for assigning sequence reads to genomic features. </w:t>
      </w:r>
      <w:r w:rsidRPr="007A531E">
        <w:rPr>
          <w:i/>
          <w:noProof/>
        </w:rPr>
        <w:t xml:space="preserve">Bioinformatics. </w:t>
      </w:r>
      <w:r w:rsidRPr="007A531E">
        <w:rPr>
          <w:noProof/>
        </w:rPr>
        <w:t>2014; 30(7):923-930.</w:t>
      </w:r>
    </w:p>
    <w:p w14:paraId="5635C64C" w14:textId="77777777" w:rsidR="007A531E" w:rsidRPr="007A531E" w:rsidRDefault="007A531E" w:rsidP="007A531E">
      <w:pPr>
        <w:pStyle w:val="EndNoteBibliography"/>
        <w:ind w:left="720" w:hanging="720"/>
        <w:rPr>
          <w:noProof/>
        </w:rPr>
      </w:pPr>
      <w:r w:rsidRPr="007A531E">
        <w:rPr>
          <w:b/>
          <w:noProof/>
        </w:rPr>
        <w:t>3.</w:t>
      </w:r>
      <w:r w:rsidRPr="007A531E">
        <w:rPr>
          <w:noProof/>
        </w:rPr>
        <w:tab/>
        <w:t xml:space="preserve">Love MI, Huber W, Anders S. Moderated estimation of fold change and dispersion for RNA-seq data with DESeq2. </w:t>
      </w:r>
      <w:r w:rsidRPr="007A531E">
        <w:rPr>
          <w:i/>
          <w:noProof/>
        </w:rPr>
        <w:t xml:space="preserve">Genome Biol. </w:t>
      </w:r>
      <w:r w:rsidRPr="007A531E">
        <w:rPr>
          <w:noProof/>
        </w:rPr>
        <w:t>2014; 15(12).</w:t>
      </w:r>
    </w:p>
    <w:p w14:paraId="2A36A622" w14:textId="77777777" w:rsidR="007A531E" w:rsidRPr="007A531E" w:rsidRDefault="007A531E" w:rsidP="007A531E">
      <w:pPr>
        <w:pStyle w:val="EndNoteBibliography"/>
        <w:ind w:left="720" w:hanging="720"/>
        <w:rPr>
          <w:noProof/>
        </w:rPr>
      </w:pPr>
      <w:r w:rsidRPr="007A531E">
        <w:rPr>
          <w:b/>
          <w:noProof/>
        </w:rPr>
        <w:t>4.</w:t>
      </w:r>
      <w:r w:rsidRPr="007A531E">
        <w:rPr>
          <w:noProof/>
        </w:rPr>
        <w:tab/>
        <w:t xml:space="preserve">Wickham H. ggplot2: Elegant Graphics for Data Analysis. </w:t>
      </w:r>
      <w:r w:rsidRPr="007A531E">
        <w:rPr>
          <w:i/>
          <w:noProof/>
        </w:rPr>
        <w:t xml:space="preserve">Use R. </w:t>
      </w:r>
      <w:r w:rsidRPr="007A531E">
        <w:rPr>
          <w:noProof/>
        </w:rPr>
        <w:t>2009:1-212.</w:t>
      </w:r>
    </w:p>
    <w:p w14:paraId="71631053" w14:textId="77777777" w:rsidR="007A531E" w:rsidRPr="007A531E" w:rsidRDefault="007A531E" w:rsidP="007A531E">
      <w:pPr>
        <w:pStyle w:val="EndNoteBibliography"/>
        <w:ind w:left="720" w:hanging="720"/>
        <w:rPr>
          <w:noProof/>
        </w:rPr>
      </w:pPr>
      <w:r w:rsidRPr="007A531E">
        <w:rPr>
          <w:b/>
          <w:noProof/>
        </w:rPr>
        <w:t>5.</w:t>
      </w:r>
      <w:r w:rsidRPr="007A531E">
        <w:rPr>
          <w:noProof/>
        </w:rPr>
        <w:tab/>
        <w:t xml:space="preserve">Alhamdoosh M, Ng M, Wilson NJ, Sheridan JM, Huynh H, Wilson MJ, et al. Combining multiple tools outperforms individual methods in gene set enrichment analyses. </w:t>
      </w:r>
      <w:r w:rsidRPr="007A531E">
        <w:rPr>
          <w:i/>
          <w:noProof/>
        </w:rPr>
        <w:t xml:space="preserve">Bioinformatics. </w:t>
      </w:r>
      <w:r w:rsidRPr="007A531E">
        <w:rPr>
          <w:noProof/>
        </w:rPr>
        <w:t>2017; 33(3):414-424.</w:t>
      </w:r>
    </w:p>
    <w:p w14:paraId="143FD726" w14:textId="77777777" w:rsidR="007A531E" w:rsidRPr="007A531E" w:rsidRDefault="007A531E" w:rsidP="007A531E">
      <w:pPr>
        <w:pStyle w:val="EndNoteBibliography"/>
        <w:ind w:left="720" w:hanging="720"/>
        <w:rPr>
          <w:noProof/>
        </w:rPr>
      </w:pPr>
      <w:r w:rsidRPr="007A531E">
        <w:rPr>
          <w:b/>
          <w:noProof/>
        </w:rPr>
        <w:t>6.</w:t>
      </w:r>
      <w:r w:rsidRPr="007A531E">
        <w:rPr>
          <w:noProof/>
        </w:rPr>
        <w:tab/>
        <w:t xml:space="preserve">Wang CC, Bajikar SS, Jamal L, Atkins KA, Janes KA. A time-and matrix-dependent TGFBR3-JUND-KRT5 regulatory circuit in single breast epithelial cells and basal-like premalignancies. </w:t>
      </w:r>
      <w:r w:rsidRPr="007A531E">
        <w:rPr>
          <w:i/>
          <w:noProof/>
        </w:rPr>
        <w:t xml:space="preserve">Nat Cell Biol. </w:t>
      </w:r>
      <w:r w:rsidRPr="007A531E">
        <w:rPr>
          <w:noProof/>
        </w:rPr>
        <w:t>2014; 16(4):345-+.</w:t>
      </w:r>
    </w:p>
    <w:p w14:paraId="0CDAA925" w14:textId="51BB29CF" w:rsidR="00AF4559" w:rsidRDefault="004871B2">
      <w:r>
        <w:fldChar w:fldCharType="end"/>
      </w:r>
    </w:p>
    <w:p w14:paraId="0EBBD57B" w14:textId="77777777" w:rsidR="00AF4559" w:rsidRDefault="00AF4559">
      <w:pPr>
        <w:spacing w:after="160" w:line="259" w:lineRule="auto"/>
      </w:pPr>
      <w:r>
        <w:br w:type="page"/>
      </w:r>
    </w:p>
    <w:p w14:paraId="46A18C49" w14:textId="77777777" w:rsidR="000A06D2" w:rsidRDefault="000A06D2"/>
    <w:sectPr w:rsidR="000A06D2" w:rsidSect="00D77C4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5E6B0" w14:textId="77777777" w:rsidR="000E4D0D" w:rsidRDefault="000E4D0D" w:rsidP="007A531E">
      <w:r>
        <w:separator/>
      </w:r>
    </w:p>
  </w:endnote>
  <w:endnote w:type="continuationSeparator" w:id="0">
    <w:p w14:paraId="376E482B" w14:textId="77777777" w:rsidR="000E4D0D" w:rsidRDefault="000E4D0D" w:rsidP="007A5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41537405"/>
      <w:docPartObj>
        <w:docPartGallery w:val="Page Numbers (Bottom of Page)"/>
        <w:docPartUnique/>
      </w:docPartObj>
    </w:sdtPr>
    <w:sdtEndPr>
      <w:rPr>
        <w:rStyle w:val="PageNumber"/>
      </w:rPr>
    </w:sdtEndPr>
    <w:sdtContent>
      <w:p w14:paraId="003F9F87" w14:textId="24BC4D40" w:rsidR="007A531E" w:rsidRDefault="007A531E" w:rsidP="00FD3C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95F75D" w14:textId="77777777" w:rsidR="007A531E" w:rsidRDefault="007A531E" w:rsidP="007A531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53014963"/>
      <w:docPartObj>
        <w:docPartGallery w:val="Page Numbers (Bottom of Page)"/>
        <w:docPartUnique/>
      </w:docPartObj>
    </w:sdtPr>
    <w:sdtEndPr>
      <w:rPr>
        <w:rStyle w:val="PageNumber"/>
      </w:rPr>
    </w:sdtEndPr>
    <w:sdtContent>
      <w:p w14:paraId="24B074C6" w14:textId="57A389F1" w:rsidR="007A531E" w:rsidRDefault="007A531E" w:rsidP="00FD3C7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42D5A">
          <w:rPr>
            <w:rStyle w:val="PageNumber"/>
            <w:noProof/>
          </w:rPr>
          <w:t>4</w:t>
        </w:r>
        <w:r>
          <w:rPr>
            <w:rStyle w:val="PageNumber"/>
          </w:rPr>
          <w:fldChar w:fldCharType="end"/>
        </w:r>
      </w:p>
    </w:sdtContent>
  </w:sdt>
  <w:p w14:paraId="483E9A40" w14:textId="77777777" w:rsidR="007A531E" w:rsidRDefault="007A531E" w:rsidP="007A531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41C8D6" w14:textId="77777777" w:rsidR="000E4D0D" w:rsidRDefault="000E4D0D" w:rsidP="007A531E">
      <w:r>
        <w:separator/>
      </w:r>
    </w:p>
  </w:footnote>
  <w:footnote w:type="continuationSeparator" w:id="0">
    <w:p w14:paraId="3BEFA075" w14:textId="77777777" w:rsidR="000E4D0D" w:rsidRDefault="000E4D0D" w:rsidP="007A53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dified to Act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2s092s8pf553ed5sxvx5rmra2d02tp9e9p&quot;&gt;My EndNote Library-Converted&lt;record-ids&gt;&lt;item&gt;325&lt;/item&gt;&lt;item&gt;326&lt;/item&gt;&lt;item&gt;355&lt;/item&gt;&lt;item&gt;356&lt;/item&gt;&lt;item&gt;359&lt;/item&gt;&lt;item&gt;362&lt;/item&gt;&lt;/record-ids&gt;&lt;/item&gt;&lt;/Libraries&gt;"/>
  </w:docVars>
  <w:rsids>
    <w:rsidRoot w:val="00521A9B"/>
    <w:rsid w:val="000A06D2"/>
    <w:rsid w:val="000E4D0D"/>
    <w:rsid w:val="00243ED1"/>
    <w:rsid w:val="00345770"/>
    <w:rsid w:val="00374826"/>
    <w:rsid w:val="00377E84"/>
    <w:rsid w:val="004871B2"/>
    <w:rsid w:val="00516279"/>
    <w:rsid w:val="00521A9B"/>
    <w:rsid w:val="006958EA"/>
    <w:rsid w:val="006C5A13"/>
    <w:rsid w:val="007A531E"/>
    <w:rsid w:val="00876DE3"/>
    <w:rsid w:val="008E1A52"/>
    <w:rsid w:val="00911FE3"/>
    <w:rsid w:val="00942D5A"/>
    <w:rsid w:val="0095124A"/>
    <w:rsid w:val="00A467F4"/>
    <w:rsid w:val="00A50FF6"/>
    <w:rsid w:val="00A52897"/>
    <w:rsid w:val="00A961FE"/>
    <w:rsid w:val="00AF4559"/>
    <w:rsid w:val="00BE6743"/>
    <w:rsid w:val="00D77C4B"/>
    <w:rsid w:val="00DB5ABB"/>
    <w:rsid w:val="00E611FB"/>
    <w:rsid w:val="00FE4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EA35"/>
  <w15:chartTrackingRefBased/>
  <w15:docId w15:val="{9FE8F537-5707-4ABA-956B-1B0FFB2E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A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21A9B"/>
    <w:rPr>
      <w:sz w:val="16"/>
      <w:szCs w:val="16"/>
    </w:rPr>
  </w:style>
  <w:style w:type="paragraph" w:styleId="CommentText">
    <w:name w:val="annotation text"/>
    <w:basedOn w:val="Normal"/>
    <w:link w:val="CommentTextChar"/>
    <w:uiPriority w:val="99"/>
    <w:unhideWhenUsed/>
    <w:rsid w:val="00521A9B"/>
    <w:rPr>
      <w:sz w:val="20"/>
      <w:szCs w:val="20"/>
    </w:rPr>
  </w:style>
  <w:style w:type="character" w:customStyle="1" w:styleId="CommentTextChar">
    <w:name w:val="Comment Text Char"/>
    <w:basedOn w:val="DefaultParagraphFont"/>
    <w:link w:val="CommentText"/>
    <w:uiPriority w:val="99"/>
    <w:rsid w:val="00521A9B"/>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50FF6"/>
    <w:rPr>
      <w:color w:val="0000FF"/>
      <w:u w:val="single"/>
    </w:rPr>
  </w:style>
  <w:style w:type="paragraph" w:styleId="BalloonText">
    <w:name w:val="Balloon Text"/>
    <w:basedOn w:val="Normal"/>
    <w:link w:val="BalloonTextChar"/>
    <w:uiPriority w:val="99"/>
    <w:semiHidden/>
    <w:unhideWhenUsed/>
    <w:rsid w:val="00DB5A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ABB"/>
    <w:rPr>
      <w:rFonts w:ascii="Segoe UI" w:eastAsia="Times New Roman" w:hAnsi="Segoe UI" w:cs="Segoe UI"/>
      <w:sz w:val="18"/>
      <w:szCs w:val="18"/>
    </w:rPr>
  </w:style>
  <w:style w:type="paragraph" w:customStyle="1" w:styleId="EndNoteBibliography">
    <w:name w:val="EndNote Bibliography"/>
    <w:basedOn w:val="Normal"/>
    <w:link w:val="EndNoteBibliographyChar"/>
    <w:rsid w:val="0095124A"/>
    <w:pPr>
      <w:jc w:val="both"/>
    </w:pPr>
  </w:style>
  <w:style w:type="character" w:customStyle="1" w:styleId="EndNoteBibliographyChar">
    <w:name w:val="EndNote Bibliography Char"/>
    <w:basedOn w:val="DefaultParagraphFont"/>
    <w:link w:val="EndNoteBibliography"/>
    <w:rsid w:val="0095124A"/>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4871B2"/>
    <w:pPr>
      <w:jc w:val="center"/>
    </w:pPr>
  </w:style>
  <w:style w:type="character" w:customStyle="1" w:styleId="EndNoteBibliographyTitleChar">
    <w:name w:val="EndNote Bibliography Title Char"/>
    <w:basedOn w:val="DefaultParagraphFont"/>
    <w:link w:val="EndNoteBibliographyTitle"/>
    <w:rsid w:val="004871B2"/>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A531E"/>
  </w:style>
  <w:style w:type="paragraph" w:styleId="Footer">
    <w:name w:val="footer"/>
    <w:basedOn w:val="Normal"/>
    <w:link w:val="FooterChar"/>
    <w:uiPriority w:val="99"/>
    <w:unhideWhenUsed/>
    <w:rsid w:val="007A531E"/>
    <w:pPr>
      <w:tabs>
        <w:tab w:val="center" w:pos="4680"/>
        <w:tab w:val="right" w:pos="9360"/>
      </w:tabs>
    </w:pPr>
  </w:style>
  <w:style w:type="character" w:customStyle="1" w:styleId="FooterChar">
    <w:name w:val="Footer Char"/>
    <w:basedOn w:val="DefaultParagraphFont"/>
    <w:link w:val="Footer"/>
    <w:uiPriority w:val="99"/>
    <w:rsid w:val="007A531E"/>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7A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71A0F-1DB9-4908-8082-D64E7CE75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2290</Words>
  <Characters>13056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Heng(Jochen) Liu</dc:creator>
  <cp:keywords/>
  <dc:description/>
  <cp:lastModifiedBy>Nandhini S.</cp:lastModifiedBy>
  <cp:revision>16</cp:revision>
  <dcterms:created xsi:type="dcterms:W3CDTF">2021-05-25T16:38:00Z</dcterms:created>
  <dcterms:modified xsi:type="dcterms:W3CDTF">2021-10-09T14:17:00Z</dcterms:modified>
</cp:coreProperties>
</file>