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56620" w14:textId="77777777" w:rsidR="001B0820" w:rsidRDefault="001B0820" w:rsidP="00697A44">
      <w:pPr>
        <w:jc w:val="both"/>
        <w:rPr>
          <w:rFonts w:ascii="Arial" w:hAnsi="Arial" w:cs="Arial"/>
          <w:sz w:val="22"/>
          <w:szCs w:val="22"/>
        </w:rPr>
      </w:pPr>
    </w:p>
    <w:p w14:paraId="7ED772B3" w14:textId="77777777" w:rsidR="001B0820" w:rsidRDefault="001B0820" w:rsidP="00697A44">
      <w:pPr>
        <w:jc w:val="both"/>
        <w:rPr>
          <w:rFonts w:ascii="Arial" w:hAnsi="Arial" w:cs="Arial"/>
          <w:sz w:val="22"/>
          <w:szCs w:val="22"/>
        </w:rPr>
      </w:pPr>
    </w:p>
    <w:p w14:paraId="017D95BB" w14:textId="1235D05A" w:rsidR="001B0820" w:rsidRPr="00B72F25" w:rsidRDefault="001B0820" w:rsidP="00B72F25">
      <w:pPr>
        <w:spacing w:line="480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A463E">
        <w:rPr>
          <w:rFonts w:ascii="Arial" w:hAnsi="Arial" w:cs="Arial"/>
          <w:b/>
          <w:bCs/>
          <w:iCs/>
          <w:sz w:val="22"/>
          <w:szCs w:val="22"/>
        </w:rPr>
        <w:t>Supplementa</w:t>
      </w:r>
      <w:r w:rsidR="00697A44">
        <w:rPr>
          <w:rFonts w:ascii="Arial" w:hAnsi="Arial" w:cs="Arial"/>
          <w:b/>
          <w:bCs/>
          <w:iCs/>
          <w:sz w:val="22"/>
          <w:szCs w:val="22"/>
        </w:rPr>
        <w:t>ry</w:t>
      </w:r>
      <w:r w:rsidRPr="00CA463E">
        <w:rPr>
          <w:rFonts w:ascii="Arial" w:hAnsi="Arial" w:cs="Arial"/>
          <w:b/>
          <w:bCs/>
          <w:iCs/>
          <w:sz w:val="22"/>
          <w:szCs w:val="22"/>
        </w:rPr>
        <w:t xml:space="preserve"> Figures</w:t>
      </w:r>
    </w:p>
    <w:p w14:paraId="1354902C" w14:textId="77777777" w:rsidR="001B0820" w:rsidRDefault="001B0820" w:rsidP="00697A44">
      <w:pPr>
        <w:jc w:val="both"/>
        <w:rPr>
          <w:rFonts w:ascii="Arial" w:hAnsi="Arial" w:cs="Arial"/>
          <w:sz w:val="22"/>
          <w:szCs w:val="22"/>
        </w:rPr>
      </w:pPr>
    </w:p>
    <w:p w14:paraId="58EEF775" w14:textId="1A7AA31F" w:rsidR="00CD0E30" w:rsidRDefault="00CD0E30" w:rsidP="00697A4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00DA3D3" wp14:editId="0652B6EA">
            <wp:extent cx="4737100" cy="4673600"/>
            <wp:effectExtent l="0" t="0" r="0" b="0"/>
            <wp:docPr id="13" name="Picture 13" descr="A picture containing empty, til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empty, tiled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08F6F" w14:textId="77777777" w:rsidR="00697A44" w:rsidRDefault="00697A44" w:rsidP="00697A44">
      <w:pPr>
        <w:jc w:val="center"/>
        <w:rPr>
          <w:rFonts w:ascii="Arial" w:hAnsi="Arial" w:cs="Arial"/>
          <w:sz w:val="22"/>
          <w:szCs w:val="22"/>
        </w:rPr>
      </w:pPr>
    </w:p>
    <w:p w14:paraId="2817A7A0" w14:textId="10056168" w:rsidR="004F4F6D" w:rsidRDefault="00CD0E30" w:rsidP="00697A4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7174D">
        <w:rPr>
          <w:rFonts w:ascii="Arial" w:hAnsi="Arial" w:cs="Arial"/>
          <w:b/>
          <w:bCs/>
          <w:sz w:val="22"/>
          <w:szCs w:val="22"/>
        </w:rPr>
        <w:t>Supplementary Fig</w:t>
      </w:r>
      <w:r w:rsidR="004728CA">
        <w:rPr>
          <w:rFonts w:ascii="Arial" w:hAnsi="Arial" w:cs="Arial"/>
          <w:b/>
          <w:bCs/>
          <w:sz w:val="22"/>
          <w:szCs w:val="22"/>
        </w:rPr>
        <w:t>ure</w:t>
      </w:r>
      <w:r w:rsidRPr="00F7174D">
        <w:rPr>
          <w:rFonts w:ascii="Arial" w:hAnsi="Arial" w:cs="Arial"/>
          <w:b/>
          <w:bCs/>
          <w:sz w:val="22"/>
          <w:szCs w:val="22"/>
        </w:rPr>
        <w:t xml:space="preserve"> 1</w:t>
      </w:r>
      <w:r w:rsidR="00403254">
        <w:rPr>
          <w:rFonts w:ascii="Arial" w:hAnsi="Arial" w:cs="Arial"/>
          <w:b/>
          <w:bCs/>
          <w:sz w:val="22"/>
          <w:szCs w:val="22"/>
        </w:rPr>
        <w:t>.</w:t>
      </w:r>
      <w:r w:rsidR="00697A44">
        <w:rPr>
          <w:rFonts w:ascii="Arial" w:hAnsi="Arial" w:cs="Arial"/>
          <w:sz w:val="22"/>
          <w:szCs w:val="22"/>
        </w:rPr>
        <w:t xml:space="preserve"> </w:t>
      </w:r>
      <w:r w:rsidRPr="004728CA">
        <w:rPr>
          <w:rFonts w:ascii="Arial" w:hAnsi="Arial" w:cs="Arial"/>
          <w:sz w:val="22"/>
          <w:szCs w:val="22"/>
        </w:rPr>
        <w:t xml:space="preserve">Annotation procedure of blue hue ranges in Luxol fast blue, hematoxylin, and </w:t>
      </w:r>
      <w:r w:rsidR="000C1C60" w:rsidRPr="004728CA">
        <w:rPr>
          <w:rFonts w:ascii="Arial" w:hAnsi="Arial" w:cs="Arial"/>
          <w:sz w:val="22"/>
          <w:szCs w:val="22"/>
        </w:rPr>
        <w:t>eosin-stained</w:t>
      </w:r>
      <w:r w:rsidRPr="004728CA">
        <w:rPr>
          <w:rFonts w:ascii="Arial" w:hAnsi="Arial" w:cs="Arial"/>
          <w:sz w:val="22"/>
          <w:szCs w:val="22"/>
        </w:rPr>
        <w:t xml:space="preserve"> tiles.</w:t>
      </w:r>
      <w:r w:rsidR="00697A4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4AF9C59" w14:textId="5A5C7594" w:rsidR="00CD0E30" w:rsidRDefault="00CD0E30" w:rsidP="00697A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Representative tiles show the annotation method used for positive pixel counting in the Luxol fast blue, </w:t>
      </w:r>
      <w:r w:rsidRPr="00796F12">
        <w:rPr>
          <w:rFonts w:ascii="Arial" w:hAnsi="Arial" w:cs="Arial"/>
          <w:sz w:val="22"/>
          <w:szCs w:val="22"/>
        </w:rPr>
        <w:t>hematoxylin</w:t>
      </w:r>
      <w:r>
        <w:rPr>
          <w:rFonts w:ascii="Arial" w:hAnsi="Arial" w:cs="Arial"/>
          <w:sz w:val="22"/>
          <w:szCs w:val="22"/>
        </w:rPr>
        <w:t>,</w:t>
      </w:r>
      <w:r w:rsidRPr="00796F12">
        <w:rPr>
          <w:rFonts w:ascii="Arial" w:hAnsi="Arial" w:cs="Arial"/>
          <w:sz w:val="22"/>
          <w:szCs w:val="22"/>
        </w:rPr>
        <w:t xml:space="preserve"> and eosin </w:t>
      </w:r>
      <w:r>
        <w:rPr>
          <w:rFonts w:ascii="Arial" w:hAnsi="Arial" w:cs="Arial"/>
          <w:sz w:val="22"/>
          <w:szCs w:val="22"/>
        </w:rPr>
        <w:t>(LH&amp;E)</w:t>
      </w:r>
      <w:r w:rsidRPr="00796F12">
        <w:rPr>
          <w:rFonts w:ascii="Arial" w:hAnsi="Arial" w:cs="Arial"/>
          <w:sz w:val="22"/>
          <w:szCs w:val="22"/>
        </w:rPr>
        <w:t xml:space="preserve"> stain</w:t>
      </w:r>
      <w:r>
        <w:rPr>
          <w:rFonts w:ascii="Arial" w:hAnsi="Arial" w:cs="Arial"/>
          <w:sz w:val="22"/>
          <w:szCs w:val="22"/>
        </w:rPr>
        <w:t xml:space="preserve">ed histology tiles. For the annotation heatmap, </w:t>
      </w:r>
      <w:r w:rsidR="009F1367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darker blue pixel</w:t>
      </w:r>
      <w:r w:rsidR="009F1367">
        <w:rPr>
          <w:rFonts w:ascii="Arial" w:hAnsi="Arial" w:cs="Arial"/>
          <w:sz w:val="22"/>
          <w:szCs w:val="22"/>
        </w:rPr>
        <w:t xml:space="preserve"> range is</w:t>
      </w:r>
      <w:r>
        <w:rPr>
          <w:rFonts w:ascii="Arial" w:hAnsi="Arial" w:cs="Arial"/>
          <w:sz w:val="22"/>
          <w:szCs w:val="22"/>
        </w:rPr>
        <w:t xml:space="preserve"> highlighted as red while the lighter blue pixel</w:t>
      </w:r>
      <w:r w:rsidR="009F7DD0">
        <w:rPr>
          <w:rFonts w:ascii="Arial" w:hAnsi="Arial" w:cs="Arial"/>
          <w:sz w:val="22"/>
          <w:szCs w:val="22"/>
        </w:rPr>
        <w:t xml:space="preserve"> range is</w:t>
      </w:r>
      <w:r>
        <w:rPr>
          <w:rFonts w:ascii="Arial" w:hAnsi="Arial" w:cs="Arial"/>
          <w:sz w:val="22"/>
          <w:szCs w:val="22"/>
        </w:rPr>
        <w:t xml:space="preserve"> highlighted as light blue. </w:t>
      </w:r>
    </w:p>
    <w:p w14:paraId="169AEEFB" w14:textId="0748FC8E" w:rsidR="003D4307" w:rsidRDefault="003D4307" w:rsidP="00697A44">
      <w:pPr>
        <w:jc w:val="both"/>
      </w:pPr>
    </w:p>
    <w:p w14:paraId="160D9321" w14:textId="6D7EBAEF" w:rsidR="00CD0E30" w:rsidRDefault="00CD0E30" w:rsidP="00697A44">
      <w:pPr>
        <w:jc w:val="both"/>
      </w:pPr>
    </w:p>
    <w:p w14:paraId="31D66008" w14:textId="082EDA77" w:rsidR="00CD0E30" w:rsidRDefault="00CD0E30" w:rsidP="00697A44">
      <w:pPr>
        <w:jc w:val="both"/>
      </w:pPr>
    </w:p>
    <w:p w14:paraId="087FCC9E" w14:textId="77777777" w:rsidR="00CD0E30" w:rsidRDefault="00CD0E30" w:rsidP="00697A44">
      <w:pPr>
        <w:jc w:val="both"/>
      </w:pPr>
    </w:p>
    <w:p w14:paraId="7B23CF8E" w14:textId="4DA28E95" w:rsidR="00CD0E30" w:rsidRDefault="00CD0E30" w:rsidP="00697A44">
      <w:pPr>
        <w:jc w:val="center"/>
        <w:rPr>
          <w:rFonts w:ascii="Arial" w:hAnsi="Arial" w:cs="Arial"/>
          <w:sz w:val="22"/>
          <w:szCs w:val="22"/>
        </w:rPr>
      </w:pPr>
      <w:r w:rsidRPr="00515729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43F11AD" wp14:editId="2295F257">
            <wp:extent cx="3344274" cy="2914171"/>
            <wp:effectExtent l="0" t="0" r="0" b="0"/>
            <wp:docPr id="2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DDE6535C-97E5-A846-9880-6C050338DB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DDE6535C-97E5-A846-9880-6C050338DB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58305" cy="292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4CD08" w14:textId="77777777" w:rsidR="00697A44" w:rsidRDefault="00697A44" w:rsidP="00697A44">
      <w:pPr>
        <w:jc w:val="center"/>
        <w:rPr>
          <w:rFonts w:ascii="Arial" w:hAnsi="Arial" w:cs="Arial"/>
          <w:sz w:val="22"/>
          <w:szCs w:val="22"/>
        </w:rPr>
      </w:pPr>
    </w:p>
    <w:p w14:paraId="78AD7C4E" w14:textId="54DF374F" w:rsidR="004F4F6D" w:rsidRDefault="00CD0E30" w:rsidP="00697A44">
      <w:pPr>
        <w:jc w:val="both"/>
        <w:rPr>
          <w:rFonts w:ascii="Arial" w:hAnsi="Arial" w:cs="Arial"/>
          <w:sz w:val="22"/>
          <w:szCs w:val="22"/>
        </w:rPr>
      </w:pPr>
      <w:r w:rsidRPr="00022D5D">
        <w:rPr>
          <w:rFonts w:ascii="Arial" w:hAnsi="Arial" w:cs="Arial"/>
          <w:b/>
          <w:bCs/>
          <w:sz w:val="22"/>
          <w:szCs w:val="22"/>
        </w:rPr>
        <w:t>Supplementary Fig</w:t>
      </w:r>
      <w:r w:rsidR="002D69C9">
        <w:rPr>
          <w:rFonts w:ascii="Arial" w:hAnsi="Arial" w:cs="Arial"/>
          <w:b/>
          <w:bCs/>
          <w:sz w:val="22"/>
          <w:szCs w:val="22"/>
        </w:rPr>
        <w:t>ure</w:t>
      </w:r>
      <w:r w:rsidRPr="00022D5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403254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2D69C9">
        <w:rPr>
          <w:rFonts w:ascii="Arial" w:hAnsi="Arial" w:cs="Arial"/>
          <w:sz w:val="22"/>
          <w:szCs w:val="22"/>
        </w:rPr>
        <w:t xml:space="preserve">Correlation of slide-level probability estimates of cognitive impairment in matched brain donors </w:t>
      </w:r>
      <w:r w:rsidR="00C03D9D">
        <w:rPr>
          <w:rFonts w:ascii="Arial" w:hAnsi="Arial" w:cs="Arial"/>
          <w:sz w:val="22"/>
          <w:szCs w:val="22"/>
        </w:rPr>
        <w:t>between</w:t>
      </w:r>
      <w:r w:rsidR="00C71016">
        <w:rPr>
          <w:rFonts w:ascii="Arial" w:hAnsi="Arial" w:cs="Arial"/>
          <w:sz w:val="22"/>
          <w:szCs w:val="22"/>
        </w:rPr>
        <w:t xml:space="preserve"> the two</w:t>
      </w:r>
      <w:r w:rsidRPr="002D69C9">
        <w:rPr>
          <w:rFonts w:ascii="Arial" w:hAnsi="Arial" w:cs="Arial"/>
          <w:sz w:val="22"/>
          <w:szCs w:val="22"/>
        </w:rPr>
        <w:t xml:space="preserve"> brain regions.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C41D2C2" w14:textId="3CA1FC6D" w:rsidR="00CD0E30" w:rsidRDefault="00CD0E30" w:rsidP="00697A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Scatter plots showing the probability estimates of cognitive impairment by the top-performing models in the same brain donors between WSIs in the hippocampus and frontal cortex</w:t>
      </w:r>
      <w:r w:rsidR="005B713A">
        <w:rPr>
          <w:rFonts w:ascii="Arial" w:hAnsi="Arial" w:cs="Arial"/>
          <w:sz w:val="22"/>
          <w:szCs w:val="22"/>
        </w:rPr>
        <w:t xml:space="preserve"> data sets</w:t>
      </w:r>
      <w:r>
        <w:rPr>
          <w:rFonts w:ascii="Arial" w:hAnsi="Arial" w:cs="Arial"/>
          <w:sz w:val="22"/>
          <w:szCs w:val="22"/>
        </w:rPr>
        <w:t xml:space="preserve">. The blue line shows predictions from a linear model and grey error envelopes show 95% confidence intervals for the linear model. </w:t>
      </w:r>
    </w:p>
    <w:p w14:paraId="126300D6" w14:textId="6C67B8D6" w:rsidR="00CD0E30" w:rsidRDefault="00CD0E30" w:rsidP="00697A44">
      <w:pPr>
        <w:jc w:val="both"/>
      </w:pPr>
    </w:p>
    <w:p w14:paraId="622AC9E0" w14:textId="1E8F7204" w:rsidR="00CD0E30" w:rsidRDefault="00CD0E30" w:rsidP="00697A44">
      <w:pPr>
        <w:jc w:val="both"/>
      </w:pPr>
    </w:p>
    <w:p w14:paraId="0015BC8D" w14:textId="5CEF306F" w:rsidR="00CD0E30" w:rsidRDefault="00CD0E30" w:rsidP="00697A44">
      <w:pPr>
        <w:jc w:val="both"/>
      </w:pPr>
    </w:p>
    <w:p w14:paraId="5F21E98A" w14:textId="33094B18" w:rsidR="00CD0E30" w:rsidRDefault="00CD0E30" w:rsidP="00697A44">
      <w:pPr>
        <w:jc w:val="both"/>
      </w:pPr>
    </w:p>
    <w:p w14:paraId="0692AA25" w14:textId="4395F96D" w:rsidR="00CD0E30" w:rsidRDefault="00CD0E30" w:rsidP="00697A44">
      <w:pPr>
        <w:jc w:val="both"/>
      </w:pPr>
    </w:p>
    <w:p w14:paraId="6B8E95F9" w14:textId="581C6751" w:rsidR="00CD0E30" w:rsidRDefault="00CD0E30" w:rsidP="00697A44">
      <w:pPr>
        <w:jc w:val="both"/>
      </w:pPr>
    </w:p>
    <w:p w14:paraId="54B483FD" w14:textId="2C385A87" w:rsidR="00CD0E30" w:rsidRDefault="00CD0E30" w:rsidP="00697A44">
      <w:pPr>
        <w:jc w:val="both"/>
      </w:pPr>
    </w:p>
    <w:p w14:paraId="08F5A9D0" w14:textId="26CC590D" w:rsidR="00CD0E30" w:rsidRDefault="00CD0E30" w:rsidP="00697A44">
      <w:pPr>
        <w:jc w:val="both"/>
      </w:pPr>
    </w:p>
    <w:p w14:paraId="08810FE2" w14:textId="5A4B0181" w:rsidR="00CD0E30" w:rsidRDefault="00CD0E30" w:rsidP="00697A44">
      <w:pPr>
        <w:jc w:val="both"/>
      </w:pPr>
    </w:p>
    <w:p w14:paraId="0A8598BE" w14:textId="4241738F" w:rsidR="00CD0E30" w:rsidRDefault="00CD0E30" w:rsidP="00697A44">
      <w:pPr>
        <w:jc w:val="both"/>
      </w:pPr>
    </w:p>
    <w:p w14:paraId="33281966" w14:textId="34A82E06" w:rsidR="00CD0E30" w:rsidRDefault="00153E12" w:rsidP="00697A44">
      <w:pPr>
        <w:jc w:val="center"/>
        <w:rPr>
          <w:rFonts w:ascii="Arial" w:hAnsi="Arial" w:cs="Arial"/>
          <w:sz w:val="22"/>
          <w:szCs w:val="22"/>
        </w:rPr>
      </w:pPr>
      <w:r w:rsidRPr="00153E12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4992D5DA" wp14:editId="7A2EAF86">
            <wp:extent cx="5943600" cy="5544820"/>
            <wp:effectExtent l="0" t="0" r="0" b="508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34517AE-30B1-224F-9D5F-B160612E83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734517AE-30B1-224F-9D5F-B160612E83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A768B" w14:textId="77777777" w:rsidR="00697A44" w:rsidRDefault="00697A44" w:rsidP="00697A44">
      <w:pPr>
        <w:jc w:val="center"/>
        <w:rPr>
          <w:rFonts w:ascii="Arial" w:hAnsi="Arial" w:cs="Arial"/>
          <w:sz w:val="22"/>
          <w:szCs w:val="22"/>
        </w:rPr>
      </w:pPr>
    </w:p>
    <w:p w14:paraId="747D7D27" w14:textId="2313F0DF" w:rsidR="004F4F6D" w:rsidRDefault="00CD0E30" w:rsidP="00697A4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42082">
        <w:rPr>
          <w:rFonts w:ascii="Arial" w:hAnsi="Arial" w:cs="Arial"/>
          <w:b/>
          <w:bCs/>
          <w:sz w:val="22"/>
          <w:szCs w:val="22"/>
        </w:rPr>
        <w:t>Supplementary Fig</w:t>
      </w:r>
      <w:r w:rsidR="0064074E">
        <w:rPr>
          <w:rFonts w:ascii="Arial" w:hAnsi="Arial" w:cs="Arial"/>
          <w:b/>
          <w:bCs/>
          <w:sz w:val="22"/>
          <w:szCs w:val="22"/>
        </w:rPr>
        <w:t>ure</w:t>
      </w:r>
      <w:r w:rsidRPr="00C42082">
        <w:rPr>
          <w:rFonts w:ascii="Arial" w:hAnsi="Arial" w:cs="Arial"/>
          <w:b/>
          <w:bCs/>
          <w:sz w:val="22"/>
          <w:szCs w:val="22"/>
        </w:rPr>
        <w:t xml:space="preserve"> </w:t>
      </w:r>
      <w:r w:rsidR="00403254">
        <w:rPr>
          <w:rFonts w:ascii="Arial" w:hAnsi="Arial" w:cs="Arial"/>
          <w:b/>
          <w:bCs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</w:t>
      </w:r>
      <w:r w:rsidR="003D2625">
        <w:rPr>
          <w:rFonts w:ascii="Arial" w:hAnsi="Arial" w:cs="Arial"/>
          <w:sz w:val="22"/>
          <w:szCs w:val="22"/>
        </w:rPr>
        <w:t>Scatterplot</w:t>
      </w:r>
      <w:r w:rsidRPr="0064074E">
        <w:rPr>
          <w:rFonts w:ascii="Arial" w:hAnsi="Arial" w:cs="Arial"/>
          <w:sz w:val="22"/>
          <w:szCs w:val="22"/>
        </w:rPr>
        <w:t xml:space="preserve"> matrix of deep histopathology features with clinicopathologic features in the frontal cortex.</w:t>
      </w:r>
      <w:r w:rsidR="00697A4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E36E7C4" w14:textId="10FA28AC" w:rsidR="00997133" w:rsidRPr="001A6FF7" w:rsidRDefault="00F44182" w:rsidP="00697A44">
      <w:pPr>
        <w:jc w:val="both"/>
        <w:rPr>
          <w:rFonts w:ascii="Arial" w:hAnsi="Arial" w:cs="Arial"/>
          <w:sz w:val="22"/>
          <w:szCs w:val="22"/>
        </w:rPr>
      </w:pPr>
      <w:r w:rsidRPr="0004037C">
        <w:rPr>
          <w:rFonts w:ascii="Arial" w:hAnsi="Arial" w:cs="Arial"/>
          <w:sz w:val="22"/>
          <w:szCs w:val="22"/>
        </w:rPr>
        <w:t xml:space="preserve">Correlation analysis of deep histopathology results and clinicopathologic features: age, Braak score, </w:t>
      </w:r>
      <w:r w:rsidR="00801781">
        <w:rPr>
          <w:rFonts w:ascii="Arial" w:hAnsi="Arial" w:cs="Arial"/>
          <w:sz w:val="22"/>
          <w:szCs w:val="22"/>
        </w:rPr>
        <w:t xml:space="preserve">ARTAG </w:t>
      </w:r>
      <w:r w:rsidRPr="0004037C">
        <w:rPr>
          <w:rFonts w:ascii="Arial" w:hAnsi="Arial" w:cs="Arial"/>
          <w:sz w:val="22"/>
          <w:szCs w:val="22"/>
        </w:rPr>
        <w:t xml:space="preserve">positivity in the hippocampus (coded as </w:t>
      </w:r>
      <w:r>
        <w:rPr>
          <w:rFonts w:ascii="Arial" w:hAnsi="Arial" w:cs="Arial"/>
          <w:sz w:val="22"/>
          <w:szCs w:val="22"/>
        </w:rPr>
        <w:t>0</w:t>
      </w:r>
      <w:r w:rsidRPr="0004037C">
        <w:rPr>
          <w:rFonts w:ascii="Arial" w:hAnsi="Arial" w:cs="Arial"/>
          <w:sz w:val="22"/>
          <w:szCs w:val="22"/>
        </w:rPr>
        <w:t xml:space="preserve"> = not present and </w:t>
      </w:r>
      <w:r>
        <w:rPr>
          <w:rFonts w:ascii="Arial" w:hAnsi="Arial" w:cs="Arial"/>
          <w:sz w:val="22"/>
          <w:szCs w:val="22"/>
        </w:rPr>
        <w:t>1</w:t>
      </w:r>
      <w:r w:rsidRPr="0004037C">
        <w:rPr>
          <w:rFonts w:ascii="Arial" w:hAnsi="Arial" w:cs="Arial"/>
          <w:sz w:val="22"/>
          <w:szCs w:val="22"/>
        </w:rPr>
        <w:t xml:space="preserve"> = present), cognitive label (coded as 0 = not cognitively impaired and 1 = cognitively impaired), probability of cognitive impairment as predicted by the top-performing model trained on the </w:t>
      </w:r>
      <w:r w:rsidR="00193325">
        <w:rPr>
          <w:rFonts w:ascii="Arial" w:hAnsi="Arial" w:cs="Arial"/>
          <w:sz w:val="22"/>
          <w:szCs w:val="22"/>
        </w:rPr>
        <w:t>frontal cortex</w:t>
      </w:r>
      <w:r w:rsidRPr="0004037C">
        <w:rPr>
          <w:rFonts w:ascii="Arial" w:hAnsi="Arial" w:cs="Arial"/>
          <w:sz w:val="22"/>
          <w:szCs w:val="22"/>
        </w:rPr>
        <w:t xml:space="preserve"> data</w:t>
      </w:r>
      <w:r>
        <w:rPr>
          <w:rFonts w:ascii="Arial" w:hAnsi="Arial" w:cs="Arial"/>
          <w:sz w:val="22"/>
          <w:szCs w:val="22"/>
        </w:rPr>
        <w:t xml:space="preserve">, </w:t>
      </w:r>
      <w:r w:rsidRPr="0004037C">
        <w:rPr>
          <w:rFonts w:ascii="Arial" w:hAnsi="Arial" w:cs="Arial"/>
          <w:sz w:val="22"/>
          <w:szCs w:val="22"/>
        </w:rPr>
        <w:t xml:space="preserve">and median LFB staining intensity (pixel counts) in the top attention tiles in the </w:t>
      </w:r>
      <w:r w:rsidR="00444057">
        <w:rPr>
          <w:rFonts w:ascii="Arial" w:hAnsi="Arial" w:cs="Arial"/>
          <w:sz w:val="22"/>
          <w:szCs w:val="22"/>
        </w:rPr>
        <w:t>frontal cortex</w:t>
      </w:r>
      <w:r w:rsidR="00444057" w:rsidRPr="0004037C">
        <w:rPr>
          <w:rFonts w:ascii="Arial" w:hAnsi="Arial" w:cs="Arial"/>
          <w:sz w:val="22"/>
          <w:szCs w:val="22"/>
        </w:rPr>
        <w:t xml:space="preserve"> </w:t>
      </w:r>
      <w:r w:rsidRPr="0004037C">
        <w:rPr>
          <w:rFonts w:ascii="Arial" w:hAnsi="Arial" w:cs="Arial"/>
          <w:sz w:val="22"/>
          <w:szCs w:val="22"/>
        </w:rPr>
        <w:t xml:space="preserve">data set. Upper right: </w:t>
      </w:r>
      <w:r w:rsidR="009A6628">
        <w:rPr>
          <w:rFonts w:ascii="Arial" w:hAnsi="Arial" w:cs="Arial"/>
          <w:sz w:val="22"/>
          <w:szCs w:val="22"/>
        </w:rPr>
        <w:t>r</w:t>
      </w:r>
      <w:r w:rsidRPr="0004037C">
        <w:rPr>
          <w:rFonts w:ascii="Arial" w:hAnsi="Arial" w:cs="Arial"/>
          <w:sz w:val="22"/>
          <w:szCs w:val="22"/>
        </w:rPr>
        <w:t xml:space="preserve">ank correlation values and associated p-values (* = p &lt; 0.05, ** = p &lt; 0.01, *** = p &lt; 0.001). Diagonal: </w:t>
      </w:r>
      <w:r w:rsidR="009A6628">
        <w:rPr>
          <w:rFonts w:ascii="Arial" w:hAnsi="Arial" w:cs="Arial"/>
          <w:sz w:val="22"/>
          <w:szCs w:val="22"/>
        </w:rPr>
        <w:t>hi</w:t>
      </w:r>
      <w:r w:rsidRPr="0004037C">
        <w:rPr>
          <w:rFonts w:ascii="Arial" w:hAnsi="Arial" w:cs="Arial"/>
          <w:sz w:val="22"/>
          <w:szCs w:val="22"/>
        </w:rPr>
        <w:t>stogram</w:t>
      </w:r>
      <w:r>
        <w:rPr>
          <w:rFonts w:ascii="Arial" w:hAnsi="Arial" w:cs="Arial"/>
          <w:sz w:val="22"/>
          <w:szCs w:val="22"/>
        </w:rPr>
        <w:t>s</w:t>
      </w:r>
      <w:r w:rsidRPr="0004037C">
        <w:rPr>
          <w:rFonts w:ascii="Arial" w:hAnsi="Arial" w:cs="Arial"/>
          <w:sz w:val="22"/>
          <w:szCs w:val="22"/>
        </w:rPr>
        <w:t xml:space="preserve"> of variables. Lower left: </w:t>
      </w:r>
      <w:r w:rsidR="00F065E4">
        <w:rPr>
          <w:rFonts w:ascii="Arial" w:hAnsi="Arial" w:cs="Arial"/>
          <w:sz w:val="22"/>
          <w:szCs w:val="22"/>
        </w:rPr>
        <w:t>Sc</w:t>
      </w:r>
      <w:r w:rsidRPr="0004037C">
        <w:rPr>
          <w:rFonts w:ascii="Arial" w:hAnsi="Arial" w:cs="Arial"/>
          <w:sz w:val="22"/>
          <w:szCs w:val="22"/>
        </w:rPr>
        <w:t>atterplots</w:t>
      </w:r>
      <w:r>
        <w:rPr>
          <w:rFonts w:ascii="Arial" w:hAnsi="Arial" w:cs="Arial"/>
          <w:sz w:val="22"/>
          <w:szCs w:val="22"/>
        </w:rPr>
        <w:t xml:space="preserve"> with</w:t>
      </w:r>
      <w:r w:rsidRPr="0004037C">
        <w:rPr>
          <w:rFonts w:ascii="Arial" w:hAnsi="Arial" w:cs="Arial"/>
          <w:sz w:val="22"/>
          <w:szCs w:val="22"/>
        </w:rPr>
        <w:t xml:space="preserve"> linear model trend lines for the variable</w:t>
      </w:r>
      <w:r>
        <w:rPr>
          <w:rFonts w:ascii="Arial" w:hAnsi="Arial" w:cs="Arial"/>
          <w:sz w:val="22"/>
          <w:szCs w:val="22"/>
        </w:rPr>
        <w:t xml:space="preserve"> pairs</w:t>
      </w:r>
      <w:r w:rsidRPr="0004037C">
        <w:rPr>
          <w:rFonts w:ascii="Arial" w:hAnsi="Arial" w:cs="Arial"/>
          <w:sz w:val="22"/>
          <w:szCs w:val="22"/>
        </w:rPr>
        <w:t xml:space="preserve"> (red lines) and 95% confidence intervals (blue envelopes). This plot was made using the R package </w:t>
      </w:r>
      <w:proofErr w:type="spellStart"/>
      <w:r w:rsidRPr="0004037C">
        <w:rPr>
          <w:rFonts w:ascii="Arial" w:hAnsi="Arial" w:cs="Arial"/>
          <w:sz w:val="22"/>
          <w:szCs w:val="22"/>
        </w:rPr>
        <w:t>GGally</w:t>
      </w:r>
      <w:proofErr w:type="spellEnd"/>
      <w:r w:rsidRPr="0004037C">
        <w:rPr>
          <w:rFonts w:ascii="Arial" w:hAnsi="Arial" w:cs="Arial"/>
          <w:sz w:val="22"/>
          <w:szCs w:val="22"/>
        </w:rPr>
        <w:t xml:space="preserve"> (v. 2.1.2).</w:t>
      </w:r>
      <w:r w:rsidR="00801781">
        <w:rPr>
          <w:rFonts w:ascii="Arial" w:hAnsi="Arial" w:cs="Arial"/>
          <w:sz w:val="22"/>
          <w:szCs w:val="22"/>
        </w:rPr>
        <w:t xml:space="preserve"> </w:t>
      </w:r>
      <w:r w:rsidR="00801781" w:rsidRPr="0004037C">
        <w:rPr>
          <w:rFonts w:ascii="Arial" w:hAnsi="Arial" w:cs="Arial"/>
          <w:sz w:val="22"/>
          <w:szCs w:val="22"/>
        </w:rPr>
        <w:t>CI = Cognitive impairment</w:t>
      </w:r>
      <w:r w:rsidR="00801781">
        <w:rPr>
          <w:rFonts w:ascii="Arial" w:hAnsi="Arial" w:cs="Arial"/>
          <w:sz w:val="22"/>
          <w:szCs w:val="22"/>
        </w:rPr>
        <w:t>;</w:t>
      </w:r>
      <w:r w:rsidR="00801781" w:rsidRPr="0004037C">
        <w:rPr>
          <w:rFonts w:ascii="Arial" w:hAnsi="Arial" w:cs="Arial"/>
          <w:sz w:val="22"/>
          <w:szCs w:val="22"/>
        </w:rPr>
        <w:t xml:space="preserve"> ARTAG = </w:t>
      </w:r>
      <w:r w:rsidR="00801781" w:rsidRPr="0004037C">
        <w:rPr>
          <w:rFonts w:ascii="Arial" w:hAnsi="Arial" w:cs="Arial"/>
          <w:iCs/>
          <w:sz w:val="22"/>
          <w:szCs w:val="22"/>
        </w:rPr>
        <w:t>Aging-related tau astrogliopathy</w:t>
      </w:r>
      <w:r w:rsidR="00801781">
        <w:rPr>
          <w:rFonts w:ascii="Arial" w:hAnsi="Arial" w:cs="Arial"/>
          <w:iCs/>
          <w:sz w:val="22"/>
          <w:szCs w:val="22"/>
        </w:rPr>
        <w:t>;</w:t>
      </w:r>
      <w:r w:rsidR="00801781" w:rsidRPr="0004037C">
        <w:rPr>
          <w:rFonts w:ascii="Arial" w:hAnsi="Arial" w:cs="Arial"/>
          <w:iCs/>
          <w:sz w:val="22"/>
          <w:szCs w:val="22"/>
        </w:rPr>
        <w:t xml:space="preserve"> LFB = Luxol Fast Blue. </w:t>
      </w:r>
    </w:p>
    <w:sectPr w:rsidR="00997133" w:rsidRPr="001A6FF7" w:rsidSect="007561E4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289E6" w14:textId="77777777" w:rsidR="00FF6D1B" w:rsidRDefault="00FF6D1B" w:rsidP="00D42940">
      <w:r>
        <w:separator/>
      </w:r>
    </w:p>
  </w:endnote>
  <w:endnote w:type="continuationSeparator" w:id="0">
    <w:p w14:paraId="554E33B6" w14:textId="77777777" w:rsidR="00FF6D1B" w:rsidRDefault="00FF6D1B" w:rsidP="00D42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942BE" w14:textId="77777777" w:rsidR="00FF6D1B" w:rsidRDefault="00FF6D1B" w:rsidP="00D42940">
      <w:r>
        <w:separator/>
      </w:r>
    </w:p>
  </w:footnote>
  <w:footnote w:type="continuationSeparator" w:id="0">
    <w:p w14:paraId="2C3ABCE3" w14:textId="77777777" w:rsidR="00FF6D1B" w:rsidRDefault="00FF6D1B" w:rsidP="00D42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1024113"/>
      <w:docPartObj>
        <w:docPartGallery w:val="Page Numbers (Top of Page)"/>
        <w:docPartUnique/>
      </w:docPartObj>
    </w:sdtPr>
    <w:sdtContent>
      <w:p w14:paraId="77BA9D2B" w14:textId="3C2C1C86" w:rsidR="00D42940" w:rsidRDefault="00D42940" w:rsidP="00BF53E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A64CA88" w14:textId="77777777" w:rsidR="00D42940" w:rsidRDefault="00D42940" w:rsidP="00D4294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0867334"/>
      <w:docPartObj>
        <w:docPartGallery w:val="Page Numbers (Top of Page)"/>
        <w:docPartUnique/>
      </w:docPartObj>
    </w:sdtPr>
    <w:sdtContent>
      <w:p w14:paraId="7A0E36D7" w14:textId="4912F1F9" w:rsidR="00D42940" w:rsidRDefault="00D42940" w:rsidP="00BF53E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16C19B" w14:textId="77777777" w:rsidR="00D42940" w:rsidRDefault="00D42940" w:rsidP="00D42940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24E"/>
    <w:rsid w:val="00096A3C"/>
    <w:rsid w:val="000C1C60"/>
    <w:rsid w:val="000D2EB0"/>
    <w:rsid w:val="0013124E"/>
    <w:rsid w:val="00137406"/>
    <w:rsid w:val="00153E12"/>
    <w:rsid w:val="00161ADE"/>
    <w:rsid w:val="00163995"/>
    <w:rsid w:val="00193325"/>
    <w:rsid w:val="001A6FF7"/>
    <w:rsid w:val="001B0820"/>
    <w:rsid w:val="001B64CD"/>
    <w:rsid w:val="001C3DDF"/>
    <w:rsid w:val="001F6E06"/>
    <w:rsid w:val="00217700"/>
    <w:rsid w:val="0027718F"/>
    <w:rsid w:val="002D1472"/>
    <w:rsid w:val="002D69C9"/>
    <w:rsid w:val="00301106"/>
    <w:rsid w:val="003459CB"/>
    <w:rsid w:val="00374400"/>
    <w:rsid w:val="003D2625"/>
    <w:rsid w:val="003D4307"/>
    <w:rsid w:val="003F7B52"/>
    <w:rsid w:val="00403254"/>
    <w:rsid w:val="0043124E"/>
    <w:rsid w:val="00444057"/>
    <w:rsid w:val="004728CA"/>
    <w:rsid w:val="004F4F6D"/>
    <w:rsid w:val="00572DE8"/>
    <w:rsid w:val="005B713A"/>
    <w:rsid w:val="0064074E"/>
    <w:rsid w:val="00650B0C"/>
    <w:rsid w:val="00674BF2"/>
    <w:rsid w:val="00697A44"/>
    <w:rsid w:val="006A024B"/>
    <w:rsid w:val="0070149E"/>
    <w:rsid w:val="00746381"/>
    <w:rsid w:val="007561E4"/>
    <w:rsid w:val="007D1307"/>
    <w:rsid w:val="00801781"/>
    <w:rsid w:val="0081355F"/>
    <w:rsid w:val="00883B38"/>
    <w:rsid w:val="008A43F3"/>
    <w:rsid w:val="00997133"/>
    <w:rsid w:val="009A6628"/>
    <w:rsid w:val="009F1367"/>
    <w:rsid w:val="009F5EA7"/>
    <w:rsid w:val="009F7DD0"/>
    <w:rsid w:val="00A6701E"/>
    <w:rsid w:val="00AB2E47"/>
    <w:rsid w:val="00B72F25"/>
    <w:rsid w:val="00BF10BA"/>
    <w:rsid w:val="00C03D9D"/>
    <w:rsid w:val="00C71016"/>
    <w:rsid w:val="00CA463E"/>
    <w:rsid w:val="00CC13B3"/>
    <w:rsid w:val="00CD0E30"/>
    <w:rsid w:val="00CD3610"/>
    <w:rsid w:val="00CE501A"/>
    <w:rsid w:val="00D42940"/>
    <w:rsid w:val="00D522E6"/>
    <w:rsid w:val="00D851F1"/>
    <w:rsid w:val="00E061BA"/>
    <w:rsid w:val="00F065E4"/>
    <w:rsid w:val="00F44182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F3D8B"/>
  <w15:chartTrackingRefBased/>
  <w15:docId w15:val="{7DF53B42-5CE1-AD4E-9960-999630AF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E3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3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997133"/>
    <w:pPr>
      <w:tabs>
        <w:tab w:val="left" w:pos="260"/>
      </w:tabs>
      <w:spacing w:line="480" w:lineRule="auto"/>
      <w:ind w:left="264" w:hanging="264"/>
    </w:pPr>
  </w:style>
  <w:style w:type="paragraph" w:styleId="Header">
    <w:name w:val="header"/>
    <w:basedOn w:val="Normal"/>
    <w:link w:val="HeaderChar"/>
    <w:uiPriority w:val="99"/>
    <w:unhideWhenUsed/>
    <w:rsid w:val="00D429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940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D42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McKenzie</dc:creator>
  <cp:keywords/>
  <dc:description/>
  <cp:lastModifiedBy>Andrew McKenzie</cp:lastModifiedBy>
  <cp:revision>25</cp:revision>
  <dcterms:created xsi:type="dcterms:W3CDTF">2022-05-31T13:21:00Z</dcterms:created>
  <dcterms:modified xsi:type="dcterms:W3CDTF">2022-06-06T13:31:00Z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id="bVtfA90G"/&gt;&lt;style id="http://www.zotero.org/styles/nature" hasBibliography="1" bibliographyStyleHasBeenSet="1"/&gt;&lt;prefs&gt;&lt;pref name="fieldType" value="Field"/&gt;&lt;pref name="automaticJournalAbbrevia</vt:lpwstr>
  </property>
  <property fmtid="{D5CDD505-2E9C-101B-9397-08002B2CF9AE}" pid="3" name="ZOTERO_PREF_2">
    <vt:lpwstr>tions" value="true"/&gt;&lt;/prefs&gt;&lt;/data&gt;</vt:lpwstr>
  </property>
</Properties>
</file>