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704BB" w14:textId="77777777" w:rsidR="004853CD" w:rsidRPr="004853CD" w:rsidRDefault="00065A6C" w:rsidP="004853C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0"/>
          <w:lang w:val="en-US" w:eastAsia="it-IT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0"/>
          <w:lang w:val="en-US" w:eastAsia="it-IT"/>
        </w:rPr>
        <w:t>Additional file 1</w:t>
      </w:r>
    </w:p>
    <w:p w14:paraId="5D4D5E56" w14:textId="77777777" w:rsidR="00065A6C" w:rsidRDefault="00065A6C" w:rsidP="004853C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</w:pPr>
    </w:p>
    <w:p w14:paraId="7C28F25D" w14:textId="77777777" w:rsidR="00755C13" w:rsidRPr="00755C13" w:rsidRDefault="00755C13" w:rsidP="004853C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0"/>
          <w:lang w:val="en-US"/>
        </w:rPr>
      </w:pPr>
      <w:r w:rsidRPr="00755C13">
        <w:rPr>
          <w:rFonts w:ascii="Times New Roman" w:hAnsi="Times New Roman" w:cs="Times New Roman"/>
          <w:color w:val="000000" w:themeColor="text1"/>
          <w:sz w:val="24"/>
          <w:szCs w:val="20"/>
          <w:lang w:val="en-US"/>
        </w:rPr>
        <w:t xml:space="preserve">Hydrogen peroxide induced by nerve injury promotes axon regeneration via Connective Tissue Growth Factor </w:t>
      </w:r>
    </w:p>
    <w:p w14:paraId="49E6D3EB" w14:textId="77777777" w:rsidR="004853CD" w:rsidRPr="00755C13" w:rsidRDefault="004853CD" w:rsidP="004853C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Samuele Negro, Fabio Lauria, Marco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Stazi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, Toma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Tebaldi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, Giorgia D’Este, Marco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Pirazzini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Aram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Megighian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, Francesca Lessi, Chiara M Mazzanti, Gabriele Sales, Chiara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Romualdi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, Silvia Fillo,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Florigio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 xml:space="preserve"> Lista, James N. </w:t>
      </w:r>
      <w:proofErr w:type="spellStart"/>
      <w:r w:rsidRPr="00755C13">
        <w:rPr>
          <w:rFonts w:ascii="Times New Roman" w:hAnsi="Times New Roman" w:cs="Times New Roman"/>
          <w:color w:val="000000" w:themeColor="text1"/>
          <w:szCs w:val="20"/>
        </w:rPr>
        <w:t>Sleigh</w:t>
      </w:r>
      <w:proofErr w:type="spellEnd"/>
      <w:r w:rsidRPr="00755C13">
        <w:rPr>
          <w:rFonts w:ascii="Times New Roman" w:hAnsi="Times New Roman" w:cs="Times New Roman"/>
          <w:color w:val="000000" w:themeColor="text1"/>
          <w:szCs w:val="20"/>
        </w:rPr>
        <w:t>, Andrew P. Tosolini, Giampietro Schiavo, Gabriella Viero and Michela Rigoni</w:t>
      </w:r>
      <w:r w:rsidRPr="00755C13">
        <w:rPr>
          <w:rFonts w:ascii="Times New Roman" w:hAnsi="Times New Roman" w:cs="Times New Roman"/>
          <w:color w:val="000000" w:themeColor="text1"/>
          <w:szCs w:val="20"/>
          <w:vertAlign w:val="superscript"/>
        </w:rPr>
        <w:t>*</w:t>
      </w:r>
    </w:p>
    <w:p w14:paraId="375CBB35" w14:textId="77777777" w:rsidR="004853CD" w:rsidRPr="00755C13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  <w:r w:rsidRPr="00755C13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*Correspondence to: </w:t>
      </w:r>
      <w:hyperlink r:id="rId7" w:history="1">
        <w:r w:rsidRPr="00755C13">
          <w:rPr>
            <w:rStyle w:val="Collegamentoipertestuale"/>
            <w:rFonts w:ascii="Times New Roman" w:hAnsi="Times New Roman" w:cs="Times New Roman"/>
            <w:szCs w:val="20"/>
            <w:lang w:val="en-US" w:eastAsia="it-IT"/>
          </w:rPr>
          <w:t>michela.rigoni@unipd.it</w:t>
        </w:r>
      </w:hyperlink>
    </w:p>
    <w:p w14:paraId="7B86BC1D" w14:textId="77777777" w:rsidR="004853CD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</w:p>
    <w:p w14:paraId="7AEB98E5" w14:textId="0C6178DC" w:rsidR="008F2152" w:rsidRDefault="00065A6C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  <w:r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Additional file 1</w:t>
      </w:r>
      <w:r w:rsidR="00594E6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includes </w:t>
      </w:r>
      <w:proofErr w:type="gramStart"/>
      <w:r w:rsidR="00594E6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6</w:t>
      </w:r>
      <w:proofErr w:type="gramEnd"/>
      <w:r w:rsidR="00680E46" w:rsidRPr="00D10A08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S</w:t>
      </w:r>
      <w:r w:rsidR="004853CD" w:rsidRPr="00D10A08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u</w:t>
      </w:r>
      <w:r w:rsidR="00680E46" w:rsidRPr="00D10A08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pplementa</w:t>
      </w:r>
      <w:r w:rsidR="00CE5A5D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</w:t>
      </w:r>
      <w:r w:rsidR="00680E46" w:rsidRPr="00D10A08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Figures</w:t>
      </w:r>
      <w:r w:rsidR="00DD022C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</w:p>
    <w:p w14:paraId="3B558CD7" w14:textId="77777777" w:rsidR="00065A6C" w:rsidRDefault="00065A6C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</w:p>
    <w:p w14:paraId="5C08F37D" w14:textId="77777777" w:rsidR="004853CD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</w:p>
    <w:p w14:paraId="5E71E504" w14:textId="77777777" w:rsidR="004853CD" w:rsidRPr="004853CD" w:rsidRDefault="0079633D" w:rsidP="004853C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it-IT"/>
        </w:rPr>
        <w:drawing>
          <wp:inline distT="0" distB="0" distL="0" distR="0" wp14:anchorId="523E27C0" wp14:editId="3587E304">
            <wp:extent cx="6120130" cy="44627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EV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6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BA5CA" w14:textId="77777777" w:rsidR="00497974" w:rsidRDefault="00497974" w:rsidP="004853C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</w:pPr>
    </w:p>
    <w:p w14:paraId="06C42056" w14:textId="77777777" w:rsidR="0079633D" w:rsidRPr="004340D2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Fig.</w:t>
      </w:r>
      <w:r w:rsidR="004340D2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1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Time-course of MAT degeneration and regeneration at soleus NMJs following </w:t>
      </w:r>
      <w:r w:rsidRPr="004340D2">
        <w:rPr>
          <w:rFonts w:ascii="Times New Roman" w:hAnsi="Times New Roman" w:cs="Times New Roman"/>
          <w:color w:val="000000" w:themeColor="text1"/>
          <w:szCs w:val="20"/>
          <w:lang w:eastAsia="it-IT"/>
        </w:rPr>
        <w:t>α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</w:t>
      </w:r>
      <w:proofErr w:type="spellStart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treatment.</w:t>
      </w:r>
      <w:r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Progressive SNAP25 and NF (</w:t>
      </w:r>
      <w:r w:rsidRPr="004340D2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 disappearance and reappearance at soleus NMJs of </w:t>
      </w:r>
      <w:proofErr w:type="spellStart"/>
      <w:r w:rsidRPr="004340D2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plp</w:t>
      </w:r>
      <w:proofErr w:type="spellEnd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-GFP mice (expressing GFP in SCs) during the reversible MAT degeneration induced by </w:t>
      </w:r>
      <w:r w:rsidRPr="004340D2">
        <w:rPr>
          <w:rFonts w:ascii="Times New Roman" w:hAnsi="Times New Roman" w:cs="Times New Roman"/>
          <w:color w:val="000000" w:themeColor="text1"/>
          <w:szCs w:val="20"/>
          <w:lang w:eastAsia="it-IT"/>
        </w:rPr>
        <w:t>α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</w:t>
      </w:r>
      <w:proofErr w:type="spellStart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 PSCs are GFP-positive (</w:t>
      </w:r>
      <w:r w:rsidRPr="004340D2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). Scale bars: 10 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µm.</w:t>
      </w:r>
    </w:p>
    <w:p w14:paraId="2D193093" w14:textId="77777777" w:rsidR="004853CD" w:rsidRPr="004853CD" w:rsidRDefault="0079633D" w:rsidP="00755C13">
      <w:pPr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it-IT"/>
        </w:rPr>
      </w:pPr>
      <w:r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br w:type="page"/>
      </w: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it-IT"/>
        </w:rPr>
        <w:lastRenderedPageBreak/>
        <w:drawing>
          <wp:inline distT="0" distB="0" distL="0" distR="0" wp14:anchorId="50379AE5" wp14:editId="003E1A56">
            <wp:extent cx="6120130" cy="5499100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EV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4D1F" w14:textId="77777777" w:rsidR="004853CD" w:rsidRPr="00B27564" w:rsidRDefault="004853CD" w:rsidP="004853CD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  <w:r w:rsidRPr="00B27564"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  <w:t xml:space="preserve">    </w:t>
      </w:r>
    </w:p>
    <w:p w14:paraId="74C0704E" w14:textId="77777777" w:rsidR="0079633D" w:rsidRPr="004340D2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  <w:r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Fig</w:t>
      </w:r>
      <w:r w:rsidR="00152B8B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. </w:t>
      </w:r>
      <w:r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2</w:t>
      </w:r>
      <w:r w:rsidR="004340D2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</w:t>
      </w:r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Gene ontology of the NMJ data set. Enriched functional terms from Gene Ontology (cellular component, biological process and molecular function) and REACTOME pathways enrichment analysis, performed on down- and up-regulated DEGs at each time point. Cells </w:t>
      </w:r>
      <w:proofErr w:type="gramStart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are filled</w:t>
      </w:r>
      <w:proofErr w:type="gramEnd"/>
      <w:r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according to FDR values, and display the number of genes associated to the corresponding term.</w:t>
      </w:r>
    </w:p>
    <w:p w14:paraId="15A15C92" w14:textId="77777777" w:rsidR="00594E64" w:rsidRPr="001A5F64" w:rsidRDefault="0079633D" w:rsidP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  <w:br w:type="page"/>
      </w:r>
    </w:p>
    <w:p w14:paraId="6A6906CE" w14:textId="77777777" w:rsidR="00594E64" w:rsidRPr="00F109DF" w:rsidRDefault="00594E64" w:rsidP="004853CD">
      <w:pPr>
        <w:spacing w:after="0"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0"/>
          <w:szCs w:val="20"/>
          <w:lang w:val="en-GB" w:eastAsia="it-IT"/>
        </w:rPr>
      </w:pPr>
    </w:p>
    <w:p w14:paraId="5A370EC3" w14:textId="77777777" w:rsidR="004853CD" w:rsidRPr="00B27564" w:rsidRDefault="0079633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it-IT"/>
        </w:rPr>
        <w:drawing>
          <wp:inline distT="0" distB="0" distL="0" distR="0" wp14:anchorId="39BD4AA7" wp14:editId="2DE5B745">
            <wp:extent cx="6120130" cy="324739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EV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E2755" w14:textId="77777777" w:rsidR="004853CD" w:rsidRPr="00B27564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</w:p>
    <w:p w14:paraId="2477AF36" w14:textId="77777777" w:rsidR="0079633D" w:rsidRPr="004340D2" w:rsidRDefault="00152B8B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/>
        </w:rPr>
      </w:pPr>
      <w:r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Fig. </w:t>
      </w:r>
      <w:r w:rsidR="001A5F64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3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The expression of ECM components increases during regeneration.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A, B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Expression trajectories of DEGs encoding different collagen isoforms (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A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 and regulatory ECM proteins (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B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). Each plot represents the expression trajectories of the single genes, together with the median (dotted line) and summary statistics (boxplot). The genes included in the analysis </w:t>
      </w:r>
      <w:proofErr w:type="gram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are listed</w:t>
      </w:r>
      <w:proofErr w:type="gram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on the right of each plot. Significant changes during the time-course of α-</w:t>
      </w:r>
      <w:proofErr w:type="spell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treatment with respect to the control were determined using a Wilcoxon-Mann-Whitney test. ***p&lt;0,001 (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A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), ***p&lt;0,001 and **p=0.0018 (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B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), </w:t>
      </w:r>
      <w:proofErr w:type="spell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a.u</w:t>
      </w:r>
      <w:proofErr w:type="spellEnd"/>
      <w:proofErr w:type="gram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.=</w:t>
      </w:r>
      <w:proofErr w:type="gram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arbitrary units.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C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  <w:proofErr w:type="spellStart"/>
      <w:r w:rsidR="004853CD" w:rsidRPr="00755C13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C</w:t>
      </w:r>
      <w:r w:rsidR="00755C13" w:rsidRPr="00755C13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tgf</w:t>
      </w:r>
      <w:proofErr w:type="spell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mRNA levels (expressed as fold change with respect to the control) in bridge SCs during nerve regeneration post-sciatic nerve transection (adapted from </w:t>
      </w:r>
      <w:r w:rsidR="004853CD" w:rsidRPr="004340D2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Clements et al, 2017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).</w:t>
      </w:r>
      <w:r w:rsidR="004853CD" w:rsidRPr="004340D2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D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RNA </w:t>
      </w:r>
      <w:proofErr w:type="spell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seq</w:t>
      </w:r>
      <w:proofErr w:type="spell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analysis showing the mRNA levels of the transcription factor TEAD4 at the NMJ during the time course of 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</w:rPr>
        <w:t>α</w:t>
      </w:r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-</w:t>
      </w:r>
      <w:proofErr w:type="spell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LTx</w:t>
      </w:r>
      <w:proofErr w:type="spell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treatment, normalized to the control. The reported significant differences </w:t>
      </w:r>
      <w:proofErr w:type="gram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were determined</w:t>
      </w:r>
      <w:proofErr w:type="gram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by differential expression analysis. N=</w:t>
      </w:r>
      <w:proofErr w:type="gramStart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>5</w:t>
      </w:r>
      <w:proofErr w:type="gramEnd"/>
      <w:r w:rsidR="004853CD" w:rsidRPr="004340D2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, *p=0.0348 (16 h), *p=0.0109 (72 h), **p=0.0087 (168 h). </w:t>
      </w:r>
    </w:p>
    <w:p w14:paraId="1E898176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C38535A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7E2621D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2DAB1C7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1AE2DE76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C7D0D12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46B187F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B979961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it-IT"/>
        </w:rPr>
        <w:lastRenderedPageBreak/>
        <w:drawing>
          <wp:inline distT="0" distB="0" distL="0" distR="0" wp14:anchorId="60B49A4C" wp14:editId="0B903359">
            <wp:extent cx="6120130" cy="4758055"/>
            <wp:effectExtent l="0" t="0" r="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NuovaEV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3DE87" w14:textId="77777777" w:rsidR="001A5F64" w:rsidRDefault="001A5F64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2DDCB50A" w14:textId="77777777" w:rsidR="001A5F64" w:rsidRDefault="001A5F64" w:rsidP="004340D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71A0BDD" w14:textId="77777777" w:rsidR="001A5F64" w:rsidRPr="004340D2" w:rsidRDefault="004340D2" w:rsidP="0049797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4340D2">
        <w:rPr>
          <w:rFonts w:ascii="Times New Roman" w:hAnsi="Times New Roman" w:cs="Times New Roman"/>
          <w:b/>
          <w:color w:val="000000" w:themeColor="text1"/>
          <w:lang w:val="en-US"/>
        </w:rPr>
        <w:t>Fig.</w:t>
      </w:r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gramStart"/>
      <w:r w:rsidRPr="004340D2">
        <w:rPr>
          <w:rFonts w:ascii="Times New Roman" w:hAnsi="Times New Roman" w:cs="Times New Roman"/>
          <w:b/>
          <w:color w:val="000000" w:themeColor="text1"/>
          <w:lang w:val="en-US"/>
        </w:rPr>
        <w:t xml:space="preserve">4 </w:t>
      </w:r>
      <w:r w:rsidR="001A5F64" w:rsidRPr="004340D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proofErr w:type="spellStart"/>
      <w:r w:rsidRPr="004340D2">
        <w:rPr>
          <w:rFonts w:ascii="Times New Roman" w:hAnsi="Times New Roman" w:cs="Times New Roman"/>
          <w:color w:val="000000" w:themeColor="text1"/>
          <w:lang w:val="en-US"/>
        </w:rPr>
        <w:t>Ctgf</w:t>
      </w:r>
      <w:proofErr w:type="spellEnd"/>
      <w:proofErr w:type="gram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localizes to the NMJ and redistributes upon toxin-induced injury.  </w:t>
      </w:r>
      <w:r w:rsidRPr="004340D2">
        <w:rPr>
          <w:rFonts w:ascii="Times New Roman" w:hAnsi="Times New Roman" w:cs="Times New Roman"/>
          <w:b/>
          <w:color w:val="000000" w:themeColor="text1"/>
          <w:lang w:val="en-US"/>
        </w:rPr>
        <w:t>A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Time-course of </w:t>
      </w:r>
      <w:proofErr w:type="spellStart"/>
      <w:r w:rsidRPr="004340D2">
        <w:rPr>
          <w:rFonts w:ascii="Times New Roman" w:hAnsi="Times New Roman" w:cs="Times New Roman"/>
          <w:color w:val="000000" w:themeColor="text1"/>
          <w:lang w:val="en-US"/>
        </w:rPr>
        <w:t>Ctgf</w:t>
      </w:r>
      <w:proofErr w:type="spell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Pr="004340D2">
        <w:rPr>
          <w:rFonts w:ascii="Times New Roman" w:hAnsi="Times New Roman" w:cs="Times New Roman"/>
          <w:i/>
          <w:color w:val="000000" w:themeColor="text1"/>
          <w:lang w:val="en-US"/>
        </w:rPr>
        <w:t>red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>) expression at LAL NMJs during intoxication by α-</w:t>
      </w:r>
      <w:proofErr w:type="spellStart"/>
      <w:r w:rsidRPr="004340D2">
        <w:rPr>
          <w:rFonts w:ascii="Times New Roman" w:hAnsi="Times New Roman" w:cs="Times New Roman"/>
          <w:color w:val="000000" w:themeColor="text1"/>
          <w:lang w:val="en-US"/>
        </w:rPr>
        <w:t>LTx</w:t>
      </w:r>
      <w:proofErr w:type="spell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(4, 16, 72 and 168 h). Control NMJs are in upper panels. PSCs are GFP-positive (</w:t>
      </w:r>
      <w:r w:rsidRPr="004340D2">
        <w:rPr>
          <w:rFonts w:ascii="Times New Roman" w:hAnsi="Times New Roman" w:cs="Times New Roman"/>
          <w:i/>
          <w:color w:val="000000" w:themeColor="text1"/>
          <w:lang w:val="en-US"/>
        </w:rPr>
        <w:t>green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) and the neuronal-component </w:t>
      </w:r>
      <w:proofErr w:type="spellStart"/>
      <w:r w:rsidRPr="004340D2">
        <w:rPr>
          <w:rFonts w:ascii="Times New Roman" w:hAnsi="Times New Roman" w:cs="Times New Roman"/>
          <w:color w:val="000000" w:themeColor="text1"/>
          <w:lang w:val="en-US"/>
        </w:rPr>
        <w:t>neurofilament</w:t>
      </w:r>
      <w:proofErr w:type="spell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-positive (NF, </w:t>
      </w:r>
      <w:r w:rsidRPr="004340D2">
        <w:rPr>
          <w:rFonts w:ascii="Times New Roman" w:hAnsi="Times New Roman" w:cs="Times New Roman"/>
          <w:i/>
          <w:color w:val="000000" w:themeColor="text1"/>
          <w:lang w:val="en-US"/>
        </w:rPr>
        <w:t>white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). Scale bars: </w:t>
      </w:r>
      <w:proofErr w:type="gramStart"/>
      <w:r w:rsidRPr="004340D2">
        <w:rPr>
          <w:rFonts w:ascii="Times New Roman" w:hAnsi="Times New Roman" w:cs="Times New Roman"/>
          <w:color w:val="000000" w:themeColor="text1"/>
          <w:lang w:val="en-US"/>
        </w:rPr>
        <w:t>10 µm</w:t>
      </w:r>
      <w:proofErr w:type="gram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. </w:t>
      </w:r>
      <w:r w:rsidRPr="004340D2">
        <w:rPr>
          <w:rFonts w:ascii="Times New Roman" w:hAnsi="Times New Roman" w:cs="Times New Roman"/>
          <w:b/>
          <w:color w:val="000000" w:themeColor="text1"/>
          <w:lang w:val="en-US"/>
        </w:rPr>
        <w:t>B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Orthogonal projection showing </w:t>
      </w:r>
      <w:proofErr w:type="spellStart"/>
      <w:r w:rsidRPr="004340D2">
        <w:rPr>
          <w:rFonts w:ascii="Times New Roman" w:hAnsi="Times New Roman" w:cs="Times New Roman"/>
          <w:color w:val="000000" w:themeColor="text1"/>
          <w:lang w:val="en-US"/>
        </w:rPr>
        <w:t>Ctgf</w:t>
      </w:r>
      <w:proofErr w:type="spellEnd"/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localization in PSCs and in the ECM at a control NMJ. Scale bar: 10 µm. </w:t>
      </w:r>
      <w:r w:rsidRPr="004340D2">
        <w:rPr>
          <w:rFonts w:ascii="Times New Roman" w:hAnsi="Times New Roman" w:cs="Times New Roman"/>
          <w:b/>
          <w:color w:val="000000" w:themeColor="text1"/>
          <w:lang w:val="en-US"/>
        </w:rPr>
        <w:t>C</w:t>
      </w:r>
      <w:r w:rsidRPr="004340D2">
        <w:rPr>
          <w:rFonts w:ascii="Times New Roman" w:hAnsi="Times New Roman" w:cs="Times New Roman"/>
          <w:color w:val="000000" w:themeColor="text1"/>
          <w:lang w:val="en-US"/>
        </w:rPr>
        <w:t xml:space="preserve"> 3D reconstruction of a control NMJ. Scale bars: 10 µm.</w:t>
      </w:r>
    </w:p>
    <w:p w14:paraId="0D45DEDA" w14:textId="77777777" w:rsidR="0079633D" w:rsidRPr="004340D2" w:rsidRDefault="0079633D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4340D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br w:type="page"/>
      </w:r>
    </w:p>
    <w:p w14:paraId="4C830233" w14:textId="77777777" w:rsidR="001A5F64" w:rsidRPr="001A5F64" w:rsidRDefault="001A5F64" w:rsidP="004853CD">
      <w:pPr>
        <w:spacing w:after="0" w:line="360" w:lineRule="auto"/>
        <w:jc w:val="both"/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val="en-GB" w:eastAsia="it-IT"/>
        </w:rPr>
      </w:pPr>
    </w:p>
    <w:p w14:paraId="58F8306C" w14:textId="77777777" w:rsidR="004853CD" w:rsidRPr="004853CD" w:rsidRDefault="00E3779E" w:rsidP="004853C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  <w:lang w:eastAsia="it-IT"/>
        </w:rPr>
        <w:drawing>
          <wp:inline distT="0" distB="0" distL="0" distR="0" wp14:anchorId="360E99BA" wp14:editId="692C377B">
            <wp:extent cx="5931408" cy="7638288"/>
            <wp:effectExtent l="0" t="0" r="0" b="127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EV5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408" cy="763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68D87" w14:textId="77777777" w:rsidR="004853CD" w:rsidRPr="00B27564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</w:p>
    <w:p w14:paraId="2D505C45" w14:textId="33AF7BFC" w:rsidR="0079633D" w:rsidRPr="00497974" w:rsidRDefault="00152B8B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  <w:r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Fig. </w:t>
      </w:r>
      <w:r w:rsidR="00594E64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5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Hydrogen peroxide induces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expression and release in primary SCs.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A, B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SCMN injury triggers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expression in co-cultured SCs. Co-cultures of primary SCMNs and primary SCs were exposed to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eastAsia="it-IT"/>
        </w:rPr>
        <w:t>α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for 20, 40 and 60 min, and stained for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 and S100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 to identify SCs</w:t>
      </w:r>
      <w:r w:rsidR="00977326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Nuclei are in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blue</w:t>
      </w:r>
      <w:r w:rsidR="00977326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 xml:space="preserve"> </w:t>
      </w:r>
      <w:r w:rsidR="00977326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(</w:t>
      </w:r>
      <w:r w:rsidR="00977326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A</w:t>
      </w:r>
      <w:r w:rsidR="00977326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lastRenderedPageBreak/>
        <w:t xml:space="preserve">Scale bars: 50 µm. Quantification of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signal is shown in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B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N=</w:t>
      </w:r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3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, 120 cells analyzed.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*p=0.028, **p=0.006, ns= not significant,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a.u</w:t>
      </w:r>
      <w:proofErr w:type="spellEnd"/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.=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arbitrary units.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C, 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Immunostaining for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 of primary SC cultures (S100 positive,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 exposed to 50 µM H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vertAlign w:val="subscript"/>
          <w:lang w:val="en-US" w:eastAsia="it-IT"/>
        </w:rPr>
        <w:t>2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O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vertAlign w:val="subscript"/>
          <w:lang w:val="en-US" w:eastAsia="it-IT"/>
        </w:rPr>
        <w:t>2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for 20, 40 and 60 min, and relative quantitation (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). Scale bars: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50 µm (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/>
        </w:rPr>
        <w:t>C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). (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/>
        </w:rPr>
        <w:t>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) N=</w:t>
      </w:r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3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, 120 cells analyzed.</w:t>
      </w:r>
      <w:r w:rsidR="004853CD" w:rsidRPr="00497974" w:rsidDel="008852D9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*p=0.039 (20 min), *p=0.034 (40 min), and *p=0.012 (60 min),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a.u</w:t>
      </w:r>
      <w:proofErr w:type="spellEnd"/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.=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arbitrary units.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E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Quantification of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release upon exposure of primary SCs to 50 µM H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vertAlign w:val="subscript"/>
          <w:lang w:val="en-US" w:eastAsia="it-IT"/>
        </w:rPr>
        <w:t>2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O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vertAlign w:val="subscript"/>
          <w:lang w:val="en-US" w:eastAsia="it-IT"/>
        </w:rPr>
        <w:t>2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for 20, 40 and 60 min by ELISA. N=4, *p=0.020, **p=0.0049, ns=not significant,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a.u</w:t>
      </w:r>
      <w:proofErr w:type="spellEnd"/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.=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arbitrary units</w:t>
      </w:r>
    </w:p>
    <w:p w14:paraId="7EF08FF0" w14:textId="77777777" w:rsidR="0079633D" w:rsidRPr="00497974" w:rsidRDefault="0079633D">
      <w:pPr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  <w:r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br w:type="page"/>
      </w:r>
    </w:p>
    <w:p w14:paraId="6DCEF853" w14:textId="53437C50" w:rsidR="004853CD" w:rsidRPr="00B27564" w:rsidRDefault="0080688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it-IT"/>
        </w:rPr>
        <w:lastRenderedPageBreak/>
        <w:drawing>
          <wp:inline distT="0" distB="0" distL="0" distR="0" wp14:anchorId="5F04F46F" wp14:editId="2C856E65">
            <wp:extent cx="6120130" cy="792734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EV6 (1)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92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97805" w14:textId="77777777" w:rsidR="004853CD" w:rsidRPr="00B27564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 w:eastAsia="it-IT"/>
        </w:rPr>
      </w:pPr>
    </w:p>
    <w:p w14:paraId="441E3900" w14:textId="7B590397" w:rsidR="004853CD" w:rsidRPr="00497974" w:rsidRDefault="00152B8B" w:rsidP="004853C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</w:pPr>
      <w:r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Fig. </w:t>
      </w:r>
      <w:r w:rsidR="00594E64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6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Glial sprouts express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to support SC migration.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A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-positive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 PSC sprouts (arrows) in LAL muscles 16 h after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eastAsia="it-IT"/>
        </w:rPr>
        <w:t>α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injection (upper panels), 21 days after sciatic nerve transection (middle panels), and 21 days upon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BoNT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/A intoxication (lower panels), and the correspondent magnifications. PSCs are in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lastRenderedPageBreak/>
        <w:t xml:space="preserve">Scale bars: 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>50 µm (10 µm in the magnifications).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B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3D reconstructions of NMJs 4 h (upper panel) and 16 h (lower panel) from α-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LTx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poisoning. Scale bars: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/>
        </w:rPr>
        <w:t xml:space="preserve"> 10 µm.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PSCs are in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,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in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Arrows point to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-positive sprouts.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C, 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neutralization affects PSC sprouting at soleus NMJs after chemical denervation by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BoNT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/A. PSC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green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 sprouts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arrows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) form upon neurotransmission blockade induced by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BoNT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/A (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C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, left panels). </w:t>
      </w:r>
      <w:proofErr w:type="spellStart"/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BoNT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/A proteolytic activity is revealed by an antibody recognizing the cleaved form of SNAP25 (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red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)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BoNT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/A-induced sprouting </w:t>
      </w:r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is reduced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when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is neutralized (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C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, right panels). Scale bars: 10 µm. Relative quantitation is shown in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D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. N=</w:t>
      </w:r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5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One hundred NMJs analyzed/muscle. *p=0.043. 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 xml:space="preserve"> E, F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Wound healing assay showing the time-course of SC migration </w:t>
      </w:r>
      <w:r w:rsidR="004853CD" w:rsidRPr="00497974">
        <w:rPr>
          <w:rFonts w:ascii="Times New Roman" w:hAnsi="Times New Roman" w:cs="Times New Roman"/>
          <w:i/>
          <w:color w:val="000000" w:themeColor="text1"/>
          <w:szCs w:val="20"/>
          <w:lang w:val="en-US" w:eastAsia="it-IT"/>
        </w:rPr>
        <w:t>in vitro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following scratching (performed at time 0). Cells </w:t>
      </w:r>
      <w:proofErr w:type="gram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were plated</w:t>
      </w:r>
      <w:proofErr w:type="gram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on a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laminin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(upper panels) or </w:t>
      </w:r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laminin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+ r</w:t>
      </w:r>
      <w:r w:rsidR="0080688D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ecombinant </w:t>
      </w:r>
      <w:bookmarkStart w:id="0" w:name="_GoBack"/>
      <w:bookmarkEnd w:id="0"/>
      <w:proofErr w:type="spellStart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Ctgf</w:t>
      </w:r>
      <w:proofErr w:type="spellEnd"/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(lower panels) coating. Scale bars: 50 µm. Quantification of the wound area at </w:t>
      </w:r>
      <w:r w:rsidR="009803D1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>different time points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 from scratching is shown in </w:t>
      </w:r>
      <w:r w:rsidR="004853CD" w:rsidRPr="00497974">
        <w:rPr>
          <w:rFonts w:ascii="Times New Roman" w:hAnsi="Times New Roman" w:cs="Times New Roman"/>
          <w:b/>
          <w:color w:val="000000" w:themeColor="text1"/>
          <w:szCs w:val="20"/>
          <w:lang w:val="en-US" w:eastAsia="it-IT"/>
        </w:rPr>
        <w:t>F</w:t>
      </w:r>
      <w:r w:rsidR="004853CD" w:rsidRPr="00497974">
        <w:rPr>
          <w:rFonts w:ascii="Times New Roman" w:hAnsi="Times New Roman" w:cs="Times New Roman"/>
          <w:color w:val="000000" w:themeColor="text1"/>
          <w:szCs w:val="20"/>
          <w:lang w:val="en-US" w:eastAsia="it-IT"/>
        </w:rPr>
        <w:t xml:space="preserve">. N=3, *p=0.0105 </w:t>
      </w:r>
    </w:p>
    <w:p w14:paraId="567D7F07" w14:textId="77777777" w:rsidR="004853CD" w:rsidRPr="00497974" w:rsidRDefault="004853CD" w:rsidP="004853C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Cs w:val="20"/>
          <w:lang w:val="en-US" w:eastAsia="it-IT"/>
        </w:rPr>
      </w:pPr>
    </w:p>
    <w:p w14:paraId="277F1B11" w14:textId="77777777" w:rsidR="004853CD" w:rsidRPr="00497974" w:rsidRDefault="004853CD" w:rsidP="004853CD">
      <w:pPr>
        <w:rPr>
          <w:rFonts w:ascii="Times New Roman" w:hAnsi="Times New Roman" w:cs="Times New Roman"/>
          <w:b/>
          <w:color w:val="000000" w:themeColor="text1"/>
          <w:szCs w:val="20"/>
          <w:lang w:val="en-US"/>
        </w:rPr>
      </w:pPr>
    </w:p>
    <w:sectPr w:rsidR="004853CD" w:rsidRPr="00497974" w:rsidSect="008F2152">
      <w:footerReference w:type="default" r:id="rId14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08BEA" w14:textId="77777777" w:rsidR="002632F9" w:rsidRDefault="002632F9">
      <w:pPr>
        <w:spacing w:after="0" w:line="240" w:lineRule="auto"/>
      </w:pPr>
      <w:r>
        <w:separator/>
      </w:r>
    </w:p>
  </w:endnote>
  <w:endnote w:type="continuationSeparator" w:id="0">
    <w:p w14:paraId="08A88904" w14:textId="77777777" w:rsidR="002632F9" w:rsidRDefault="00263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002894"/>
      <w:docPartObj>
        <w:docPartGallery w:val="Page Numbers (Bottom of Page)"/>
        <w:docPartUnique/>
      </w:docPartObj>
    </w:sdtPr>
    <w:sdtEndPr/>
    <w:sdtContent>
      <w:p w14:paraId="5F83BE82" w14:textId="4286BF37" w:rsidR="001A5EF7" w:rsidRDefault="00D10A0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C46">
          <w:rPr>
            <w:noProof/>
          </w:rPr>
          <w:t>8</w:t>
        </w:r>
        <w:r>
          <w:fldChar w:fldCharType="end"/>
        </w:r>
      </w:p>
    </w:sdtContent>
  </w:sdt>
  <w:p w14:paraId="5C305D50" w14:textId="77777777" w:rsidR="001A5EF7" w:rsidRDefault="002632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13E8A" w14:textId="77777777" w:rsidR="002632F9" w:rsidRDefault="002632F9">
      <w:pPr>
        <w:spacing w:after="0" w:line="240" w:lineRule="auto"/>
      </w:pPr>
      <w:r>
        <w:separator/>
      </w:r>
    </w:p>
  </w:footnote>
  <w:footnote w:type="continuationSeparator" w:id="0">
    <w:p w14:paraId="127F6F5D" w14:textId="77777777" w:rsidR="002632F9" w:rsidRDefault="00263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24DA"/>
    <w:multiLevelType w:val="hybridMultilevel"/>
    <w:tmpl w:val="4432C308"/>
    <w:lvl w:ilvl="0" w:tplc="CD62A9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CD"/>
    <w:rsid w:val="00065A6C"/>
    <w:rsid w:val="000D1BBB"/>
    <w:rsid w:val="001244B3"/>
    <w:rsid w:val="00152B8B"/>
    <w:rsid w:val="001A5F64"/>
    <w:rsid w:val="001C4C8B"/>
    <w:rsid w:val="0021402F"/>
    <w:rsid w:val="002632F9"/>
    <w:rsid w:val="002821DA"/>
    <w:rsid w:val="002D2BC1"/>
    <w:rsid w:val="00342E6A"/>
    <w:rsid w:val="003C60E5"/>
    <w:rsid w:val="00404498"/>
    <w:rsid w:val="004340D2"/>
    <w:rsid w:val="004853CD"/>
    <w:rsid w:val="00497974"/>
    <w:rsid w:val="004E1BAA"/>
    <w:rsid w:val="004F4E05"/>
    <w:rsid w:val="00557E78"/>
    <w:rsid w:val="005902F4"/>
    <w:rsid w:val="00594E64"/>
    <w:rsid w:val="006122DA"/>
    <w:rsid w:val="00676C5A"/>
    <w:rsid w:val="00680E46"/>
    <w:rsid w:val="00755C13"/>
    <w:rsid w:val="0079633D"/>
    <w:rsid w:val="0080239D"/>
    <w:rsid w:val="0080688D"/>
    <w:rsid w:val="008533A9"/>
    <w:rsid w:val="008A29E8"/>
    <w:rsid w:val="008E4C45"/>
    <w:rsid w:val="008F2152"/>
    <w:rsid w:val="009110F4"/>
    <w:rsid w:val="00961A51"/>
    <w:rsid w:val="00977326"/>
    <w:rsid w:val="009803D1"/>
    <w:rsid w:val="009E7CCE"/>
    <w:rsid w:val="009F1BA7"/>
    <w:rsid w:val="00A2629E"/>
    <w:rsid w:val="00A513F6"/>
    <w:rsid w:val="00AB2C77"/>
    <w:rsid w:val="00AF0E23"/>
    <w:rsid w:val="00B165D7"/>
    <w:rsid w:val="00B9579C"/>
    <w:rsid w:val="00C54C46"/>
    <w:rsid w:val="00C7149F"/>
    <w:rsid w:val="00C86085"/>
    <w:rsid w:val="00CE5A5D"/>
    <w:rsid w:val="00D10A08"/>
    <w:rsid w:val="00D53B2C"/>
    <w:rsid w:val="00D87FFB"/>
    <w:rsid w:val="00DD022C"/>
    <w:rsid w:val="00E038D0"/>
    <w:rsid w:val="00E3779E"/>
    <w:rsid w:val="00E613E2"/>
    <w:rsid w:val="00E80999"/>
    <w:rsid w:val="00F1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BBBA6"/>
  <w15:chartTrackingRefBased/>
  <w15:docId w15:val="{2082B310-7D71-4243-86F0-4CA705A6B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3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85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3CD"/>
  </w:style>
  <w:style w:type="character" w:styleId="Numeroriga">
    <w:name w:val="line number"/>
    <w:basedOn w:val="Carpredefinitoparagrafo"/>
    <w:uiPriority w:val="99"/>
    <w:semiHidden/>
    <w:unhideWhenUsed/>
    <w:rsid w:val="004853CD"/>
  </w:style>
  <w:style w:type="paragraph" w:styleId="Paragrafoelenco">
    <w:name w:val="List Paragraph"/>
    <w:basedOn w:val="Normale"/>
    <w:uiPriority w:val="34"/>
    <w:qFormat/>
    <w:rsid w:val="004853C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853CD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94E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E64"/>
  </w:style>
  <w:style w:type="character" w:styleId="Rimandocommento">
    <w:name w:val="annotation reference"/>
    <w:basedOn w:val="Carpredefinitoparagrafo"/>
    <w:uiPriority w:val="99"/>
    <w:semiHidden/>
    <w:unhideWhenUsed/>
    <w:rsid w:val="005902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902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902F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02F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02F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mailto:michela.rigoni@unipd.it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</dc:creator>
  <cp:keywords/>
  <dc:description/>
  <cp:lastModifiedBy>michela</cp:lastModifiedBy>
  <cp:revision>15</cp:revision>
  <cp:lastPrinted>2022-07-20T11:33:00Z</cp:lastPrinted>
  <dcterms:created xsi:type="dcterms:W3CDTF">2022-08-24T08:59:00Z</dcterms:created>
  <dcterms:modified xsi:type="dcterms:W3CDTF">2022-08-26T10:03:00Z</dcterms:modified>
</cp:coreProperties>
</file>