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287C8" w14:textId="77777777" w:rsidR="00506C0D" w:rsidRDefault="00506C0D" w:rsidP="00506C0D">
      <w:pPr>
        <w:jc w:val="both"/>
        <w:rPr>
          <w:rFonts w:ascii="Arial" w:hAnsi="Arial" w:cs="Arial"/>
        </w:rPr>
      </w:pPr>
      <w:r w:rsidRPr="00477B84">
        <w:rPr>
          <w:rFonts w:ascii="Arial" w:hAnsi="Arial" w:cs="Arial"/>
          <w:b/>
          <w:bCs/>
        </w:rPr>
        <w:t>Supplementary Table 1</w:t>
      </w:r>
      <w:r>
        <w:rPr>
          <w:rFonts w:ascii="Arial" w:hAnsi="Arial" w:cs="Arial"/>
        </w:rPr>
        <w:t>: Demographic details for the patient and control cohort</w:t>
      </w:r>
    </w:p>
    <w:tbl>
      <w:tblPr>
        <w:tblStyle w:val="TableGrid"/>
        <w:tblpPr w:leftFromText="180" w:rightFromText="180" w:vertAnchor="text" w:tblpY="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555"/>
        <w:gridCol w:w="769"/>
        <w:gridCol w:w="2835"/>
        <w:gridCol w:w="1561"/>
        <w:gridCol w:w="1700"/>
        <w:gridCol w:w="3785"/>
        <w:gridCol w:w="992"/>
        <w:gridCol w:w="937"/>
      </w:tblGrid>
      <w:tr w:rsidR="00506C0D" w:rsidRPr="00477B84" w14:paraId="0A4B91C5" w14:textId="77777777" w:rsidTr="009B19DE"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4BEFF40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Patient: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</w:tcPr>
          <w:p w14:paraId="4F725BE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Sex: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713BB9AD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Age at death:</w:t>
            </w: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</w:tcPr>
          <w:p w14:paraId="1B4F141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Brain bank: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43C37686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Post-mortem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br/>
              <w:t xml:space="preserve"> interval</w:t>
            </w: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: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(hours)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14:paraId="3CA6D24A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Formalin fixation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duration</w:t>
            </w: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1358" w:type="pct"/>
            <w:tcBorders>
              <w:top w:val="single" w:sz="4" w:space="0" w:color="auto"/>
              <w:bottom w:val="single" w:sz="4" w:space="0" w:color="auto"/>
            </w:tcBorders>
          </w:tcPr>
          <w:p w14:paraId="66DE320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Cause of death: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5322BE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Occipital tissue: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</w:tcPr>
          <w:p w14:paraId="20CA41D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77B8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Frontal tissue:</w:t>
            </w:r>
          </w:p>
        </w:tc>
      </w:tr>
      <w:tr w:rsidR="00506C0D" w:rsidRPr="00477B84" w14:paraId="38D7BFA0" w14:textId="77777777" w:rsidTr="009B19DE">
        <w:tc>
          <w:tcPr>
            <w:tcW w:w="288" w:type="pct"/>
            <w:tcBorders>
              <w:top w:val="single" w:sz="4" w:space="0" w:color="auto"/>
            </w:tcBorders>
          </w:tcPr>
          <w:p w14:paraId="1023F7C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Pt.01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4EE6470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  <w:tcBorders>
              <w:top w:val="single" w:sz="4" w:space="0" w:color="auto"/>
            </w:tcBorders>
          </w:tcPr>
          <w:p w14:paraId="733F5298" w14:textId="5E65E4D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5.5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17" w:type="pct"/>
            <w:tcBorders>
              <w:top w:val="single" w:sz="4" w:space="0" w:color="auto"/>
            </w:tcBorders>
          </w:tcPr>
          <w:p w14:paraId="5F5091DE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Vienna</w:t>
            </w:r>
          </w:p>
        </w:tc>
        <w:tc>
          <w:tcPr>
            <w:tcW w:w="560" w:type="pct"/>
            <w:tcBorders>
              <w:top w:val="single" w:sz="4" w:space="0" w:color="auto"/>
            </w:tcBorders>
          </w:tcPr>
          <w:p w14:paraId="30F8ED3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58B0D1E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1358" w:type="pct"/>
            <w:tcBorders>
              <w:top w:val="single" w:sz="4" w:space="0" w:color="auto"/>
            </w:tcBorders>
          </w:tcPr>
          <w:p w14:paraId="1270BDD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Cardiac and respiratory failure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0A2ED84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  <w:tcBorders>
              <w:top w:val="single" w:sz="4" w:space="0" w:color="auto"/>
            </w:tcBorders>
          </w:tcPr>
          <w:p w14:paraId="422C4EC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506C0D" w:rsidRPr="00477B84" w14:paraId="184BB951" w14:textId="77777777" w:rsidTr="009B19DE">
        <w:tc>
          <w:tcPr>
            <w:tcW w:w="288" w:type="pct"/>
          </w:tcPr>
          <w:p w14:paraId="47DF3CF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Pt.02</w:t>
            </w:r>
          </w:p>
        </w:tc>
        <w:tc>
          <w:tcPr>
            <w:tcW w:w="199" w:type="pct"/>
          </w:tcPr>
          <w:p w14:paraId="5A32690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5AF5270F" w14:textId="06099B6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13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09E856A6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Vienna</w:t>
            </w:r>
          </w:p>
        </w:tc>
        <w:tc>
          <w:tcPr>
            <w:tcW w:w="560" w:type="pct"/>
          </w:tcPr>
          <w:p w14:paraId="3150DCD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0636243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1358" w:type="pct"/>
          </w:tcPr>
          <w:p w14:paraId="661722B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Pneumonia</w:t>
            </w:r>
          </w:p>
        </w:tc>
        <w:tc>
          <w:tcPr>
            <w:tcW w:w="356" w:type="pct"/>
          </w:tcPr>
          <w:p w14:paraId="209BF28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36" w:type="pct"/>
          </w:tcPr>
          <w:p w14:paraId="19B38D9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1AFD084F" w14:textId="77777777" w:rsidTr="009B19DE">
        <w:tc>
          <w:tcPr>
            <w:tcW w:w="288" w:type="pct"/>
          </w:tcPr>
          <w:p w14:paraId="2C111BA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Pt.03</w:t>
            </w:r>
          </w:p>
        </w:tc>
        <w:tc>
          <w:tcPr>
            <w:tcW w:w="199" w:type="pct"/>
          </w:tcPr>
          <w:p w14:paraId="275E136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5F1C4D48" w14:textId="399C4D5C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14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5BCDB9B1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7E59A2C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610" w:type="pct"/>
          </w:tcPr>
          <w:p w14:paraId="4FC68036" w14:textId="1F5F143A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0D31823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Hepatic failure</w:t>
            </w:r>
          </w:p>
        </w:tc>
        <w:tc>
          <w:tcPr>
            <w:tcW w:w="356" w:type="pct"/>
          </w:tcPr>
          <w:p w14:paraId="3F5E4A3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1F51AA3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261E2DE5" w14:textId="77777777" w:rsidTr="009B19DE">
        <w:tc>
          <w:tcPr>
            <w:tcW w:w="288" w:type="pct"/>
          </w:tcPr>
          <w:p w14:paraId="783474D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Pt.04</w:t>
            </w:r>
          </w:p>
        </w:tc>
        <w:tc>
          <w:tcPr>
            <w:tcW w:w="199" w:type="pct"/>
          </w:tcPr>
          <w:p w14:paraId="0F74755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01C74F6C" w14:textId="3C509511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563EA585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Southampton*</w:t>
            </w:r>
          </w:p>
        </w:tc>
        <w:tc>
          <w:tcPr>
            <w:tcW w:w="560" w:type="pct"/>
          </w:tcPr>
          <w:p w14:paraId="3C60BD8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6652D4B4" w14:textId="4A1EE994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12B6EB3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356" w:type="pct"/>
          </w:tcPr>
          <w:p w14:paraId="0E6B419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36" w:type="pct"/>
          </w:tcPr>
          <w:p w14:paraId="43BF8A0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42B0980C" w14:textId="77777777" w:rsidTr="009B19DE">
        <w:tc>
          <w:tcPr>
            <w:tcW w:w="288" w:type="pct"/>
          </w:tcPr>
          <w:p w14:paraId="6ED3626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Pt.05</w:t>
            </w:r>
          </w:p>
        </w:tc>
        <w:tc>
          <w:tcPr>
            <w:tcW w:w="199" w:type="pct"/>
          </w:tcPr>
          <w:p w14:paraId="3E7252A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42D96653" w14:textId="7A73946C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29374496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NeuroBioBank</w:t>
            </w:r>
          </w:p>
        </w:tc>
        <w:tc>
          <w:tcPr>
            <w:tcW w:w="560" w:type="pct"/>
          </w:tcPr>
          <w:p w14:paraId="484EFE7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610" w:type="pct"/>
          </w:tcPr>
          <w:p w14:paraId="198407A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18.8y</w:t>
            </w:r>
          </w:p>
        </w:tc>
        <w:tc>
          <w:tcPr>
            <w:tcW w:w="1358" w:type="pct"/>
          </w:tcPr>
          <w:p w14:paraId="79253F0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Respiratory failure</w:t>
            </w:r>
          </w:p>
        </w:tc>
        <w:tc>
          <w:tcPr>
            <w:tcW w:w="356" w:type="pct"/>
          </w:tcPr>
          <w:p w14:paraId="24F0727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3765426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38AEEB3E" w14:textId="77777777" w:rsidTr="009B19DE">
        <w:tc>
          <w:tcPr>
            <w:tcW w:w="288" w:type="pct"/>
          </w:tcPr>
          <w:p w14:paraId="0BC5D42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Pt.06</w:t>
            </w:r>
          </w:p>
        </w:tc>
        <w:tc>
          <w:tcPr>
            <w:tcW w:w="199" w:type="pct"/>
          </w:tcPr>
          <w:p w14:paraId="3F68ED8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376D3C92" w14:textId="3F11FEFA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2.8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74B96F6C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08F47FE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26DB18D5" w14:textId="7670A8F3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3E54766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Respiratory failure</w:t>
            </w:r>
          </w:p>
        </w:tc>
        <w:tc>
          <w:tcPr>
            <w:tcW w:w="356" w:type="pct"/>
          </w:tcPr>
          <w:p w14:paraId="494F0AC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36" w:type="pct"/>
          </w:tcPr>
          <w:p w14:paraId="785D91C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188DBD9B" w14:textId="77777777" w:rsidTr="009B19DE">
        <w:tc>
          <w:tcPr>
            <w:tcW w:w="288" w:type="pct"/>
          </w:tcPr>
          <w:p w14:paraId="298382E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Pt.07</w:t>
            </w:r>
          </w:p>
        </w:tc>
        <w:tc>
          <w:tcPr>
            <w:tcW w:w="199" w:type="pct"/>
          </w:tcPr>
          <w:p w14:paraId="3542193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43CEDE8D" w14:textId="6668BC2A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7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723C9332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Vienna</w:t>
            </w:r>
          </w:p>
        </w:tc>
        <w:tc>
          <w:tcPr>
            <w:tcW w:w="560" w:type="pct"/>
          </w:tcPr>
          <w:p w14:paraId="18E7EC6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14654CB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1358" w:type="pct"/>
          </w:tcPr>
          <w:p w14:paraId="0D3DCB4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Pneumonia</w:t>
            </w:r>
          </w:p>
        </w:tc>
        <w:tc>
          <w:tcPr>
            <w:tcW w:w="356" w:type="pct"/>
          </w:tcPr>
          <w:p w14:paraId="16AC036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600AC75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506C0D" w:rsidRPr="00477B84" w14:paraId="5C622E88" w14:textId="77777777" w:rsidTr="009B19DE">
        <w:tc>
          <w:tcPr>
            <w:tcW w:w="288" w:type="pct"/>
          </w:tcPr>
          <w:p w14:paraId="10AF9FD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Pt.08</w:t>
            </w:r>
          </w:p>
        </w:tc>
        <w:tc>
          <w:tcPr>
            <w:tcW w:w="199" w:type="pct"/>
          </w:tcPr>
          <w:p w14:paraId="3C943F0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1E436276" w14:textId="4294F2D8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11.9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1A251E10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NeuroBioBank</w:t>
            </w:r>
          </w:p>
        </w:tc>
        <w:tc>
          <w:tcPr>
            <w:tcW w:w="560" w:type="pct"/>
          </w:tcPr>
          <w:p w14:paraId="1CFF137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610" w:type="pct"/>
          </w:tcPr>
          <w:p w14:paraId="0099C8C5" w14:textId="3E878F0A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26B7E49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Complication of disorder</w:t>
            </w:r>
          </w:p>
        </w:tc>
        <w:tc>
          <w:tcPr>
            <w:tcW w:w="356" w:type="pct"/>
          </w:tcPr>
          <w:p w14:paraId="77C84E9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5A7BD9D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5238A8E4" w14:textId="77777777" w:rsidTr="009B19DE">
        <w:tc>
          <w:tcPr>
            <w:tcW w:w="288" w:type="pct"/>
          </w:tcPr>
          <w:p w14:paraId="3D9FEE2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Pt.09</w:t>
            </w:r>
          </w:p>
        </w:tc>
        <w:tc>
          <w:tcPr>
            <w:tcW w:w="199" w:type="pct"/>
          </w:tcPr>
          <w:p w14:paraId="3B80F4D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5D3E84D2" w14:textId="673525E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12.5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427A5184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69961E0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3F09D92A" w14:textId="052FD126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32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77DD011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Uncontrollable myoclonic epilepsy</w:t>
            </w:r>
          </w:p>
        </w:tc>
        <w:tc>
          <w:tcPr>
            <w:tcW w:w="356" w:type="pct"/>
          </w:tcPr>
          <w:p w14:paraId="747EB6B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3C34D76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506C0D" w:rsidRPr="00477B84" w14:paraId="0E75788F" w14:textId="77777777" w:rsidTr="009B19DE">
        <w:tc>
          <w:tcPr>
            <w:tcW w:w="288" w:type="pct"/>
          </w:tcPr>
          <w:p w14:paraId="62B4132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Pt.10</w:t>
            </w:r>
          </w:p>
        </w:tc>
        <w:tc>
          <w:tcPr>
            <w:tcW w:w="199" w:type="pct"/>
          </w:tcPr>
          <w:p w14:paraId="3150E28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070FBAA1" w14:textId="255F91B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14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01775496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59F4A46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610" w:type="pct"/>
          </w:tcPr>
          <w:p w14:paraId="1954002D" w14:textId="72639088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46978DD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356" w:type="pct"/>
          </w:tcPr>
          <w:p w14:paraId="3F298CF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381165A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506C0D" w:rsidRPr="00477B84" w14:paraId="395F981D" w14:textId="77777777" w:rsidTr="009B19DE">
        <w:tc>
          <w:tcPr>
            <w:tcW w:w="288" w:type="pct"/>
          </w:tcPr>
          <w:p w14:paraId="4B9EC4F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Pt.11</w:t>
            </w:r>
          </w:p>
        </w:tc>
        <w:tc>
          <w:tcPr>
            <w:tcW w:w="199" w:type="pct"/>
          </w:tcPr>
          <w:p w14:paraId="24F7085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34084F9E" w14:textId="4462154C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23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3DE341F5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52661A8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610" w:type="pct"/>
          </w:tcPr>
          <w:p w14:paraId="3213EA82" w14:textId="63CCD6C5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41184BA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</w:rPr>
              <w:t>Status epilepticus</w:t>
            </w:r>
          </w:p>
        </w:tc>
        <w:tc>
          <w:tcPr>
            <w:tcW w:w="356" w:type="pct"/>
          </w:tcPr>
          <w:p w14:paraId="5C1C0C8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3B1896D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260B32DC" w14:textId="77777777" w:rsidTr="009B19DE">
        <w:tc>
          <w:tcPr>
            <w:tcW w:w="288" w:type="pct"/>
          </w:tcPr>
          <w:p w14:paraId="235B5A7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Pt.12</w:t>
            </w:r>
          </w:p>
        </w:tc>
        <w:tc>
          <w:tcPr>
            <w:tcW w:w="199" w:type="pct"/>
          </w:tcPr>
          <w:p w14:paraId="02AB51F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0174416F" w14:textId="4E1AC9D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24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63FEE47D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449083D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83</w:t>
            </w:r>
          </w:p>
        </w:tc>
        <w:tc>
          <w:tcPr>
            <w:tcW w:w="610" w:type="pct"/>
          </w:tcPr>
          <w:p w14:paraId="771EC68A" w14:textId="4458403F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4.5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72B38A8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</w:rPr>
              <w:t>Suppurative tracheobronchitis</w:t>
            </w:r>
          </w:p>
        </w:tc>
        <w:tc>
          <w:tcPr>
            <w:tcW w:w="356" w:type="pct"/>
          </w:tcPr>
          <w:p w14:paraId="6CD53FC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4BFC385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4DED99AC" w14:textId="77777777" w:rsidTr="009B19DE">
        <w:tc>
          <w:tcPr>
            <w:tcW w:w="288" w:type="pct"/>
          </w:tcPr>
          <w:p w14:paraId="16AAEB0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Pt.13</w:t>
            </w:r>
          </w:p>
        </w:tc>
        <w:tc>
          <w:tcPr>
            <w:tcW w:w="199" w:type="pct"/>
          </w:tcPr>
          <w:p w14:paraId="3608365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7419F25C" w14:textId="08EB42A1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28</w:t>
            </w:r>
            <w:r w:rsidR="00155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2273A132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48FBB2B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610" w:type="pct"/>
          </w:tcPr>
          <w:p w14:paraId="7B02D443" w14:textId="1D34BCEC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369615B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</w:rPr>
              <w:t>Status epilepticus</w:t>
            </w:r>
          </w:p>
        </w:tc>
        <w:tc>
          <w:tcPr>
            <w:tcW w:w="356" w:type="pct"/>
          </w:tcPr>
          <w:p w14:paraId="36CCAFD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65822C6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1922A927" w14:textId="77777777" w:rsidTr="009B19DE">
        <w:tc>
          <w:tcPr>
            <w:tcW w:w="288" w:type="pct"/>
          </w:tcPr>
          <w:p w14:paraId="2F2D2EC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S.01</w:t>
            </w:r>
          </w:p>
        </w:tc>
        <w:tc>
          <w:tcPr>
            <w:tcW w:w="199" w:type="pct"/>
          </w:tcPr>
          <w:p w14:paraId="73696E1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2EB0B58E" w14:textId="7458669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4C31DCBB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2FEDCB1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610" w:type="pct"/>
          </w:tcPr>
          <w:p w14:paraId="50955DC4" w14:textId="280B6F3A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&lt;1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0D3B005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unexpected death in epilepsy</w:t>
            </w:r>
          </w:p>
        </w:tc>
        <w:tc>
          <w:tcPr>
            <w:tcW w:w="356" w:type="pct"/>
          </w:tcPr>
          <w:p w14:paraId="2B8814A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1E8CC30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4DAF1E60" w14:textId="77777777" w:rsidTr="009B19DE">
        <w:tc>
          <w:tcPr>
            <w:tcW w:w="288" w:type="pct"/>
          </w:tcPr>
          <w:p w14:paraId="61C00D3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S.02</w:t>
            </w:r>
          </w:p>
        </w:tc>
        <w:tc>
          <w:tcPr>
            <w:tcW w:w="199" w:type="pct"/>
          </w:tcPr>
          <w:p w14:paraId="1FC6EA5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2D18E7C5" w14:textId="61E9768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4.5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2F80341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645AAFF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610" w:type="pct"/>
          </w:tcPr>
          <w:p w14:paraId="061E7D1E" w14:textId="7A50D985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&lt;5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5AB2933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unexpected death in epilepsy</w:t>
            </w:r>
          </w:p>
        </w:tc>
        <w:tc>
          <w:tcPr>
            <w:tcW w:w="356" w:type="pct"/>
          </w:tcPr>
          <w:p w14:paraId="0FC631A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416B552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3741ED84" w14:textId="77777777" w:rsidTr="009B19DE">
        <w:tc>
          <w:tcPr>
            <w:tcW w:w="288" w:type="pct"/>
          </w:tcPr>
          <w:p w14:paraId="522D14D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S.03</w:t>
            </w:r>
          </w:p>
        </w:tc>
        <w:tc>
          <w:tcPr>
            <w:tcW w:w="199" w:type="pct"/>
          </w:tcPr>
          <w:p w14:paraId="2685D01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768C63C8" w14:textId="0D251028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02DCEBA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7049A3E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144</w:t>
            </w:r>
          </w:p>
        </w:tc>
        <w:tc>
          <w:tcPr>
            <w:tcW w:w="610" w:type="pct"/>
          </w:tcPr>
          <w:p w14:paraId="5422029A" w14:textId="302A7696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&lt;9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37CAC08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unexpected death in epilepsy</w:t>
            </w:r>
          </w:p>
        </w:tc>
        <w:tc>
          <w:tcPr>
            <w:tcW w:w="356" w:type="pct"/>
          </w:tcPr>
          <w:p w14:paraId="7848310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048D2E9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  <w:r>
              <w:rPr>
                <w:noProof/>
              </w:rPr>
              <w:t xml:space="preserve"> </w:t>
            </w:r>
          </w:p>
        </w:tc>
      </w:tr>
      <w:tr w:rsidR="00506C0D" w:rsidRPr="00477B84" w14:paraId="3BCD0E3F" w14:textId="77777777" w:rsidTr="009B19DE">
        <w:tc>
          <w:tcPr>
            <w:tcW w:w="288" w:type="pct"/>
          </w:tcPr>
          <w:p w14:paraId="7741A86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S.04</w:t>
            </w:r>
          </w:p>
        </w:tc>
        <w:tc>
          <w:tcPr>
            <w:tcW w:w="199" w:type="pct"/>
          </w:tcPr>
          <w:p w14:paraId="2CE78F1B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4A69BE1F" w14:textId="1E8CA7D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19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55AF97C2" w14:textId="77777777" w:rsidR="00506C0D" w:rsidRPr="00477B84" w:rsidRDefault="00506C0D" w:rsidP="009B19D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4C5DC7E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610" w:type="pct"/>
          </w:tcPr>
          <w:p w14:paraId="44CB3F1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Unknown</w:t>
            </w:r>
          </w:p>
        </w:tc>
        <w:tc>
          <w:tcPr>
            <w:tcW w:w="1358" w:type="pct"/>
          </w:tcPr>
          <w:p w14:paraId="443F279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unexpected death in epilepsy</w:t>
            </w:r>
          </w:p>
        </w:tc>
        <w:tc>
          <w:tcPr>
            <w:tcW w:w="356" w:type="pct"/>
          </w:tcPr>
          <w:p w14:paraId="45DEE9C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13BC59C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52E265AB" w14:textId="77777777" w:rsidTr="009B19DE">
        <w:tc>
          <w:tcPr>
            <w:tcW w:w="288" w:type="pct"/>
          </w:tcPr>
          <w:p w14:paraId="44A8506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S.05</w:t>
            </w:r>
          </w:p>
        </w:tc>
        <w:tc>
          <w:tcPr>
            <w:tcW w:w="199" w:type="pct"/>
          </w:tcPr>
          <w:p w14:paraId="0820ED7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7241A4BF" w14:textId="624F09B5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27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5B5A230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2BFEB64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610" w:type="pct"/>
          </w:tcPr>
          <w:p w14:paraId="65A2DF56" w14:textId="52DC1D1C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&lt;4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345ECC8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unexpected death in epilepsy</w:t>
            </w:r>
          </w:p>
        </w:tc>
        <w:tc>
          <w:tcPr>
            <w:tcW w:w="356" w:type="pct"/>
          </w:tcPr>
          <w:p w14:paraId="33D8E1D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225C883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767ADE65" w14:textId="77777777" w:rsidTr="009B19DE">
        <w:tc>
          <w:tcPr>
            <w:tcW w:w="288" w:type="pct"/>
          </w:tcPr>
          <w:p w14:paraId="52633A1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C.01</w:t>
            </w:r>
          </w:p>
        </w:tc>
        <w:tc>
          <w:tcPr>
            <w:tcW w:w="199" w:type="pct"/>
          </w:tcPr>
          <w:p w14:paraId="43B896E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1B8273F0" w14:textId="7728E36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017" w:type="pct"/>
          </w:tcPr>
          <w:p w14:paraId="76A68B5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NeuroBioBank</w:t>
            </w:r>
          </w:p>
        </w:tc>
        <w:tc>
          <w:tcPr>
            <w:tcW w:w="560" w:type="pct"/>
          </w:tcPr>
          <w:p w14:paraId="6E3D4C1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610" w:type="pct"/>
          </w:tcPr>
          <w:p w14:paraId="409C2DEC" w14:textId="281CECB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3.1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429A996A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Coarctation of aorta</w:t>
            </w:r>
          </w:p>
        </w:tc>
        <w:tc>
          <w:tcPr>
            <w:tcW w:w="356" w:type="pct"/>
          </w:tcPr>
          <w:p w14:paraId="3FFC59D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4F0E6664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2012D1CD" w14:textId="77777777" w:rsidTr="009B19DE">
        <w:tc>
          <w:tcPr>
            <w:tcW w:w="288" w:type="pct"/>
          </w:tcPr>
          <w:p w14:paraId="62B2C14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C.02</w:t>
            </w:r>
          </w:p>
        </w:tc>
        <w:tc>
          <w:tcPr>
            <w:tcW w:w="199" w:type="pct"/>
          </w:tcPr>
          <w:p w14:paraId="7EAC982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3E5508B3" w14:textId="7FD6A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12.7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5F3B854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NeuroBioBank</w:t>
            </w:r>
          </w:p>
        </w:tc>
        <w:tc>
          <w:tcPr>
            <w:tcW w:w="560" w:type="pct"/>
          </w:tcPr>
          <w:p w14:paraId="0974F53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610" w:type="pct"/>
          </w:tcPr>
          <w:p w14:paraId="66F04BEB" w14:textId="78B2D65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9.3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2B9D69C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Hanging / suicide</w:t>
            </w:r>
          </w:p>
        </w:tc>
        <w:tc>
          <w:tcPr>
            <w:tcW w:w="356" w:type="pct"/>
          </w:tcPr>
          <w:p w14:paraId="50EF2D3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02A571F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6D18ABF6" w14:textId="77777777" w:rsidTr="009B19DE">
        <w:tc>
          <w:tcPr>
            <w:tcW w:w="288" w:type="pct"/>
          </w:tcPr>
          <w:p w14:paraId="0D07659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C.03</w:t>
            </w:r>
          </w:p>
        </w:tc>
        <w:tc>
          <w:tcPr>
            <w:tcW w:w="199" w:type="pct"/>
          </w:tcPr>
          <w:p w14:paraId="6FD2151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69802A7C" w14:textId="68E37FD5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14.5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74EABF1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NeuroBioBank</w:t>
            </w:r>
          </w:p>
        </w:tc>
        <w:tc>
          <w:tcPr>
            <w:tcW w:w="560" w:type="pct"/>
          </w:tcPr>
          <w:p w14:paraId="6CB2ED9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10" w:type="pct"/>
          </w:tcPr>
          <w:p w14:paraId="27509D55" w14:textId="4A0E77F6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58" w:type="pct"/>
          </w:tcPr>
          <w:p w14:paraId="5AB08EA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Streptococcal toxic shock syndrome</w:t>
            </w:r>
          </w:p>
        </w:tc>
        <w:tc>
          <w:tcPr>
            <w:tcW w:w="356" w:type="pct"/>
          </w:tcPr>
          <w:p w14:paraId="425CC50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7BFE7D4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2F483325" w14:textId="77777777" w:rsidTr="009B19DE">
        <w:tc>
          <w:tcPr>
            <w:tcW w:w="288" w:type="pct"/>
          </w:tcPr>
          <w:p w14:paraId="6689EBC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Ct.04</w:t>
            </w:r>
          </w:p>
        </w:tc>
        <w:tc>
          <w:tcPr>
            <w:tcW w:w="199" w:type="pct"/>
          </w:tcPr>
          <w:p w14:paraId="54275BC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04F7DDDF" w14:textId="7FAA583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340776E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Oxford*</w:t>
            </w:r>
          </w:p>
        </w:tc>
        <w:tc>
          <w:tcPr>
            <w:tcW w:w="560" w:type="pct"/>
          </w:tcPr>
          <w:p w14:paraId="1D6A1D71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610" w:type="pct"/>
          </w:tcPr>
          <w:p w14:paraId="0AF84C80" w14:textId="32E88B60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729B72C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Unascertained sudden death</w:t>
            </w:r>
          </w:p>
        </w:tc>
        <w:tc>
          <w:tcPr>
            <w:tcW w:w="356" w:type="pct"/>
          </w:tcPr>
          <w:p w14:paraId="509064C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4E76668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506C0D" w:rsidRPr="00477B84" w14:paraId="3D72559A" w14:textId="77777777" w:rsidTr="009B19DE">
        <w:tc>
          <w:tcPr>
            <w:tcW w:w="288" w:type="pct"/>
          </w:tcPr>
          <w:p w14:paraId="7FDECDB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Ct.05</w:t>
            </w:r>
          </w:p>
        </w:tc>
        <w:tc>
          <w:tcPr>
            <w:tcW w:w="199" w:type="pct"/>
          </w:tcPr>
          <w:p w14:paraId="21868C9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276" w:type="pct"/>
          </w:tcPr>
          <w:p w14:paraId="41CC762A" w14:textId="2EBC2CE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5BDE060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Edinburgh Brain and Tissue Bank</w:t>
            </w:r>
          </w:p>
        </w:tc>
        <w:tc>
          <w:tcPr>
            <w:tcW w:w="560" w:type="pct"/>
          </w:tcPr>
          <w:p w14:paraId="6F99C2B5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610" w:type="pct"/>
          </w:tcPr>
          <w:p w14:paraId="78CF923C" w14:textId="413993C3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358" w:type="pct"/>
          </w:tcPr>
          <w:p w14:paraId="4E2A0AF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Suspension by ligature</w:t>
            </w:r>
          </w:p>
        </w:tc>
        <w:tc>
          <w:tcPr>
            <w:tcW w:w="356" w:type="pct"/>
          </w:tcPr>
          <w:p w14:paraId="3DF4B49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6FC0405E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59B79DBC" w14:textId="77777777" w:rsidTr="009B19DE">
        <w:tc>
          <w:tcPr>
            <w:tcW w:w="288" w:type="pct"/>
          </w:tcPr>
          <w:p w14:paraId="664ACDB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Ct.06</w:t>
            </w:r>
          </w:p>
        </w:tc>
        <w:tc>
          <w:tcPr>
            <w:tcW w:w="199" w:type="pct"/>
          </w:tcPr>
          <w:p w14:paraId="5EC3888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0E588339" w14:textId="1F61413F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y</w:t>
            </w:r>
          </w:p>
        </w:tc>
        <w:tc>
          <w:tcPr>
            <w:tcW w:w="1017" w:type="pct"/>
          </w:tcPr>
          <w:p w14:paraId="74AEEAA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Edinburgh Brain and Tissue Bank</w:t>
            </w:r>
          </w:p>
        </w:tc>
        <w:tc>
          <w:tcPr>
            <w:tcW w:w="560" w:type="pct"/>
          </w:tcPr>
          <w:p w14:paraId="756E38A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610" w:type="pct"/>
          </w:tcPr>
          <w:p w14:paraId="207F5879" w14:textId="51009A2D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358" w:type="pct"/>
          </w:tcPr>
          <w:p w14:paraId="5071E7A8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Sudden cardiac death</w:t>
            </w:r>
          </w:p>
        </w:tc>
        <w:tc>
          <w:tcPr>
            <w:tcW w:w="356" w:type="pct"/>
          </w:tcPr>
          <w:p w14:paraId="3CD0FFB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38EF91C2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7833193B" w14:textId="77777777" w:rsidTr="009B19DE">
        <w:tc>
          <w:tcPr>
            <w:tcW w:w="288" w:type="pct"/>
          </w:tcPr>
          <w:p w14:paraId="742B2277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Ct.07</w:t>
            </w:r>
          </w:p>
        </w:tc>
        <w:tc>
          <w:tcPr>
            <w:tcW w:w="199" w:type="pct"/>
          </w:tcPr>
          <w:p w14:paraId="35D6220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</w:tcPr>
          <w:p w14:paraId="72E3FE25" w14:textId="2C9ADE0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</w:tcPr>
          <w:p w14:paraId="2F99B39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Newcastle Brain Tissue Resource</w:t>
            </w:r>
          </w:p>
        </w:tc>
        <w:tc>
          <w:tcPr>
            <w:tcW w:w="560" w:type="pct"/>
          </w:tcPr>
          <w:p w14:paraId="368BCCA0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81</w:t>
            </w:r>
          </w:p>
        </w:tc>
        <w:tc>
          <w:tcPr>
            <w:tcW w:w="610" w:type="pct"/>
          </w:tcPr>
          <w:p w14:paraId="2C35DA03" w14:textId="14ECF74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58" w:type="pct"/>
          </w:tcPr>
          <w:p w14:paraId="28F96E4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MDMA toxicity, cardiac arrest  </w:t>
            </w:r>
          </w:p>
        </w:tc>
        <w:tc>
          <w:tcPr>
            <w:tcW w:w="356" w:type="pct"/>
          </w:tcPr>
          <w:p w14:paraId="04091ED9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</w:tcPr>
          <w:p w14:paraId="6CF1180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506C0D" w:rsidRPr="00477B84" w14:paraId="7C27722C" w14:textId="77777777" w:rsidTr="009B19DE">
        <w:tc>
          <w:tcPr>
            <w:tcW w:w="288" w:type="pct"/>
            <w:tcBorders>
              <w:bottom w:val="single" w:sz="4" w:space="0" w:color="auto"/>
            </w:tcBorders>
          </w:tcPr>
          <w:p w14:paraId="5B5BED3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Ct.08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70A8F9ED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14:paraId="1D88DEDA" w14:textId="649698EB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24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17" w:type="pct"/>
            <w:tcBorders>
              <w:bottom w:val="single" w:sz="4" w:space="0" w:color="auto"/>
            </w:tcBorders>
          </w:tcPr>
          <w:p w14:paraId="26DA1E73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Edinburgh Brain and Tissue Bank</w:t>
            </w:r>
          </w:p>
        </w:tc>
        <w:tc>
          <w:tcPr>
            <w:tcW w:w="560" w:type="pct"/>
            <w:tcBorders>
              <w:bottom w:val="single" w:sz="4" w:space="0" w:color="auto"/>
            </w:tcBorders>
          </w:tcPr>
          <w:p w14:paraId="18CEDFAC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610" w:type="pct"/>
            <w:tcBorders>
              <w:bottom w:val="single" w:sz="4" w:space="0" w:color="auto"/>
            </w:tcBorders>
          </w:tcPr>
          <w:p w14:paraId="53677E4F" w14:textId="3171E2AE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  <w:r w:rsidR="00155CB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358" w:type="pct"/>
            <w:tcBorders>
              <w:bottom w:val="single" w:sz="4" w:space="0" w:color="auto"/>
            </w:tcBorders>
          </w:tcPr>
          <w:p w14:paraId="446578B6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color w:val="000000" w:themeColor="text1"/>
                <w:sz w:val="16"/>
                <w:szCs w:val="16"/>
              </w:rPr>
              <w:t>Suspension by ligature</w:t>
            </w:r>
          </w:p>
        </w:tc>
        <w:tc>
          <w:tcPr>
            <w:tcW w:w="356" w:type="pct"/>
            <w:tcBorders>
              <w:bottom w:val="single" w:sz="4" w:space="0" w:color="auto"/>
            </w:tcBorders>
          </w:tcPr>
          <w:p w14:paraId="03D4BA0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14:paraId="12F2800F" w14:textId="77777777" w:rsidR="00506C0D" w:rsidRPr="00477B84" w:rsidRDefault="00506C0D" w:rsidP="009B19DE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7B8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</w:tbl>
    <w:p w14:paraId="10540111" w14:textId="77777777" w:rsidR="00506C0D" w:rsidRPr="00471A2B" w:rsidRDefault="00506C0D" w:rsidP="00506C0D">
      <w:pPr>
        <w:jc w:val="both"/>
        <w:rPr>
          <w:rFonts w:ascii="Arial" w:hAnsi="Arial" w:cs="Arial"/>
          <w:sz w:val="21"/>
          <w:szCs w:val="21"/>
        </w:rPr>
      </w:pPr>
      <w:r w:rsidRPr="00471A2B">
        <w:rPr>
          <w:rFonts w:ascii="Arial" w:hAnsi="Arial" w:cs="Arial"/>
          <w:sz w:val="21"/>
          <w:szCs w:val="21"/>
        </w:rPr>
        <w:t xml:space="preserve">Alpers’ syndrome patients (Pt.01 – Pt.13); sudden unexpected death in epilepsy patients (S.01 – S.05); controls (C.01 – C.08). Tissues fixed for a known duration of more than 1 year (y) were not included for immunofluorescence experiments. </w:t>
      </w:r>
      <w:r>
        <w:rPr>
          <w:rFonts w:ascii="Arial" w:hAnsi="Arial" w:cs="Arial"/>
          <w:sz w:val="21"/>
          <w:szCs w:val="21"/>
        </w:rPr>
        <w:t xml:space="preserve">* </w:t>
      </w:r>
      <w:r w:rsidRPr="00471A2B">
        <w:rPr>
          <w:rFonts w:ascii="Arial" w:hAnsi="Arial" w:cs="Arial"/>
          <w:sz w:val="21"/>
          <w:szCs w:val="21"/>
        </w:rPr>
        <w:t>BRAIN UK Centres in Southampton</w:t>
      </w:r>
      <w:r>
        <w:rPr>
          <w:rFonts w:ascii="Arial" w:hAnsi="Arial" w:cs="Arial"/>
          <w:sz w:val="21"/>
          <w:szCs w:val="21"/>
        </w:rPr>
        <w:t xml:space="preserve"> and</w:t>
      </w:r>
      <w:r w:rsidRPr="00471A2B">
        <w:rPr>
          <w:rFonts w:ascii="Arial" w:hAnsi="Arial" w:cs="Arial"/>
          <w:sz w:val="21"/>
          <w:szCs w:val="21"/>
        </w:rPr>
        <w:t xml:space="preserve"> Oxford</w:t>
      </w:r>
      <w:r>
        <w:rPr>
          <w:rFonts w:ascii="Arial" w:hAnsi="Arial" w:cs="Arial"/>
          <w:sz w:val="21"/>
          <w:szCs w:val="21"/>
        </w:rPr>
        <w:t>.</w:t>
      </w:r>
    </w:p>
    <w:p w14:paraId="58EA14FF" w14:textId="77777777" w:rsidR="008A012A" w:rsidRDefault="008A012A" w:rsidP="00506C0D">
      <w:pPr>
        <w:rPr>
          <w:rFonts w:ascii="Arial" w:hAnsi="Arial" w:cs="Arial"/>
          <w:b/>
          <w:bCs/>
        </w:rPr>
      </w:pPr>
    </w:p>
    <w:p w14:paraId="01B99F0E" w14:textId="31E27D34" w:rsidR="00506C0D" w:rsidRDefault="00506C0D" w:rsidP="00506C0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Supplementary Table 2</w:t>
      </w:r>
      <w:r>
        <w:rPr>
          <w:rFonts w:ascii="Arial" w:hAnsi="Arial" w:cs="Arial"/>
        </w:rPr>
        <w:t xml:space="preserve">: Clinical summaries </w:t>
      </w:r>
    </w:p>
    <w:p w14:paraId="49178033" w14:textId="77777777" w:rsidR="00506C0D" w:rsidRDefault="00506C0D" w:rsidP="00506C0D">
      <w:pPr>
        <w:rPr>
          <w:rFonts w:ascii="Arial" w:hAnsi="Arial" w:cs="Arial"/>
        </w:rPr>
      </w:pPr>
    </w:p>
    <w:tbl>
      <w:tblPr>
        <w:tblStyle w:val="TableGrid"/>
        <w:tblpPr w:leftFromText="180" w:rightFromText="180" w:horzAnchor="margin" w:tblpY="51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953"/>
        <w:gridCol w:w="1151"/>
        <w:gridCol w:w="6227"/>
        <w:gridCol w:w="3295"/>
        <w:gridCol w:w="1427"/>
      </w:tblGrid>
      <w:tr w:rsidR="00506C0D" w:rsidRPr="00076790" w14:paraId="2D412756" w14:textId="77777777" w:rsidTr="009B19DE">
        <w:trPr>
          <w:trHeight w:val="291"/>
        </w:trPr>
        <w:tc>
          <w:tcPr>
            <w:tcW w:w="317" w:type="pct"/>
            <w:vMerge w:val="restart"/>
            <w:tcBorders>
              <w:top w:val="single" w:sz="8" w:space="0" w:color="auto"/>
            </w:tcBorders>
          </w:tcPr>
          <w:p w14:paraId="259E1380" w14:textId="77777777" w:rsidR="00506C0D" w:rsidRPr="00076790" w:rsidRDefault="00506C0D" w:rsidP="009B19DE">
            <w:pPr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Patient ID:</w:t>
            </w:r>
          </w:p>
        </w:tc>
        <w:tc>
          <w:tcPr>
            <w:tcW w:w="342" w:type="pct"/>
            <w:vMerge w:val="restart"/>
            <w:tcBorders>
              <w:top w:val="single" w:sz="8" w:space="0" w:color="auto"/>
            </w:tcBorders>
          </w:tcPr>
          <w:p w14:paraId="3C5EE05B" w14:textId="77777777" w:rsidR="00506C0D" w:rsidRPr="00076790" w:rsidRDefault="00506C0D" w:rsidP="009B19DE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Age at death:</w:t>
            </w:r>
          </w:p>
        </w:tc>
        <w:tc>
          <w:tcPr>
            <w:tcW w:w="413" w:type="pct"/>
            <w:tcBorders>
              <w:top w:val="single" w:sz="8" w:space="0" w:color="auto"/>
            </w:tcBorders>
          </w:tcPr>
          <w:p w14:paraId="1ED1C825" w14:textId="77777777" w:rsidR="00506C0D" w:rsidRPr="00076790" w:rsidRDefault="00506C0D" w:rsidP="009B19DE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History of </w:t>
            </w: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  <w:t xml:space="preserve">refractory </w:t>
            </w: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  <w:t>epilepsy:</w:t>
            </w:r>
          </w:p>
        </w:tc>
        <w:tc>
          <w:tcPr>
            <w:tcW w:w="2234" w:type="pct"/>
            <w:tcBorders>
              <w:top w:val="single" w:sz="8" w:space="0" w:color="auto"/>
            </w:tcBorders>
          </w:tcPr>
          <w:p w14:paraId="70F7F90C" w14:textId="77777777" w:rsidR="00506C0D" w:rsidRPr="00076790" w:rsidRDefault="00506C0D" w:rsidP="009B19DE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EEG findings:</w:t>
            </w:r>
          </w:p>
        </w:tc>
        <w:tc>
          <w:tcPr>
            <w:tcW w:w="1182" w:type="pct"/>
            <w:tcBorders>
              <w:top w:val="single" w:sz="8" w:space="0" w:color="auto"/>
            </w:tcBorders>
          </w:tcPr>
          <w:p w14:paraId="741A37BE" w14:textId="77777777" w:rsidR="00506C0D" w:rsidRPr="00076790" w:rsidRDefault="00506C0D" w:rsidP="009B19DE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Evidence of stroke-like episodes:</w:t>
            </w:r>
          </w:p>
        </w:tc>
        <w:tc>
          <w:tcPr>
            <w:tcW w:w="512" w:type="pct"/>
            <w:tcBorders>
              <w:top w:val="single" w:sz="8" w:space="0" w:color="auto"/>
            </w:tcBorders>
          </w:tcPr>
          <w:p w14:paraId="2CD973ED" w14:textId="77777777" w:rsidR="00506C0D" w:rsidRPr="00076790" w:rsidRDefault="00506C0D" w:rsidP="009B19DE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767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Patient ID in Smith et al.,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2022.</w:t>
            </w:r>
          </w:p>
        </w:tc>
      </w:tr>
      <w:tr w:rsidR="00506C0D" w:rsidRPr="00076790" w14:paraId="74A3E2A1" w14:textId="77777777" w:rsidTr="009B19DE">
        <w:trPr>
          <w:trHeight w:val="411"/>
        </w:trPr>
        <w:tc>
          <w:tcPr>
            <w:tcW w:w="317" w:type="pct"/>
            <w:vMerge/>
            <w:tcBorders>
              <w:bottom w:val="single" w:sz="8" w:space="0" w:color="auto"/>
            </w:tcBorders>
          </w:tcPr>
          <w:p w14:paraId="378ED8B9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pct"/>
            <w:vMerge/>
            <w:tcBorders>
              <w:bottom w:val="single" w:sz="8" w:space="0" w:color="auto"/>
            </w:tcBorders>
          </w:tcPr>
          <w:p w14:paraId="7E1CF9CF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</w:tcPr>
          <w:p w14:paraId="38A87AC7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4" w:type="pct"/>
            <w:tcBorders>
              <w:bottom w:val="single" w:sz="8" w:space="0" w:color="auto"/>
            </w:tcBorders>
          </w:tcPr>
          <w:p w14:paraId="327AF272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82" w:type="pct"/>
            <w:tcBorders>
              <w:bottom w:val="single" w:sz="8" w:space="0" w:color="auto"/>
            </w:tcBorders>
          </w:tcPr>
          <w:p w14:paraId="31B3C433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tcBorders>
              <w:bottom w:val="single" w:sz="8" w:space="0" w:color="auto"/>
            </w:tcBorders>
          </w:tcPr>
          <w:p w14:paraId="587AA8A0" w14:textId="77777777" w:rsidR="00506C0D" w:rsidRPr="008A012A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06C0D" w:rsidRPr="00076790" w14:paraId="679BD2BA" w14:textId="77777777" w:rsidTr="009B19DE">
        <w:tc>
          <w:tcPr>
            <w:tcW w:w="317" w:type="pct"/>
            <w:tcBorders>
              <w:top w:val="single" w:sz="8" w:space="0" w:color="auto"/>
            </w:tcBorders>
          </w:tcPr>
          <w:p w14:paraId="4E3A38E4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Pt.01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  <w:tcBorders>
              <w:top w:val="single" w:sz="8" w:space="0" w:color="auto"/>
            </w:tcBorders>
          </w:tcPr>
          <w:p w14:paraId="2AA56D27" w14:textId="6306F9EB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5.5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413" w:type="pct"/>
            <w:tcBorders>
              <w:top w:val="single" w:sz="8" w:space="0" w:color="auto"/>
            </w:tcBorders>
          </w:tcPr>
          <w:p w14:paraId="27594158" w14:textId="77777777" w:rsidR="00506C0D" w:rsidRPr="00076790" w:rsidRDefault="00506C0D" w:rsidP="009B19DE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  <w:tcBorders>
              <w:top w:val="single" w:sz="8" w:space="0" w:color="auto"/>
            </w:tcBorders>
          </w:tcPr>
          <w:p w14:paraId="262C8E15" w14:textId="77777777" w:rsidR="00506C0D" w:rsidRPr="00076790" w:rsidRDefault="00506C0D" w:rsidP="009B19DE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Slow base rhythm, frontal delta waves, generalised spikes</w:t>
            </w:r>
          </w:p>
        </w:tc>
        <w:tc>
          <w:tcPr>
            <w:tcW w:w="1182" w:type="pct"/>
            <w:tcBorders>
              <w:top w:val="single" w:sz="8" w:space="0" w:color="auto"/>
            </w:tcBorders>
          </w:tcPr>
          <w:p w14:paraId="16538F8D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auto"/>
            </w:tcBorders>
          </w:tcPr>
          <w:p w14:paraId="1EB6D87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P01</w:t>
            </w:r>
          </w:p>
        </w:tc>
      </w:tr>
      <w:tr w:rsidR="00506C0D" w:rsidRPr="00076790" w14:paraId="630176B6" w14:textId="77777777" w:rsidTr="009B19DE">
        <w:tc>
          <w:tcPr>
            <w:tcW w:w="317" w:type="pct"/>
          </w:tcPr>
          <w:p w14:paraId="5FF026E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Pt.02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1B122785" w14:textId="1DAE86D0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13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413" w:type="pct"/>
          </w:tcPr>
          <w:p w14:paraId="2282CF7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0F5ED4C4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Hypsarrhythmia</w:t>
            </w:r>
          </w:p>
        </w:tc>
        <w:tc>
          <w:tcPr>
            <w:tcW w:w="1182" w:type="pct"/>
          </w:tcPr>
          <w:p w14:paraId="44151B53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78C61ADD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P02</w:t>
            </w:r>
          </w:p>
        </w:tc>
      </w:tr>
      <w:tr w:rsidR="00506C0D" w:rsidRPr="00076790" w14:paraId="562BFD44" w14:textId="77777777" w:rsidTr="009B19DE">
        <w:trPr>
          <w:trHeight w:val="418"/>
        </w:trPr>
        <w:tc>
          <w:tcPr>
            <w:tcW w:w="317" w:type="pct"/>
          </w:tcPr>
          <w:p w14:paraId="4A3409A5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Pt.03</w:t>
            </w:r>
          </w:p>
        </w:tc>
        <w:tc>
          <w:tcPr>
            <w:tcW w:w="342" w:type="pct"/>
          </w:tcPr>
          <w:p w14:paraId="4962DD80" w14:textId="4B769641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14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413" w:type="pct"/>
          </w:tcPr>
          <w:p w14:paraId="70D85A2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37087905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Widespread irregular alpha and theta, moderate delta activity</w:t>
            </w:r>
          </w:p>
        </w:tc>
        <w:tc>
          <w:tcPr>
            <w:tcW w:w="1182" w:type="pct"/>
          </w:tcPr>
          <w:p w14:paraId="5B177448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2DD4C23A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P03</w:t>
            </w:r>
          </w:p>
        </w:tc>
      </w:tr>
      <w:tr w:rsidR="00506C0D" w:rsidRPr="00076790" w14:paraId="64F54C9A" w14:textId="77777777" w:rsidTr="009B19DE">
        <w:tc>
          <w:tcPr>
            <w:tcW w:w="317" w:type="pct"/>
          </w:tcPr>
          <w:p w14:paraId="709FFD81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Pt.04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44CD3BF8" w14:textId="1F6F1A66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  <w:r w:rsidR="00155CB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413" w:type="pct"/>
          </w:tcPr>
          <w:p w14:paraId="1082678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75CB2027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182" w:type="pct"/>
          </w:tcPr>
          <w:p w14:paraId="0C9D5E26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</w:tcPr>
          <w:p w14:paraId="0C319387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P04</w:t>
            </w:r>
          </w:p>
        </w:tc>
      </w:tr>
      <w:tr w:rsidR="00506C0D" w:rsidRPr="00076790" w14:paraId="02AADA79" w14:textId="77777777" w:rsidTr="009B19DE">
        <w:trPr>
          <w:trHeight w:val="81"/>
        </w:trPr>
        <w:tc>
          <w:tcPr>
            <w:tcW w:w="317" w:type="pct"/>
          </w:tcPr>
          <w:p w14:paraId="31889061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Pt.05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5F17AA4F" w14:textId="04548C48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  <w:r w:rsidR="00155CB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413" w:type="pct"/>
          </w:tcPr>
          <w:p w14:paraId="29ED8712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1863865F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182" w:type="pct"/>
          </w:tcPr>
          <w:p w14:paraId="3D26B345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</w:tcPr>
          <w:p w14:paraId="10B81FD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76790">
              <w:rPr>
                <w:rFonts w:ascii="Arial" w:hAnsi="Arial" w:cs="Arial"/>
                <w:color w:val="000000" w:themeColor="text1"/>
                <w:sz w:val="20"/>
                <w:szCs w:val="20"/>
              </w:rPr>
              <w:t>P05</w:t>
            </w:r>
          </w:p>
        </w:tc>
      </w:tr>
      <w:tr w:rsidR="00506C0D" w:rsidRPr="00076790" w14:paraId="4F1FCE82" w14:textId="77777777" w:rsidTr="009B19DE">
        <w:tc>
          <w:tcPr>
            <w:tcW w:w="317" w:type="pct"/>
          </w:tcPr>
          <w:p w14:paraId="6F8BF320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Pt.06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66FB020B" w14:textId="3A9655BD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2.8y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13" w:type="pct"/>
          </w:tcPr>
          <w:p w14:paraId="468A54A9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43DEAA1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182" w:type="pct"/>
          </w:tcPr>
          <w:p w14:paraId="503108C1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0429B560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P06</w:t>
            </w:r>
          </w:p>
        </w:tc>
      </w:tr>
      <w:tr w:rsidR="00506C0D" w:rsidRPr="00076790" w14:paraId="170E69C2" w14:textId="77777777" w:rsidTr="009B19DE">
        <w:tc>
          <w:tcPr>
            <w:tcW w:w="317" w:type="pct"/>
          </w:tcPr>
          <w:p w14:paraId="124238A1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Pt.07</w:t>
            </w:r>
          </w:p>
        </w:tc>
        <w:tc>
          <w:tcPr>
            <w:tcW w:w="342" w:type="pct"/>
          </w:tcPr>
          <w:p w14:paraId="11834571" w14:textId="6CA7236D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7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740BC86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03150FA3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 xml:space="preserve">Occipital slow spike wave variants; dominant delta activity in fronto-parietal regions; asymmetric dysrhythmia. </w:t>
            </w:r>
          </w:p>
        </w:tc>
        <w:tc>
          <w:tcPr>
            <w:tcW w:w="1182" w:type="pct"/>
          </w:tcPr>
          <w:p w14:paraId="5A059470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231C7DAF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P08</w:t>
            </w:r>
          </w:p>
        </w:tc>
      </w:tr>
      <w:tr w:rsidR="00506C0D" w:rsidRPr="00076790" w14:paraId="6345E63F" w14:textId="77777777" w:rsidTr="009B19DE">
        <w:tc>
          <w:tcPr>
            <w:tcW w:w="317" w:type="pct"/>
          </w:tcPr>
          <w:p w14:paraId="1EFC0062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Pt.08</w:t>
            </w:r>
          </w:p>
        </w:tc>
        <w:tc>
          <w:tcPr>
            <w:tcW w:w="342" w:type="pct"/>
          </w:tcPr>
          <w:p w14:paraId="44A77F53" w14:textId="3463F440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11.9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68CC772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07050C5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Posterior dominant rhythm of 5 Hz over both occi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6790">
              <w:rPr>
                <w:rFonts w:ascii="Arial" w:hAnsi="Arial" w:cs="Arial"/>
                <w:sz w:val="20"/>
                <w:szCs w:val="20"/>
              </w:rPr>
              <w:t>ital lobes. Frequent posterior intermittent delta polymorphic activity of 2.5-3 Hz.</w:t>
            </w:r>
          </w:p>
        </w:tc>
        <w:tc>
          <w:tcPr>
            <w:tcW w:w="1182" w:type="pct"/>
          </w:tcPr>
          <w:p w14:paraId="67B7E76E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15366824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P09</w:t>
            </w:r>
          </w:p>
        </w:tc>
      </w:tr>
      <w:tr w:rsidR="00506C0D" w:rsidRPr="00076790" w14:paraId="5C9EC135" w14:textId="77777777" w:rsidTr="009B19DE">
        <w:tc>
          <w:tcPr>
            <w:tcW w:w="317" w:type="pct"/>
          </w:tcPr>
          <w:p w14:paraId="0B9EEF6F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Pt.09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6B54220E" w14:textId="799E04C0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12.5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15AB5DC9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6A39B4A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Widespread irregular slow wave activity</w:t>
            </w:r>
          </w:p>
        </w:tc>
        <w:tc>
          <w:tcPr>
            <w:tcW w:w="1182" w:type="pct"/>
          </w:tcPr>
          <w:p w14:paraId="42D4FD5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000861D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P10</w:t>
            </w:r>
          </w:p>
        </w:tc>
      </w:tr>
      <w:tr w:rsidR="00506C0D" w:rsidRPr="00076790" w14:paraId="28AA522B" w14:textId="77777777" w:rsidTr="009B19DE">
        <w:tc>
          <w:tcPr>
            <w:tcW w:w="317" w:type="pct"/>
          </w:tcPr>
          <w:p w14:paraId="5167065D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Pt.10</w:t>
            </w:r>
            <w:r w:rsidRPr="00076790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342" w:type="pct"/>
          </w:tcPr>
          <w:p w14:paraId="786C0BC7" w14:textId="5DB650D8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14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640CC402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58C85E29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Abnormal isoelectric activity</w:t>
            </w:r>
          </w:p>
        </w:tc>
        <w:tc>
          <w:tcPr>
            <w:tcW w:w="1182" w:type="pct"/>
          </w:tcPr>
          <w:p w14:paraId="19D13825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14:paraId="0A63907A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P11</w:t>
            </w:r>
          </w:p>
        </w:tc>
      </w:tr>
      <w:tr w:rsidR="00506C0D" w:rsidRPr="00076790" w14:paraId="3B80C3C1" w14:textId="77777777" w:rsidTr="009B19DE">
        <w:tc>
          <w:tcPr>
            <w:tcW w:w="317" w:type="pct"/>
          </w:tcPr>
          <w:p w14:paraId="291EF7CA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Pt.11</w:t>
            </w:r>
          </w:p>
        </w:tc>
        <w:tc>
          <w:tcPr>
            <w:tcW w:w="342" w:type="pct"/>
          </w:tcPr>
          <w:p w14:paraId="2414D4C1" w14:textId="76AD25D1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23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4E32B7D2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0AC2C69D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Continuous right posterior spike-and-wave activity</w:t>
            </w:r>
          </w:p>
        </w:tc>
        <w:tc>
          <w:tcPr>
            <w:tcW w:w="1182" w:type="pct"/>
          </w:tcPr>
          <w:p w14:paraId="6D4A27E9" w14:textId="77777777" w:rsidR="00506C0D" w:rsidRPr="00076790" w:rsidRDefault="00506C0D" w:rsidP="009B19DE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Occipital</w:t>
            </w:r>
          </w:p>
        </w:tc>
        <w:tc>
          <w:tcPr>
            <w:tcW w:w="512" w:type="pct"/>
          </w:tcPr>
          <w:p w14:paraId="50E9FC4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P12</w:t>
            </w:r>
          </w:p>
        </w:tc>
      </w:tr>
      <w:tr w:rsidR="00506C0D" w:rsidRPr="00076790" w14:paraId="5583DAAF" w14:textId="77777777" w:rsidTr="009B19DE">
        <w:tc>
          <w:tcPr>
            <w:tcW w:w="317" w:type="pct"/>
          </w:tcPr>
          <w:p w14:paraId="55E29C47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Pt.12</w:t>
            </w:r>
          </w:p>
        </w:tc>
        <w:tc>
          <w:tcPr>
            <w:tcW w:w="342" w:type="pct"/>
          </w:tcPr>
          <w:p w14:paraId="71922F79" w14:textId="3BEAE915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24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</w:tcPr>
          <w:p w14:paraId="10343370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</w:tcPr>
          <w:p w14:paraId="3DA61A8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Encephalopathic, right posterior quadrant waves</w:t>
            </w:r>
          </w:p>
        </w:tc>
        <w:tc>
          <w:tcPr>
            <w:tcW w:w="1182" w:type="pct"/>
          </w:tcPr>
          <w:p w14:paraId="28550B95" w14:textId="77777777" w:rsidR="00506C0D" w:rsidRPr="00076790" w:rsidRDefault="00506C0D" w:rsidP="009B19DE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Occipital, parietal, thalamic</w:t>
            </w:r>
          </w:p>
        </w:tc>
        <w:tc>
          <w:tcPr>
            <w:tcW w:w="512" w:type="pct"/>
          </w:tcPr>
          <w:p w14:paraId="61AA18BC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P13</w:t>
            </w:r>
          </w:p>
        </w:tc>
      </w:tr>
      <w:tr w:rsidR="00506C0D" w:rsidRPr="00076790" w14:paraId="6842CED9" w14:textId="77777777" w:rsidTr="009B19DE">
        <w:tc>
          <w:tcPr>
            <w:tcW w:w="317" w:type="pct"/>
            <w:tcBorders>
              <w:bottom w:val="single" w:sz="8" w:space="0" w:color="auto"/>
            </w:tcBorders>
          </w:tcPr>
          <w:p w14:paraId="3E69451D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Pt.13</w:t>
            </w:r>
          </w:p>
        </w:tc>
        <w:tc>
          <w:tcPr>
            <w:tcW w:w="342" w:type="pct"/>
            <w:tcBorders>
              <w:bottom w:val="single" w:sz="8" w:space="0" w:color="auto"/>
            </w:tcBorders>
          </w:tcPr>
          <w:p w14:paraId="678D45B2" w14:textId="3B481E55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28</w:t>
            </w:r>
            <w:r w:rsidR="00155C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679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13" w:type="pct"/>
            <w:tcBorders>
              <w:bottom w:val="single" w:sz="8" w:space="0" w:color="auto"/>
            </w:tcBorders>
          </w:tcPr>
          <w:p w14:paraId="31B7A78A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234" w:type="pct"/>
            <w:tcBorders>
              <w:bottom w:val="single" w:sz="8" w:space="0" w:color="auto"/>
            </w:tcBorders>
          </w:tcPr>
          <w:p w14:paraId="6DA325DB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182" w:type="pct"/>
            <w:tcBorders>
              <w:bottom w:val="single" w:sz="8" w:space="0" w:color="auto"/>
            </w:tcBorders>
          </w:tcPr>
          <w:p w14:paraId="26F042C3" w14:textId="77777777" w:rsidR="00506C0D" w:rsidRPr="00076790" w:rsidRDefault="00506C0D" w:rsidP="009B19DE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Occipital, frontal, parietal</w:t>
            </w:r>
          </w:p>
        </w:tc>
        <w:tc>
          <w:tcPr>
            <w:tcW w:w="512" w:type="pct"/>
            <w:tcBorders>
              <w:bottom w:val="single" w:sz="8" w:space="0" w:color="auto"/>
            </w:tcBorders>
          </w:tcPr>
          <w:p w14:paraId="6A3E0496" w14:textId="77777777" w:rsidR="00506C0D" w:rsidRPr="00076790" w:rsidRDefault="00506C0D" w:rsidP="009B19DE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6790">
              <w:rPr>
                <w:rFonts w:ascii="Arial" w:hAnsi="Arial" w:cs="Arial"/>
                <w:sz w:val="20"/>
                <w:szCs w:val="20"/>
              </w:rPr>
              <w:t>P14</w:t>
            </w:r>
          </w:p>
        </w:tc>
      </w:tr>
    </w:tbl>
    <w:p w14:paraId="66064B4C" w14:textId="3CA7F4B1" w:rsidR="00506C0D" w:rsidRPr="00AA6BE2" w:rsidRDefault="00506C0D" w:rsidP="00506C0D">
      <w:pPr>
        <w:jc w:val="both"/>
        <w:rPr>
          <w:rFonts w:ascii="Arial" w:hAnsi="Arial" w:cs="Arial"/>
          <w:color w:val="1C1D1E"/>
          <w:shd w:val="clear" w:color="auto" w:fill="FFFFFF"/>
        </w:rPr>
      </w:pPr>
      <w:r w:rsidRPr="00076790">
        <w:rPr>
          <w:rFonts w:ascii="Arial" w:hAnsi="Arial" w:cs="Arial"/>
          <w:color w:val="1C1D1E"/>
          <w:shd w:val="clear" w:color="auto" w:fill="FFFFFF"/>
          <w:vertAlign w:val="superscript"/>
        </w:rPr>
        <w:t xml:space="preserve">† </w:t>
      </w:r>
      <w:r w:rsidRPr="00076790">
        <w:rPr>
          <w:rFonts w:ascii="Arial" w:hAnsi="Arial" w:cs="Arial"/>
          <w:color w:val="1C1D1E"/>
          <w:shd w:val="clear" w:color="auto" w:fill="FFFFFF"/>
        </w:rPr>
        <w:t>Denotes</w:t>
      </w:r>
      <w:r>
        <w:rPr>
          <w:rFonts w:ascii="Arial" w:hAnsi="Arial" w:cs="Arial"/>
          <w:color w:val="1C1D1E"/>
          <w:shd w:val="clear" w:color="auto" w:fill="FFFFFF"/>
        </w:rPr>
        <w:t xml:space="preserve"> historical patients for which clinical details are limited. </w:t>
      </w:r>
      <w:r w:rsidRPr="00076790">
        <w:rPr>
          <w:rFonts w:ascii="Arial" w:hAnsi="Arial" w:cs="Arial"/>
        </w:rPr>
        <w:t xml:space="preserve">Stroke like episodes confirmed radiologically on </w:t>
      </w:r>
      <w:r>
        <w:rPr>
          <w:rFonts w:ascii="Arial" w:hAnsi="Arial" w:cs="Arial"/>
        </w:rPr>
        <w:t xml:space="preserve">magnetic resonance imaging (MRI). </w:t>
      </w:r>
      <w:r w:rsidR="00AA6BE2">
        <w:rPr>
          <w:rFonts w:ascii="Arial" w:hAnsi="Arial" w:cs="Arial"/>
        </w:rPr>
        <w:t>Electroencephalogram (</w:t>
      </w:r>
      <w:r>
        <w:rPr>
          <w:rFonts w:ascii="Arial" w:hAnsi="Arial" w:cs="Arial"/>
        </w:rPr>
        <w:t>EEG</w:t>
      </w:r>
      <w:r w:rsidR="00AA6BE2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and MRI findings for this patient cohort have previously been published in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&lt;EndNote&gt;&lt;Cite&gt;&lt;Author&gt;Smith&lt;/Author&gt;&lt;Year&gt;2022&lt;/Year&gt;&lt;RecNum&gt;822&lt;/RecNum&gt;&lt;DisplayText&gt;(19)&lt;/DisplayText&gt;&lt;record&gt;&lt;rec-number&gt;822&lt;/rec-number&gt;&lt;foreign-keys&gt;&lt;key app="EN" db-id="z2d9xzv0ftswdqeeest5atft2z5sezwd0z2a" timestamp="1657198815"&gt;822&lt;/key&gt;&lt;/foreign-keys&gt;&lt;ref-type name="Journal Article"&gt;17&lt;/ref-type&gt;&lt;contributors&gt;&lt;authors&gt;&lt;author&gt;Smith, L. A.&lt;/author&gt;&lt;author&gt;Erskine, D.&lt;/author&gt;&lt;author&gt;Blain, A.&lt;/author&gt;&lt;author&gt;Taylor, R. W.&lt;/author&gt;&lt;author&gt;McFarland, R.&lt;/author&gt;&lt;author&gt;Lax, N. Z.&lt;/author&gt;&lt;/authors&gt;&lt;/contributors&gt;&lt;auth-address&gt;Wellcome Centre for Mitochondrial Research, Faculty of Medical Sciences, Newcastle University, Newcastle upon Tyne, UK.&amp;#xD;Translational and Clinical Research Institute, Faculty of Medical Sciences, Newcastle University, Newcastle upon Tyne, UK.&amp;#xD;NHS Highly Specialised Service for Rare Mitochondrial Disorders of Adults and Children, Newcastle University, Newcastle Upon Tyne, UK.&lt;/auth-address&gt;&lt;titles&gt;&lt;title&gt;Delineating selective vulnerability of inhibitory interneurons in Alpers&amp;apos; syndrome&lt;/title&gt;&lt;secondary-title&gt;Neuropathol Appl Neurobiol&lt;/secondary-title&gt;&lt;/titles&gt;&lt;periodical&gt;&lt;full-title&gt;Neuropathol Appl Neurobiol&lt;/full-title&gt;&lt;/periodical&gt;&lt;pages&gt;e12833&lt;/pages&gt;&lt;edition&gt;2022/07/06&lt;/edition&gt;&lt;keywords&gt;&lt;keyword&gt;Alpers’ syndrome&lt;/keyword&gt;&lt;keyword&gt;Polg&lt;/keyword&gt;&lt;keyword&gt;calretinin&lt;/keyword&gt;&lt;keyword&gt;inhibitory interneurons&lt;/keyword&gt;&lt;keyword&gt;mitochondrial epilepsy&lt;/keyword&gt;&lt;keyword&gt;parvalbumin&lt;/keyword&gt;&lt;keyword&gt;seizures&lt;/keyword&gt;&lt;/keywords&gt;&lt;dates&gt;&lt;year&gt;2022&lt;/year&gt;&lt;pub-dates&gt;&lt;date&gt;Jul 5&lt;/date&gt;&lt;/pub-dates&gt;&lt;/dates&gt;&lt;isbn&gt;0305-1846&lt;/isbn&gt;&lt;accession-num&gt;35790454&lt;/accession-num&gt;&lt;urls&gt;&lt;/urls&gt;&lt;electronic-resource-num&gt;10.1111/nan.12833&lt;/electronic-resource-num&gt;&lt;remote-database-provider&gt;NLM&lt;/remote-database-provider&gt;&lt;language&gt;eng&lt;/language&gt;&lt;/record&gt;&lt;/Cite&gt;&lt;/EndNote&gt;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(</w:t>
      </w:r>
      <w:hyperlink w:anchor="_ENREF_19" w:tooltip="Smith, 2022 #26" w:history="1">
        <w:r>
          <w:rPr>
            <w:rFonts w:ascii="Arial" w:hAnsi="Arial" w:cs="Arial"/>
            <w:noProof/>
          </w:rPr>
          <w:t>19</w:t>
        </w:r>
      </w:hyperlink>
      <w:r>
        <w:rPr>
          <w:rFonts w:ascii="Arial" w:hAnsi="Arial" w:cs="Arial"/>
          <w:noProof/>
        </w:rPr>
        <w:t>)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. </w:t>
      </w:r>
      <w:r w:rsidR="00AA6BE2">
        <w:rPr>
          <w:rFonts w:ascii="Arial" w:hAnsi="Arial" w:cs="Arial"/>
        </w:rPr>
        <w:br/>
      </w:r>
    </w:p>
    <w:p w14:paraId="1A83951A" w14:textId="77777777" w:rsidR="00506C0D" w:rsidRDefault="00506C0D" w:rsidP="00506C0D">
      <w:pPr>
        <w:rPr>
          <w:rFonts w:ascii="Arial" w:hAnsi="Arial" w:cs="Arial"/>
          <w:b/>
          <w:bCs/>
        </w:rPr>
      </w:pPr>
    </w:p>
    <w:p w14:paraId="44FBCEE7" w14:textId="77777777" w:rsidR="00506C0D" w:rsidRDefault="00506C0D" w:rsidP="00506C0D">
      <w:pPr>
        <w:jc w:val="both"/>
        <w:rPr>
          <w:rFonts w:ascii="Arial" w:hAnsi="Arial" w:cs="Arial"/>
          <w:b/>
          <w:bCs/>
        </w:rPr>
      </w:pPr>
    </w:p>
    <w:p w14:paraId="0B3D4033" w14:textId="7D72F03D" w:rsidR="00506C0D" w:rsidRDefault="00506C0D" w:rsidP="00506C0D">
      <w:pPr>
        <w:rPr>
          <w:rFonts w:ascii="Arial" w:hAnsi="Arial" w:cs="Arial"/>
          <w:b/>
          <w:bCs/>
        </w:rPr>
      </w:pPr>
    </w:p>
    <w:p w14:paraId="3D775796" w14:textId="77777777" w:rsidR="008A012A" w:rsidRDefault="008A012A" w:rsidP="00506C0D">
      <w:pPr>
        <w:rPr>
          <w:rFonts w:ascii="Arial" w:hAnsi="Arial" w:cs="Arial"/>
          <w:b/>
          <w:bCs/>
        </w:rPr>
      </w:pPr>
    </w:p>
    <w:p w14:paraId="47D4948E" w14:textId="0E30CC9D" w:rsidR="00506C0D" w:rsidRDefault="00506C0D" w:rsidP="00506C0D">
      <w:pPr>
        <w:rPr>
          <w:rFonts w:ascii="Arial" w:hAnsi="Arial" w:cs="Arial"/>
        </w:rPr>
      </w:pPr>
      <w:r w:rsidRPr="00897549">
        <w:rPr>
          <w:rFonts w:ascii="Arial" w:hAnsi="Arial" w:cs="Arial"/>
          <w:b/>
          <w:bCs/>
        </w:rPr>
        <w:lastRenderedPageBreak/>
        <w:t xml:space="preserve">Supplementary Table 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>: Primary antibodies</w:t>
      </w:r>
    </w:p>
    <w:p w14:paraId="4153F5FC" w14:textId="77777777" w:rsidR="00506C0D" w:rsidRPr="00F42781" w:rsidRDefault="00506C0D" w:rsidP="00506C0D">
      <w:pPr>
        <w:rPr>
          <w:rFonts w:ascii="Arial" w:hAnsi="Arial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2651"/>
        <w:gridCol w:w="1703"/>
        <w:gridCol w:w="1842"/>
        <w:gridCol w:w="3261"/>
        <w:gridCol w:w="1842"/>
        <w:gridCol w:w="1321"/>
      </w:tblGrid>
      <w:tr w:rsidR="00506C0D" w:rsidRPr="00897549" w14:paraId="4B79674B" w14:textId="77777777" w:rsidTr="009B19DE"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</w:tcPr>
          <w:p w14:paraId="4D109BB0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Antibody</w:t>
            </w:r>
          </w:p>
        </w:tc>
        <w:tc>
          <w:tcPr>
            <w:tcW w:w="951" w:type="pct"/>
            <w:tcBorders>
              <w:top w:val="single" w:sz="8" w:space="0" w:color="auto"/>
              <w:bottom w:val="single" w:sz="8" w:space="0" w:color="auto"/>
            </w:tcBorders>
          </w:tcPr>
          <w:p w14:paraId="1131924C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Target</w:t>
            </w:r>
          </w:p>
        </w:tc>
        <w:tc>
          <w:tcPr>
            <w:tcW w:w="611" w:type="pct"/>
            <w:tcBorders>
              <w:top w:val="single" w:sz="8" w:space="0" w:color="auto"/>
              <w:bottom w:val="single" w:sz="8" w:space="0" w:color="auto"/>
            </w:tcBorders>
          </w:tcPr>
          <w:p w14:paraId="35C61B8B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Host isotype</w:t>
            </w:r>
          </w:p>
        </w:tc>
        <w:tc>
          <w:tcPr>
            <w:tcW w:w="661" w:type="pct"/>
            <w:tcBorders>
              <w:top w:val="single" w:sz="8" w:space="0" w:color="auto"/>
              <w:bottom w:val="single" w:sz="8" w:space="0" w:color="auto"/>
            </w:tcBorders>
          </w:tcPr>
          <w:p w14:paraId="0C1B643D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Antigen retrieval</w:t>
            </w:r>
          </w:p>
        </w:tc>
        <w:tc>
          <w:tcPr>
            <w:tcW w:w="1170" w:type="pct"/>
            <w:tcBorders>
              <w:top w:val="single" w:sz="8" w:space="0" w:color="auto"/>
              <w:bottom w:val="single" w:sz="8" w:space="0" w:color="auto"/>
            </w:tcBorders>
          </w:tcPr>
          <w:p w14:paraId="11E1293E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Antibody dilution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for immunofluorescence </w:t>
            </w:r>
            <w:r w:rsidRPr="00373AB0">
              <w:rPr>
                <w:rFonts w:ascii="Arial" w:hAnsi="Arial" w:cs="Arial"/>
                <w:i/>
                <w:iCs/>
                <w:sz w:val="20"/>
                <w:szCs w:val="20"/>
              </w:rPr>
              <w:t>(immunohistochemistry)</w:t>
            </w:r>
          </w:p>
        </w:tc>
        <w:tc>
          <w:tcPr>
            <w:tcW w:w="661" w:type="pct"/>
            <w:tcBorders>
              <w:top w:val="single" w:sz="8" w:space="0" w:color="auto"/>
              <w:bottom w:val="single" w:sz="8" w:space="0" w:color="auto"/>
            </w:tcBorders>
          </w:tcPr>
          <w:p w14:paraId="05F7E20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Antibody supplier</w:t>
            </w:r>
          </w:p>
        </w:tc>
        <w:tc>
          <w:tcPr>
            <w:tcW w:w="474" w:type="pct"/>
            <w:tcBorders>
              <w:top w:val="single" w:sz="8" w:space="0" w:color="auto"/>
              <w:bottom w:val="single" w:sz="8" w:space="0" w:color="auto"/>
            </w:tcBorders>
          </w:tcPr>
          <w:p w14:paraId="11A6EA5B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9754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Catalogue number </w:t>
            </w:r>
          </w:p>
        </w:tc>
      </w:tr>
      <w:tr w:rsidR="00506C0D" w:rsidRPr="00897549" w14:paraId="662CE0C1" w14:textId="77777777" w:rsidTr="009B19DE">
        <w:trPr>
          <w:trHeight w:val="388"/>
        </w:trPr>
        <w:tc>
          <w:tcPr>
            <w:tcW w:w="472" w:type="pct"/>
            <w:vMerge w:val="restart"/>
            <w:tcBorders>
              <w:top w:val="single" w:sz="8" w:space="0" w:color="auto"/>
            </w:tcBorders>
          </w:tcPr>
          <w:p w14:paraId="0B7C97F8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Glial fibrillary protein </w:t>
            </w:r>
          </w:p>
        </w:tc>
        <w:tc>
          <w:tcPr>
            <w:tcW w:w="951" w:type="pct"/>
            <w:vMerge w:val="restart"/>
            <w:tcBorders>
              <w:top w:val="single" w:sz="8" w:space="0" w:color="auto"/>
            </w:tcBorders>
          </w:tcPr>
          <w:p w14:paraId="45DEB1E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Reactive astrocytes</w:t>
            </w:r>
          </w:p>
        </w:tc>
        <w:tc>
          <w:tcPr>
            <w:tcW w:w="611" w:type="pct"/>
            <w:tcBorders>
              <w:top w:val="single" w:sz="8" w:space="0" w:color="auto"/>
            </w:tcBorders>
          </w:tcPr>
          <w:p w14:paraId="0B5BB63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Mouse IgG1</w:t>
            </w:r>
          </w:p>
        </w:tc>
        <w:tc>
          <w:tcPr>
            <w:tcW w:w="661" w:type="pct"/>
            <w:tcBorders>
              <w:top w:val="single" w:sz="8" w:space="0" w:color="auto"/>
            </w:tcBorders>
          </w:tcPr>
          <w:p w14:paraId="586A713D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Citrate </w:t>
            </w:r>
          </w:p>
        </w:tc>
        <w:tc>
          <w:tcPr>
            <w:tcW w:w="1170" w:type="pct"/>
            <w:tcBorders>
              <w:top w:val="single" w:sz="8" w:space="0" w:color="auto"/>
            </w:tcBorders>
          </w:tcPr>
          <w:p w14:paraId="0687046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1:50</w:t>
            </w:r>
          </w:p>
        </w:tc>
        <w:tc>
          <w:tcPr>
            <w:tcW w:w="661" w:type="pct"/>
            <w:tcBorders>
              <w:top w:val="single" w:sz="8" w:space="0" w:color="auto"/>
            </w:tcBorders>
          </w:tcPr>
          <w:p w14:paraId="04C0DC0E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DAKO</w:t>
            </w:r>
          </w:p>
        </w:tc>
        <w:tc>
          <w:tcPr>
            <w:tcW w:w="474" w:type="pct"/>
            <w:tcBorders>
              <w:top w:val="single" w:sz="8" w:space="0" w:color="auto"/>
            </w:tcBorders>
          </w:tcPr>
          <w:p w14:paraId="75C6C97E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M0761</w:t>
            </w:r>
          </w:p>
        </w:tc>
      </w:tr>
      <w:tr w:rsidR="00506C0D" w:rsidRPr="00897549" w14:paraId="49B9F4F0" w14:textId="77777777" w:rsidTr="009B19DE">
        <w:tc>
          <w:tcPr>
            <w:tcW w:w="472" w:type="pct"/>
            <w:vMerge/>
          </w:tcPr>
          <w:p w14:paraId="62B74139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" w:type="pct"/>
            <w:vMerge/>
          </w:tcPr>
          <w:p w14:paraId="2B4E243D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</w:tcPr>
          <w:p w14:paraId="6FD10DA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Rabbit IgG</w:t>
            </w:r>
          </w:p>
        </w:tc>
        <w:tc>
          <w:tcPr>
            <w:tcW w:w="661" w:type="pct"/>
          </w:tcPr>
          <w:p w14:paraId="4205A32C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Citrate or EDTA</w:t>
            </w:r>
          </w:p>
        </w:tc>
        <w:tc>
          <w:tcPr>
            <w:tcW w:w="1170" w:type="pct"/>
          </w:tcPr>
          <w:p w14:paraId="6D51B13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 xml:space="preserve">1:2000 </w:t>
            </w:r>
          </w:p>
          <w:p w14:paraId="720869D6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(1:15,000 immunohistochemistry)</w:t>
            </w:r>
          </w:p>
        </w:tc>
        <w:tc>
          <w:tcPr>
            <w:tcW w:w="661" w:type="pct"/>
          </w:tcPr>
          <w:p w14:paraId="47D13572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DAKO</w:t>
            </w:r>
          </w:p>
        </w:tc>
        <w:tc>
          <w:tcPr>
            <w:tcW w:w="474" w:type="pct"/>
          </w:tcPr>
          <w:p w14:paraId="3FFC363F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Z0334</w:t>
            </w:r>
          </w:p>
        </w:tc>
      </w:tr>
      <w:tr w:rsidR="00506C0D" w:rsidRPr="00897549" w14:paraId="20C439D1" w14:textId="77777777" w:rsidTr="009B19DE">
        <w:tc>
          <w:tcPr>
            <w:tcW w:w="472" w:type="pct"/>
          </w:tcPr>
          <w:p w14:paraId="7DF68429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NDUFB8</w:t>
            </w:r>
          </w:p>
        </w:tc>
        <w:tc>
          <w:tcPr>
            <w:tcW w:w="951" w:type="pct"/>
          </w:tcPr>
          <w:p w14:paraId="7539051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Mitochondrial complex I subunit</w:t>
            </w:r>
          </w:p>
        </w:tc>
        <w:tc>
          <w:tcPr>
            <w:tcW w:w="611" w:type="pct"/>
          </w:tcPr>
          <w:p w14:paraId="2785284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Mouse IgG1</w:t>
            </w:r>
          </w:p>
        </w:tc>
        <w:tc>
          <w:tcPr>
            <w:tcW w:w="661" w:type="pct"/>
          </w:tcPr>
          <w:p w14:paraId="3A6745C5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EDTA</w:t>
            </w:r>
          </w:p>
        </w:tc>
        <w:tc>
          <w:tcPr>
            <w:tcW w:w="1170" w:type="pct"/>
          </w:tcPr>
          <w:p w14:paraId="26EC7AD3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1:100</w:t>
            </w:r>
          </w:p>
        </w:tc>
        <w:tc>
          <w:tcPr>
            <w:tcW w:w="661" w:type="pct"/>
          </w:tcPr>
          <w:p w14:paraId="5930A57A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Abcam</w:t>
            </w:r>
          </w:p>
        </w:tc>
        <w:tc>
          <w:tcPr>
            <w:tcW w:w="474" w:type="pct"/>
          </w:tcPr>
          <w:p w14:paraId="3A491555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Ab110242</w:t>
            </w:r>
          </w:p>
        </w:tc>
      </w:tr>
      <w:tr w:rsidR="00506C0D" w:rsidRPr="00897549" w14:paraId="6996317B" w14:textId="77777777" w:rsidTr="009B19DE">
        <w:tc>
          <w:tcPr>
            <w:tcW w:w="472" w:type="pct"/>
          </w:tcPr>
          <w:p w14:paraId="22EADBE6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COXI</w:t>
            </w:r>
          </w:p>
        </w:tc>
        <w:tc>
          <w:tcPr>
            <w:tcW w:w="951" w:type="pct"/>
          </w:tcPr>
          <w:p w14:paraId="2702B948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Mitochondrial complex IV subunit</w:t>
            </w:r>
          </w:p>
        </w:tc>
        <w:tc>
          <w:tcPr>
            <w:tcW w:w="611" w:type="pct"/>
          </w:tcPr>
          <w:p w14:paraId="2E8AD7DF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Mouse IgG2a</w:t>
            </w:r>
            <w:r w:rsidRPr="0089754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61" w:type="pct"/>
          </w:tcPr>
          <w:p w14:paraId="1F886240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EDTA</w:t>
            </w:r>
          </w:p>
        </w:tc>
        <w:tc>
          <w:tcPr>
            <w:tcW w:w="1170" w:type="pct"/>
          </w:tcPr>
          <w:p w14:paraId="4E2DFBBA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1:200</w:t>
            </w:r>
          </w:p>
        </w:tc>
        <w:tc>
          <w:tcPr>
            <w:tcW w:w="661" w:type="pct"/>
          </w:tcPr>
          <w:p w14:paraId="551EFD8A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Abcam</w:t>
            </w:r>
          </w:p>
        </w:tc>
        <w:tc>
          <w:tcPr>
            <w:tcW w:w="474" w:type="pct"/>
          </w:tcPr>
          <w:p w14:paraId="20F1715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Ab14705</w:t>
            </w:r>
          </w:p>
        </w:tc>
      </w:tr>
      <w:tr w:rsidR="00506C0D" w:rsidRPr="00897549" w14:paraId="58D454A2" w14:textId="77777777" w:rsidTr="009B19DE">
        <w:tc>
          <w:tcPr>
            <w:tcW w:w="472" w:type="pct"/>
          </w:tcPr>
          <w:p w14:paraId="41F526D5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Porin</w:t>
            </w:r>
          </w:p>
        </w:tc>
        <w:tc>
          <w:tcPr>
            <w:tcW w:w="951" w:type="pct"/>
          </w:tcPr>
          <w:p w14:paraId="74DF897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Mitochondrial membrane pore</w:t>
            </w:r>
          </w:p>
        </w:tc>
        <w:tc>
          <w:tcPr>
            <w:tcW w:w="611" w:type="pct"/>
          </w:tcPr>
          <w:p w14:paraId="3EA9EDD4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Mouse IgG2b</w:t>
            </w:r>
          </w:p>
        </w:tc>
        <w:tc>
          <w:tcPr>
            <w:tcW w:w="661" w:type="pct"/>
          </w:tcPr>
          <w:p w14:paraId="1815B60F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EDTA</w:t>
            </w:r>
          </w:p>
        </w:tc>
        <w:tc>
          <w:tcPr>
            <w:tcW w:w="1170" w:type="pct"/>
          </w:tcPr>
          <w:p w14:paraId="13F62156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1:200</w:t>
            </w:r>
          </w:p>
        </w:tc>
        <w:tc>
          <w:tcPr>
            <w:tcW w:w="661" w:type="pct"/>
          </w:tcPr>
          <w:p w14:paraId="6469A972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Abcam</w:t>
            </w:r>
          </w:p>
        </w:tc>
        <w:tc>
          <w:tcPr>
            <w:tcW w:w="474" w:type="pct"/>
          </w:tcPr>
          <w:p w14:paraId="44966603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color w:val="000000" w:themeColor="text1"/>
                <w:sz w:val="20"/>
                <w:szCs w:val="20"/>
              </w:rPr>
              <w:t>Ab14734</w:t>
            </w:r>
          </w:p>
        </w:tc>
      </w:tr>
      <w:tr w:rsidR="00506C0D" w:rsidRPr="00897549" w14:paraId="6BDFAD49" w14:textId="77777777" w:rsidTr="009B19DE">
        <w:tc>
          <w:tcPr>
            <w:tcW w:w="472" w:type="pct"/>
          </w:tcPr>
          <w:p w14:paraId="64BFB8FF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Kir4.1</w:t>
            </w:r>
          </w:p>
        </w:tc>
        <w:tc>
          <w:tcPr>
            <w:tcW w:w="951" w:type="pct"/>
          </w:tcPr>
          <w:p w14:paraId="2A28E8ED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Astrocytic potassium ion channel subunit</w:t>
            </w:r>
          </w:p>
        </w:tc>
        <w:tc>
          <w:tcPr>
            <w:tcW w:w="611" w:type="pct"/>
          </w:tcPr>
          <w:p w14:paraId="7E7CA136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Rabbit IgG</w:t>
            </w:r>
          </w:p>
        </w:tc>
        <w:tc>
          <w:tcPr>
            <w:tcW w:w="661" w:type="pct"/>
          </w:tcPr>
          <w:p w14:paraId="0E41A203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Citrate</w:t>
            </w:r>
          </w:p>
        </w:tc>
        <w:tc>
          <w:tcPr>
            <w:tcW w:w="1170" w:type="pct"/>
          </w:tcPr>
          <w:p w14:paraId="06F0F74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1:100</w:t>
            </w:r>
          </w:p>
        </w:tc>
        <w:tc>
          <w:tcPr>
            <w:tcW w:w="661" w:type="pct"/>
          </w:tcPr>
          <w:p w14:paraId="654B1C62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Alomone</w:t>
            </w:r>
          </w:p>
        </w:tc>
        <w:tc>
          <w:tcPr>
            <w:tcW w:w="474" w:type="pct"/>
          </w:tcPr>
          <w:p w14:paraId="0D8CC148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APC-035</w:t>
            </w:r>
          </w:p>
        </w:tc>
      </w:tr>
      <w:tr w:rsidR="00506C0D" w:rsidRPr="00897549" w14:paraId="464C3B07" w14:textId="77777777" w:rsidTr="009B19DE">
        <w:tc>
          <w:tcPr>
            <w:tcW w:w="472" w:type="pct"/>
          </w:tcPr>
          <w:p w14:paraId="7F07CA51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Aquaporin 4 (AQP4)</w:t>
            </w:r>
          </w:p>
        </w:tc>
        <w:tc>
          <w:tcPr>
            <w:tcW w:w="951" w:type="pct"/>
          </w:tcPr>
          <w:p w14:paraId="68E98EEB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Astrocytic water channel</w:t>
            </w:r>
          </w:p>
        </w:tc>
        <w:tc>
          <w:tcPr>
            <w:tcW w:w="611" w:type="pct"/>
          </w:tcPr>
          <w:p w14:paraId="631CB332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Rabbit IgG</w:t>
            </w:r>
          </w:p>
        </w:tc>
        <w:tc>
          <w:tcPr>
            <w:tcW w:w="661" w:type="pct"/>
          </w:tcPr>
          <w:p w14:paraId="5F137F98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Citrate</w:t>
            </w:r>
          </w:p>
        </w:tc>
        <w:tc>
          <w:tcPr>
            <w:tcW w:w="1170" w:type="pct"/>
          </w:tcPr>
          <w:p w14:paraId="0A12E2C8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1:3000</w:t>
            </w:r>
          </w:p>
        </w:tc>
        <w:tc>
          <w:tcPr>
            <w:tcW w:w="661" w:type="pct"/>
          </w:tcPr>
          <w:p w14:paraId="1192D01A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474" w:type="pct"/>
          </w:tcPr>
          <w:p w14:paraId="484626D3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A5971</w:t>
            </w:r>
          </w:p>
        </w:tc>
      </w:tr>
      <w:tr w:rsidR="00506C0D" w:rsidRPr="00897549" w14:paraId="3A66E9F8" w14:textId="77777777" w:rsidTr="009B19DE">
        <w:tc>
          <w:tcPr>
            <w:tcW w:w="472" w:type="pct"/>
            <w:tcBorders>
              <w:bottom w:val="single" w:sz="8" w:space="0" w:color="auto"/>
            </w:tcBorders>
          </w:tcPr>
          <w:p w14:paraId="7581553B" w14:textId="77777777" w:rsidR="00506C0D" w:rsidRPr="00D51C09" w:rsidRDefault="00506C0D" w:rsidP="009B19D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1C09">
              <w:rPr>
                <w:rFonts w:ascii="Arial" w:hAnsi="Arial" w:cs="Arial"/>
                <w:b/>
                <w:bCs/>
                <w:sz w:val="20"/>
                <w:szCs w:val="20"/>
              </w:rPr>
              <w:t>Glutamine synthetase</w:t>
            </w:r>
          </w:p>
        </w:tc>
        <w:tc>
          <w:tcPr>
            <w:tcW w:w="951" w:type="pct"/>
            <w:tcBorders>
              <w:bottom w:val="single" w:sz="8" w:space="0" w:color="auto"/>
            </w:tcBorders>
          </w:tcPr>
          <w:p w14:paraId="7DAFA28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Astrocytic glutamate metabolising enzyme</w:t>
            </w:r>
          </w:p>
        </w:tc>
        <w:tc>
          <w:tcPr>
            <w:tcW w:w="611" w:type="pct"/>
            <w:tcBorders>
              <w:bottom w:val="single" w:sz="8" w:space="0" w:color="auto"/>
            </w:tcBorders>
          </w:tcPr>
          <w:p w14:paraId="55FB1D09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Mouse IgG2a</w:t>
            </w:r>
          </w:p>
        </w:tc>
        <w:tc>
          <w:tcPr>
            <w:tcW w:w="661" w:type="pct"/>
            <w:tcBorders>
              <w:bottom w:val="single" w:sz="8" w:space="0" w:color="auto"/>
            </w:tcBorders>
          </w:tcPr>
          <w:p w14:paraId="1D95D630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Citrate</w:t>
            </w:r>
          </w:p>
        </w:tc>
        <w:tc>
          <w:tcPr>
            <w:tcW w:w="1170" w:type="pct"/>
            <w:tcBorders>
              <w:bottom w:val="single" w:sz="8" w:space="0" w:color="auto"/>
            </w:tcBorders>
          </w:tcPr>
          <w:p w14:paraId="1846A2D7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1:6000</w:t>
            </w:r>
          </w:p>
        </w:tc>
        <w:tc>
          <w:tcPr>
            <w:tcW w:w="661" w:type="pct"/>
            <w:tcBorders>
              <w:bottom w:val="single" w:sz="8" w:space="0" w:color="auto"/>
            </w:tcBorders>
          </w:tcPr>
          <w:p w14:paraId="68E1DCCF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BD Transduction Laboratories</w:t>
            </w:r>
          </w:p>
        </w:tc>
        <w:tc>
          <w:tcPr>
            <w:tcW w:w="474" w:type="pct"/>
            <w:tcBorders>
              <w:bottom w:val="single" w:sz="8" w:space="0" w:color="auto"/>
            </w:tcBorders>
          </w:tcPr>
          <w:p w14:paraId="3BE0CEB6" w14:textId="77777777" w:rsidR="00506C0D" w:rsidRPr="00897549" w:rsidRDefault="00506C0D" w:rsidP="009B19D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97549">
              <w:rPr>
                <w:rFonts w:ascii="Arial" w:hAnsi="Arial" w:cs="Arial"/>
                <w:sz w:val="20"/>
                <w:szCs w:val="20"/>
              </w:rPr>
              <w:t>610518</w:t>
            </w:r>
          </w:p>
        </w:tc>
      </w:tr>
    </w:tbl>
    <w:p w14:paraId="192A9E5F" w14:textId="77777777" w:rsidR="00506C0D" w:rsidRDefault="00506C0D" w:rsidP="00506C0D">
      <w:pPr>
        <w:rPr>
          <w:rFonts w:ascii="Arial" w:hAnsi="Arial" w:cs="Arial"/>
          <w:b/>
          <w:bCs/>
        </w:rPr>
      </w:pPr>
    </w:p>
    <w:p w14:paraId="130A5CBC" w14:textId="2D073322" w:rsidR="00506C0D" w:rsidRDefault="00506C0D" w:rsidP="00AA6BE2">
      <w:pPr>
        <w:spacing w:line="360" w:lineRule="auto"/>
        <w:rPr>
          <w:rFonts w:ascii="Arial" w:hAnsi="Arial" w:cs="Arial"/>
          <w:sz w:val="22"/>
          <w:szCs w:val="22"/>
        </w:rPr>
      </w:pPr>
      <w:r w:rsidRPr="002C28BC">
        <w:rPr>
          <w:rFonts w:ascii="Arial" w:hAnsi="Arial" w:cs="Arial"/>
          <w:b/>
          <w:bCs/>
          <w:sz w:val="22"/>
          <w:szCs w:val="22"/>
        </w:rPr>
        <w:t>Antigen retrieval methods</w:t>
      </w:r>
      <w:r w:rsidRPr="002C28BC">
        <w:rPr>
          <w:rFonts w:ascii="Arial" w:hAnsi="Arial" w:cs="Arial"/>
          <w:i/>
          <w:iCs/>
          <w:sz w:val="22"/>
          <w:szCs w:val="22"/>
        </w:rPr>
        <w:t xml:space="preserve">: </w:t>
      </w:r>
      <w:r w:rsidRPr="002C28BC">
        <w:rPr>
          <w:rFonts w:ascii="Arial" w:hAnsi="Arial" w:cs="Arial"/>
          <w:sz w:val="22"/>
          <w:szCs w:val="22"/>
        </w:rPr>
        <w:t>1mM EDTA</w:t>
      </w:r>
      <w:r>
        <w:rPr>
          <w:rFonts w:ascii="Arial" w:hAnsi="Arial" w:cs="Arial"/>
          <w:sz w:val="22"/>
          <w:szCs w:val="22"/>
        </w:rPr>
        <w:t xml:space="preserve"> (</w:t>
      </w:r>
      <w:r w:rsidRPr="002C28BC">
        <w:rPr>
          <w:rFonts w:ascii="Arial" w:hAnsi="Arial" w:cs="Arial"/>
          <w:sz w:val="22"/>
          <w:szCs w:val="22"/>
        </w:rPr>
        <w:t>pH 8.0</w:t>
      </w:r>
      <w:r>
        <w:rPr>
          <w:rFonts w:ascii="Arial" w:hAnsi="Arial" w:cs="Arial"/>
          <w:sz w:val="22"/>
          <w:szCs w:val="22"/>
        </w:rPr>
        <w:t xml:space="preserve">) in a </w:t>
      </w:r>
      <w:r w:rsidRPr="002C28BC">
        <w:rPr>
          <w:rFonts w:ascii="Arial" w:hAnsi="Arial" w:cs="Arial"/>
          <w:sz w:val="22"/>
          <w:szCs w:val="22"/>
        </w:rPr>
        <w:t xml:space="preserve">pressure cooker </w:t>
      </w:r>
      <w:r>
        <w:rPr>
          <w:rFonts w:ascii="Arial" w:hAnsi="Arial" w:cs="Arial"/>
          <w:sz w:val="22"/>
          <w:szCs w:val="22"/>
        </w:rPr>
        <w:t>for 4</w:t>
      </w:r>
      <w:r w:rsidRPr="002C28BC">
        <w:rPr>
          <w:rFonts w:ascii="Arial" w:hAnsi="Arial" w:cs="Arial"/>
          <w:sz w:val="22"/>
          <w:szCs w:val="22"/>
        </w:rPr>
        <w:t>0 min</w:t>
      </w:r>
      <w:r>
        <w:rPr>
          <w:rFonts w:ascii="Arial" w:hAnsi="Arial" w:cs="Arial"/>
          <w:sz w:val="22"/>
          <w:szCs w:val="22"/>
        </w:rPr>
        <w:t>utes, or 10mM</w:t>
      </w:r>
      <w:r w:rsidRPr="002C28BC">
        <w:rPr>
          <w:rFonts w:ascii="Arial" w:hAnsi="Arial" w:cs="Arial"/>
          <w:sz w:val="22"/>
          <w:szCs w:val="22"/>
        </w:rPr>
        <w:t xml:space="preserve"> Trisodium citrate</w:t>
      </w:r>
      <w:r>
        <w:rPr>
          <w:rFonts w:ascii="Arial" w:hAnsi="Arial" w:cs="Arial"/>
          <w:sz w:val="22"/>
          <w:szCs w:val="22"/>
        </w:rPr>
        <w:t xml:space="preserve"> (</w:t>
      </w:r>
      <w:r w:rsidRPr="002C28BC">
        <w:rPr>
          <w:rFonts w:ascii="Arial" w:hAnsi="Arial" w:cs="Arial"/>
          <w:sz w:val="22"/>
          <w:szCs w:val="22"/>
        </w:rPr>
        <w:t>pH 6.0</w:t>
      </w:r>
      <w:r>
        <w:rPr>
          <w:rFonts w:ascii="Arial" w:hAnsi="Arial" w:cs="Arial"/>
          <w:sz w:val="22"/>
          <w:szCs w:val="22"/>
        </w:rPr>
        <w:t>)</w:t>
      </w:r>
      <w:r w:rsidRPr="002C28BC">
        <w:rPr>
          <w:rFonts w:ascii="Arial" w:hAnsi="Arial" w:cs="Arial"/>
          <w:sz w:val="22"/>
          <w:szCs w:val="22"/>
        </w:rPr>
        <w:t xml:space="preserve"> microwave</w:t>
      </w:r>
      <w:r>
        <w:rPr>
          <w:rFonts w:ascii="Arial" w:hAnsi="Arial" w:cs="Arial"/>
          <w:sz w:val="22"/>
          <w:szCs w:val="22"/>
        </w:rPr>
        <w:t>d for</w:t>
      </w:r>
      <w:r w:rsidRPr="002C28BC">
        <w:rPr>
          <w:rFonts w:ascii="Arial" w:hAnsi="Arial" w:cs="Arial"/>
          <w:sz w:val="22"/>
          <w:szCs w:val="22"/>
        </w:rPr>
        <w:t xml:space="preserve"> 10 </w:t>
      </w:r>
      <w:r>
        <w:rPr>
          <w:rFonts w:ascii="Arial" w:hAnsi="Arial" w:cs="Arial"/>
          <w:sz w:val="22"/>
          <w:szCs w:val="22"/>
        </w:rPr>
        <w:t xml:space="preserve">minutes followed by </w:t>
      </w:r>
      <w:r w:rsidRPr="002C28BC">
        <w:rPr>
          <w:rFonts w:ascii="Arial" w:hAnsi="Arial" w:cs="Arial"/>
          <w:sz w:val="22"/>
          <w:szCs w:val="22"/>
        </w:rPr>
        <w:t xml:space="preserve">10 </w:t>
      </w:r>
      <w:r>
        <w:rPr>
          <w:rFonts w:ascii="Arial" w:hAnsi="Arial" w:cs="Arial"/>
          <w:sz w:val="22"/>
          <w:szCs w:val="22"/>
        </w:rPr>
        <w:t>minutes</w:t>
      </w:r>
      <w:r w:rsidRPr="002C28BC">
        <w:rPr>
          <w:rFonts w:ascii="Arial" w:hAnsi="Arial" w:cs="Arial"/>
          <w:sz w:val="22"/>
          <w:szCs w:val="22"/>
        </w:rPr>
        <w:t xml:space="preserve"> cooling.</w:t>
      </w:r>
    </w:p>
    <w:p w14:paraId="084164F7" w14:textId="77777777" w:rsidR="00AA6BE2" w:rsidRPr="00B543EC" w:rsidRDefault="00AA6BE2" w:rsidP="00AA6BE2">
      <w:pPr>
        <w:spacing w:line="360" w:lineRule="auto"/>
        <w:rPr>
          <w:rFonts w:ascii="Arial" w:hAnsi="Arial" w:cs="Arial"/>
          <w:i/>
          <w:iCs/>
          <w:sz w:val="22"/>
          <w:szCs w:val="22"/>
        </w:rPr>
      </w:pPr>
    </w:p>
    <w:p w14:paraId="0F9450F2" w14:textId="2CBD600F" w:rsidR="00506C0D" w:rsidRDefault="008A012A" w:rsidP="00AA6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Immunohistochemistry: </w:t>
      </w:r>
      <w:r>
        <w:rPr>
          <w:rFonts w:ascii="Arial" w:hAnsi="Arial" w:cs="Arial"/>
          <w:sz w:val="22"/>
          <w:szCs w:val="22"/>
        </w:rPr>
        <w:t>Menarini Diagnostics horseradish-peroxidase polymer kit was used for primary antibody amplification which was visualised using DAB (</w:t>
      </w:r>
      <w:proofErr w:type="spellStart"/>
      <w:r>
        <w:rPr>
          <w:rFonts w:ascii="Arial" w:hAnsi="Arial" w:cs="Arial"/>
          <w:sz w:val="22"/>
          <w:szCs w:val="22"/>
        </w:rPr>
        <w:t>MenaPath</w:t>
      </w:r>
      <w:proofErr w:type="spellEnd"/>
      <w:r>
        <w:rPr>
          <w:rFonts w:ascii="Arial" w:hAnsi="Arial" w:cs="Arial"/>
          <w:sz w:val="22"/>
          <w:szCs w:val="22"/>
        </w:rPr>
        <w:t xml:space="preserve"> X-Cell</w:t>
      </w:r>
      <w:r w:rsidR="00AA6BE2">
        <w:rPr>
          <w:rFonts w:ascii="Arial" w:hAnsi="Arial" w:cs="Arial"/>
          <w:sz w:val="22"/>
          <w:szCs w:val="22"/>
        </w:rPr>
        <w:t xml:space="preserve"> Plus HRP-polymer kit, A. Menarini diagnostics)</w:t>
      </w:r>
    </w:p>
    <w:p w14:paraId="4C7DC0BF" w14:textId="77777777" w:rsidR="00AA6BE2" w:rsidRPr="008A012A" w:rsidRDefault="00AA6BE2" w:rsidP="00AA6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F213AE" w14:textId="77777777" w:rsidR="00506C0D" w:rsidRPr="00D37FC8" w:rsidRDefault="00506C0D" w:rsidP="00AA6BE2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Blocking</w:t>
      </w:r>
      <w:r>
        <w:rPr>
          <w:rFonts w:ascii="Arial" w:hAnsi="Arial" w:cs="Arial"/>
          <w:bCs/>
          <w:sz w:val="22"/>
          <w:szCs w:val="22"/>
        </w:rPr>
        <w:t>: 3% hydrogen peroxide (H</w:t>
      </w:r>
      <w:r>
        <w:rPr>
          <w:rFonts w:ascii="Arial" w:hAnsi="Arial" w:cs="Arial"/>
          <w:bCs/>
          <w:sz w:val="22"/>
          <w:szCs w:val="22"/>
          <w:vertAlign w:val="subscript"/>
        </w:rPr>
        <w:t>2</w:t>
      </w:r>
      <w:r>
        <w:rPr>
          <w:rFonts w:ascii="Arial" w:hAnsi="Arial" w:cs="Arial"/>
          <w:bCs/>
          <w:sz w:val="22"/>
          <w:szCs w:val="22"/>
        </w:rPr>
        <w:t>O</w:t>
      </w:r>
      <w:r>
        <w:rPr>
          <w:rFonts w:ascii="Arial" w:hAnsi="Arial" w:cs="Arial"/>
          <w:bCs/>
          <w:sz w:val="22"/>
          <w:szCs w:val="22"/>
          <w:vertAlign w:val="subscript"/>
        </w:rPr>
        <w:t>2</w:t>
      </w:r>
      <w:r>
        <w:rPr>
          <w:rFonts w:ascii="Arial" w:hAnsi="Arial" w:cs="Arial"/>
          <w:bCs/>
          <w:sz w:val="22"/>
          <w:szCs w:val="22"/>
        </w:rPr>
        <w:t>, diluted in H</w:t>
      </w:r>
      <w:r>
        <w:rPr>
          <w:rFonts w:ascii="Arial" w:hAnsi="Arial" w:cs="Arial"/>
          <w:bCs/>
          <w:sz w:val="22"/>
          <w:szCs w:val="22"/>
          <w:vertAlign w:val="subscript"/>
        </w:rPr>
        <w:t>2</w:t>
      </w:r>
      <w:r>
        <w:rPr>
          <w:rFonts w:ascii="Arial" w:hAnsi="Arial" w:cs="Arial"/>
          <w:bCs/>
          <w:sz w:val="22"/>
          <w:szCs w:val="22"/>
        </w:rPr>
        <w:t>O) block for 15 minutes at room temperature for immunohistochemistry experiments, or 10% normal goat serum (NGS, diluted in TBST) block for 1 hour at room temperature for immunofluorescence experiments. Sections stained with NDUFB8 were also blocked in avidin for 15 minutes, followed by blocking in biotin for 15 minutes at room temperature.</w:t>
      </w:r>
    </w:p>
    <w:p w14:paraId="177E838A" w14:textId="77777777" w:rsidR="008A012A" w:rsidRDefault="008A012A" w:rsidP="00506C0D">
      <w:pPr>
        <w:rPr>
          <w:rFonts w:ascii="Arial" w:hAnsi="Arial" w:cs="Arial"/>
          <w:b/>
          <w:bCs/>
        </w:rPr>
      </w:pPr>
    </w:p>
    <w:p w14:paraId="2CE9C3CB" w14:textId="31013C99" w:rsidR="00506C0D" w:rsidRDefault="00506C0D" w:rsidP="00506C0D">
      <w:pPr>
        <w:rPr>
          <w:rFonts w:ascii="Arial" w:hAnsi="Arial" w:cs="Arial"/>
        </w:rPr>
      </w:pPr>
      <w:r w:rsidRPr="00477B84">
        <w:rPr>
          <w:rFonts w:ascii="Arial" w:hAnsi="Arial" w:cs="Arial"/>
          <w:b/>
          <w:bCs/>
        </w:rPr>
        <w:t xml:space="preserve">Supplementary Table </w:t>
      </w: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>: Secondary antibodies</w:t>
      </w:r>
    </w:p>
    <w:p w14:paraId="1F090476" w14:textId="77777777" w:rsidR="00506C0D" w:rsidRDefault="00506C0D" w:rsidP="00506C0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8"/>
        <w:gridCol w:w="2521"/>
        <w:gridCol w:w="1142"/>
        <w:gridCol w:w="2780"/>
        <w:gridCol w:w="1807"/>
        <w:gridCol w:w="2295"/>
      </w:tblGrid>
      <w:tr w:rsidR="00506C0D" w:rsidRPr="00814921" w14:paraId="251ABB18" w14:textId="77777777" w:rsidTr="009B19DE">
        <w:trPr>
          <w:trHeight w:val="362"/>
        </w:trPr>
        <w:tc>
          <w:tcPr>
            <w:tcW w:w="3218" w:type="dxa"/>
            <w:tcBorders>
              <w:top w:val="single" w:sz="18" w:space="0" w:color="auto"/>
              <w:bottom w:val="single" w:sz="18" w:space="0" w:color="auto"/>
            </w:tcBorders>
          </w:tcPr>
          <w:p w14:paraId="37FCE1CF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Secondary antibody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18" w:space="0" w:color="auto"/>
            </w:tcBorders>
          </w:tcPr>
          <w:p w14:paraId="7B6F8BDA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Target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br/>
              <w:t>(primary antibody)</w:t>
            </w:r>
          </w:p>
        </w:tc>
        <w:tc>
          <w:tcPr>
            <w:tcW w:w="1142" w:type="dxa"/>
            <w:tcBorders>
              <w:top w:val="single" w:sz="18" w:space="0" w:color="auto"/>
              <w:bottom w:val="single" w:sz="18" w:space="0" w:color="auto"/>
            </w:tcBorders>
          </w:tcPr>
          <w:p w14:paraId="0155193E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Host</w:t>
            </w:r>
          </w:p>
        </w:tc>
        <w:tc>
          <w:tcPr>
            <w:tcW w:w="2780" w:type="dxa"/>
            <w:tcBorders>
              <w:top w:val="single" w:sz="18" w:space="0" w:color="auto"/>
              <w:bottom w:val="single" w:sz="18" w:space="0" w:color="auto"/>
            </w:tcBorders>
          </w:tcPr>
          <w:p w14:paraId="38B61A7E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Dilution</w:t>
            </w:r>
          </w:p>
        </w:tc>
        <w:tc>
          <w:tcPr>
            <w:tcW w:w="1807" w:type="dxa"/>
            <w:tcBorders>
              <w:top w:val="single" w:sz="18" w:space="0" w:color="auto"/>
              <w:bottom w:val="single" w:sz="18" w:space="0" w:color="auto"/>
            </w:tcBorders>
          </w:tcPr>
          <w:p w14:paraId="3D232BBE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Supplier</w:t>
            </w:r>
          </w:p>
        </w:tc>
        <w:tc>
          <w:tcPr>
            <w:tcW w:w="2295" w:type="dxa"/>
            <w:tcBorders>
              <w:top w:val="single" w:sz="18" w:space="0" w:color="auto"/>
              <w:bottom w:val="single" w:sz="18" w:space="0" w:color="auto"/>
            </w:tcBorders>
          </w:tcPr>
          <w:p w14:paraId="0951E06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492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Catalogue number</w:t>
            </w:r>
          </w:p>
        </w:tc>
      </w:tr>
      <w:tr w:rsidR="00506C0D" w:rsidRPr="00814921" w14:paraId="1AEE3185" w14:textId="77777777" w:rsidTr="009B19DE">
        <w:trPr>
          <w:trHeight w:val="372"/>
        </w:trPr>
        <w:tc>
          <w:tcPr>
            <w:tcW w:w="3218" w:type="dxa"/>
            <w:tcBorders>
              <w:top w:val="single" w:sz="18" w:space="0" w:color="auto"/>
            </w:tcBorders>
          </w:tcPr>
          <w:p w14:paraId="0D883BDF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Alexa Fluor 405</w:t>
            </w:r>
          </w:p>
        </w:tc>
        <w:tc>
          <w:tcPr>
            <w:tcW w:w="2521" w:type="dxa"/>
            <w:tcBorders>
              <w:top w:val="single" w:sz="18" w:space="0" w:color="auto"/>
            </w:tcBorders>
          </w:tcPr>
          <w:p w14:paraId="3E6D9DAC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Rabbit IgG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(GFAP)</w:t>
            </w:r>
          </w:p>
        </w:tc>
        <w:tc>
          <w:tcPr>
            <w:tcW w:w="1142" w:type="dxa"/>
            <w:vMerge w:val="restart"/>
            <w:tcBorders>
              <w:top w:val="single" w:sz="18" w:space="0" w:color="auto"/>
            </w:tcBorders>
            <w:vAlign w:val="center"/>
          </w:tcPr>
          <w:p w14:paraId="0E46AA27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Goat IgG</w:t>
            </w:r>
          </w:p>
        </w:tc>
        <w:tc>
          <w:tcPr>
            <w:tcW w:w="2780" w:type="dxa"/>
            <w:vMerge w:val="restart"/>
            <w:tcBorders>
              <w:top w:val="single" w:sz="18" w:space="0" w:color="auto"/>
            </w:tcBorders>
            <w:vAlign w:val="center"/>
          </w:tcPr>
          <w:p w14:paraId="47FA4567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1:100 (2 hours 4</w:t>
            </w:r>
            <w:r w:rsidRPr="00814921">
              <w:rPr>
                <w:rFonts w:ascii="Arial" w:hAnsi="Arial" w:cs="Arial"/>
                <w:sz w:val="22"/>
                <w:szCs w:val="22"/>
                <w:vertAlign w:val="superscript"/>
              </w:rPr>
              <w:t>o</w:t>
            </w:r>
            <w:r w:rsidRPr="00814921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1807" w:type="dxa"/>
            <w:vMerge w:val="restart"/>
            <w:tcBorders>
              <w:top w:val="single" w:sz="18" w:space="0" w:color="auto"/>
            </w:tcBorders>
            <w:vAlign w:val="center"/>
          </w:tcPr>
          <w:p w14:paraId="674552D6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ThermoFisher Scientific</w:t>
            </w:r>
          </w:p>
        </w:tc>
        <w:tc>
          <w:tcPr>
            <w:tcW w:w="2295" w:type="dxa"/>
            <w:tcBorders>
              <w:top w:val="single" w:sz="18" w:space="0" w:color="auto"/>
            </w:tcBorders>
          </w:tcPr>
          <w:p w14:paraId="6987D473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A31556 </w:t>
            </w:r>
          </w:p>
        </w:tc>
      </w:tr>
      <w:tr w:rsidR="00506C0D" w:rsidRPr="00814921" w14:paraId="678786BB" w14:textId="77777777" w:rsidTr="009B19DE">
        <w:trPr>
          <w:trHeight w:val="243"/>
        </w:trPr>
        <w:tc>
          <w:tcPr>
            <w:tcW w:w="3218" w:type="dxa"/>
            <w:vMerge w:val="restart"/>
          </w:tcPr>
          <w:p w14:paraId="3EEE8AD1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Alexa Fluor 488</w:t>
            </w:r>
          </w:p>
          <w:p w14:paraId="6050430C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</w:tcPr>
          <w:p w14:paraId="02291C5F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Mouse IgG2a</w:t>
            </w:r>
            <w:r>
              <w:rPr>
                <w:rFonts w:ascii="Arial" w:hAnsi="Arial" w:cs="Arial"/>
                <w:sz w:val="22"/>
                <w:szCs w:val="22"/>
              </w:rPr>
              <w:t xml:space="preserve"> (Glutamine synthetase or COXI)</w:t>
            </w:r>
          </w:p>
        </w:tc>
        <w:tc>
          <w:tcPr>
            <w:tcW w:w="1142" w:type="dxa"/>
            <w:vMerge/>
          </w:tcPr>
          <w:p w14:paraId="7E322965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656B136F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57D570F3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325AFC23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A21131 </w:t>
            </w:r>
          </w:p>
        </w:tc>
      </w:tr>
      <w:tr w:rsidR="00506C0D" w:rsidRPr="00814921" w14:paraId="076E1E66" w14:textId="77777777" w:rsidTr="009B19DE">
        <w:trPr>
          <w:trHeight w:val="243"/>
        </w:trPr>
        <w:tc>
          <w:tcPr>
            <w:tcW w:w="3218" w:type="dxa"/>
            <w:vMerge/>
          </w:tcPr>
          <w:p w14:paraId="5548A0BA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</w:tcPr>
          <w:p w14:paraId="5E4AF5E1" w14:textId="77777777" w:rsidR="00506C0D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Mouse IgG1</w:t>
            </w:r>
          </w:p>
          <w:p w14:paraId="7CC7B1AB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(GFAP)</w:t>
            </w:r>
          </w:p>
        </w:tc>
        <w:tc>
          <w:tcPr>
            <w:tcW w:w="1142" w:type="dxa"/>
            <w:vMerge/>
          </w:tcPr>
          <w:p w14:paraId="13F7F3C5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2A4F8FC7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494B9C82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74C0118C" w14:textId="77777777" w:rsidR="00506C0D" w:rsidRPr="00814921" w:rsidRDefault="00506C0D" w:rsidP="009B19DE">
            <w:pPr>
              <w:pStyle w:val="NormalWeb"/>
              <w:spacing w:after="120" w:afterAutospacing="0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A21121</w:t>
            </w:r>
          </w:p>
        </w:tc>
      </w:tr>
      <w:tr w:rsidR="00506C0D" w:rsidRPr="00814921" w14:paraId="330C3C3F" w14:textId="77777777" w:rsidTr="009B19DE">
        <w:trPr>
          <w:trHeight w:val="446"/>
        </w:trPr>
        <w:tc>
          <w:tcPr>
            <w:tcW w:w="3218" w:type="dxa"/>
          </w:tcPr>
          <w:p w14:paraId="2690F052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Alexa Fluor 546</w:t>
            </w:r>
          </w:p>
        </w:tc>
        <w:tc>
          <w:tcPr>
            <w:tcW w:w="2521" w:type="dxa"/>
          </w:tcPr>
          <w:p w14:paraId="21603549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Mouse IgG1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(GFAP)</w:t>
            </w:r>
          </w:p>
        </w:tc>
        <w:tc>
          <w:tcPr>
            <w:tcW w:w="1142" w:type="dxa"/>
            <w:vMerge/>
          </w:tcPr>
          <w:p w14:paraId="02E8ED8B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3CED8D91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005CC3A1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01C9BAB4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A21123 </w:t>
            </w:r>
          </w:p>
        </w:tc>
      </w:tr>
      <w:tr w:rsidR="00506C0D" w:rsidRPr="00814921" w14:paraId="651BB0DD" w14:textId="77777777" w:rsidTr="009B19DE">
        <w:trPr>
          <w:trHeight w:val="372"/>
        </w:trPr>
        <w:tc>
          <w:tcPr>
            <w:tcW w:w="3218" w:type="dxa"/>
            <w:vMerge w:val="restart"/>
          </w:tcPr>
          <w:p w14:paraId="77700F3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Alexa Fluor 647</w:t>
            </w:r>
          </w:p>
        </w:tc>
        <w:tc>
          <w:tcPr>
            <w:tcW w:w="2521" w:type="dxa"/>
          </w:tcPr>
          <w:p w14:paraId="2104C933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Rabbit IgG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(AQP4, Kir4.1)</w:t>
            </w:r>
          </w:p>
        </w:tc>
        <w:tc>
          <w:tcPr>
            <w:tcW w:w="1142" w:type="dxa"/>
            <w:vMerge/>
          </w:tcPr>
          <w:p w14:paraId="4FA77055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658D5FAB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7B9C0772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2BD6A8EF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A21242 </w:t>
            </w:r>
          </w:p>
        </w:tc>
      </w:tr>
      <w:tr w:rsidR="00506C0D" w:rsidRPr="00814921" w14:paraId="40CD3CC5" w14:textId="77777777" w:rsidTr="009B19DE">
        <w:trPr>
          <w:trHeight w:val="372"/>
        </w:trPr>
        <w:tc>
          <w:tcPr>
            <w:tcW w:w="3218" w:type="dxa"/>
            <w:vMerge/>
          </w:tcPr>
          <w:p w14:paraId="725CF88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</w:tcPr>
          <w:p w14:paraId="73B768F9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Mouse IgG2b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(Porin)</w:t>
            </w:r>
          </w:p>
        </w:tc>
        <w:tc>
          <w:tcPr>
            <w:tcW w:w="1142" w:type="dxa"/>
            <w:vMerge/>
          </w:tcPr>
          <w:p w14:paraId="5E430421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4C024094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0D743866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3EA4513C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A21244 </w:t>
            </w:r>
          </w:p>
        </w:tc>
      </w:tr>
      <w:tr w:rsidR="00506C0D" w:rsidRPr="00814921" w14:paraId="29537F21" w14:textId="77777777" w:rsidTr="009B19DE">
        <w:trPr>
          <w:trHeight w:val="362"/>
        </w:trPr>
        <w:tc>
          <w:tcPr>
            <w:tcW w:w="3218" w:type="dxa"/>
          </w:tcPr>
          <w:p w14:paraId="1CA1207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Alexa Fluor 546-streptavidin</w:t>
            </w:r>
          </w:p>
        </w:tc>
        <w:tc>
          <w:tcPr>
            <w:tcW w:w="2521" w:type="dxa"/>
          </w:tcPr>
          <w:p w14:paraId="6C675955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Biotin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42" w:type="dxa"/>
            <w:vMerge/>
          </w:tcPr>
          <w:p w14:paraId="53DB057E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vMerge/>
          </w:tcPr>
          <w:p w14:paraId="146E971B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vMerge/>
          </w:tcPr>
          <w:p w14:paraId="71A7A299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</w:tcPr>
          <w:p w14:paraId="4715C5D6" w14:textId="77777777" w:rsidR="00506C0D" w:rsidRPr="00814921" w:rsidRDefault="00506C0D" w:rsidP="009B19DE">
            <w:pPr>
              <w:pStyle w:val="NormalWeb"/>
              <w:spacing w:after="120" w:afterAutospacing="0"/>
              <w:rPr>
                <w:rFonts w:ascii="ArialMT" w:hAnsi="ArialMT"/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>S11225</w:t>
            </w:r>
          </w:p>
        </w:tc>
      </w:tr>
      <w:tr w:rsidR="00506C0D" w:rsidRPr="00814921" w14:paraId="06E7405C" w14:textId="77777777" w:rsidTr="009B19DE">
        <w:trPr>
          <w:trHeight w:val="362"/>
        </w:trPr>
        <w:tc>
          <w:tcPr>
            <w:tcW w:w="3218" w:type="dxa"/>
            <w:tcBorders>
              <w:bottom w:val="single" w:sz="18" w:space="0" w:color="auto"/>
            </w:tcBorders>
          </w:tcPr>
          <w:p w14:paraId="0340ED6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Biotin</w:t>
            </w:r>
          </w:p>
        </w:tc>
        <w:tc>
          <w:tcPr>
            <w:tcW w:w="2521" w:type="dxa"/>
            <w:tcBorders>
              <w:bottom w:val="single" w:sz="18" w:space="0" w:color="auto"/>
            </w:tcBorders>
          </w:tcPr>
          <w:p w14:paraId="6CE06F24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Mouse IgG1</w:t>
            </w:r>
            <w:r>
              <w:rPr>
                <w:rFonts w:ascii="Arial" w:hAnsi="Arial" w:cs="Arial"/>
                <w:sz w:val="22"/>
                <w:szCs w:val="22"/>
              </w:rPr>
              <w:br/>
              <w:t>(NDUFB8)</w:t>
            </w:r>
          </w:p>
        </w:tc>
        <w:tc>
          <w:tcPr>
            <w:tcW w:w="1142" w:type="dxa"/>
            <w:vMerge/>
            <w:tcBorders>
              <w:bottom w:val="single" w:sz="18" w:space="0" w:color="auto"/>
            </w:tcBorders>
          </w:tcPr>
          <w:p w14:paraId="7914B967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0" w:type="dxa"/>
            <w:tcBorders>
              <w:bottom w:val="single" w:sz="18" w:space="0" w:color="auto"/>
            </w:tcBorders>
          </w:tcPr>
          <w:p w14:paraId="2B19A8F8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14921">
              <w:rPr>
                <w:rFonts w:ascii="Arial" w:hAnsi="Arial" w:cs="Arial"/>
                <w:sz w:val="22"/>
                <w:szCs w:val="22"/>
              </w:rPr>
              <w:t>1:200 (room temperature)</w:t>
            </w:r>
          </w:p>
        </w:tc>
        <w:tc>
          <w:tcPr>
            <w:tcW w:w="1807" w:type="dxa"/>
            <w:vMerge/>
            <w:tcBorders>
              <w:bottom w:val="single" w:sz="18" w:space="0" w:color="auto"/>
            </w:tcBorders>
          </w:tcPr>
          <w:p w14:paraId="1273F203" w14:textId="77777777" w:rsidR="00506C0D" w:rsidRPr="00814921" w:rsidRDefault="00506C0D" w:rsidP="009B19D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  <w:tcBorders>
              <w:bottom w:val="single" w:sz="18" w:space="0" w:color="auto"/>
            </w:tcBorders>
          </w:tcPr>
          <w:p w14:paraId="05180E3F" w14:textId="77777777" w:rsidR="00506C0D" w:rsidRPr="00814921" w:rsidRDefault="00506C0D" w:rsidP="009B19DE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 w:rsidRPr="00814921">
              <w:rPr>
                <w:rFonts w:ascii="ArialMT" w:hAnsi="ArialMT"/>
                <w:sz w:val="22"/>
                <w:szCs w:val="22"/>
              </w:rPr>
              <w:t xml:space="preserve">A10519 </w:t>
            </w:r>
          </w:p>
        </w:tc>
      </w:tr>
    </w:tbl>
    <w:p w14:paraId="709CC91C" w14:textId="77777777" w:rsidR="00506C0D" w:rsidRDefault="00506C0D" w:rsidP="00506C0D">
      <w:pPr>
        <w:spacing w:line="480" w:lineRule="auto"/>
        <w:rPr>
          <w:rFonts w:ascii="Arial" w:hAnsi="Arial" w:cs="Arial"/>
        </w:rPr>
      </w:pPr>
    </w:p>
    <w:p w14:paraId="49DC2025" w14:textId="77777777" w:rsidR="00506C0D" w:rsidRDefault="00506C0D" w:rsidP="00506C0D">
      <w:pPr>
        <w:spacing w:line="480" w:lineRule="auto"/>
        <w:jc w:val="both"/>
        <w:rPr>
          <w:rFonts w:ascii="Arial" w:hAnsi="Arial" w:cs="Arial"/>
          <w:b/>
          <w:bCs/>
          <w:sz w:val="22"/>
        </w:rPr>
      </w:pPr>
      <w:r w:rsidRPr="00964045">
        <w:rPr>
          <w:rFonts w:ascii="Arial" w:hAnsi="Arial" w:cs="Arial"/>
          <w:b/>
          <w:bCs/>
          <w:sz w:val="22"/>
        </w:rPr>
        <w:t xml:space="preserve">Multiplex immunofluorescence experiments: </w:t>
      </w:r>
    </w:p>
    <w:p w14:paraId="1CCA17B7" w14:textId="77777777" w:rsidR="00506C0D" w:rsidRDefault="00506C0D" w:rsidP="00506C0D">
      <w:pPr>
        <w:spacing w:line="480" w:lineRule="auto"/>
        <w:jc w:val="both"/>
        <w:rPr>
          <w:rFonts w:ascii="Arial" w:hAnsi="Arial" w:cs="Arial"/>
          <w:bCs/>
          <w:sz w:val="22"/>
        </w:rPr>
      </w:pPr>
      <w:r w:rsidRPr="00964045">
        <w:rPr>
          <w:rFonts w:ascii="Arial" w:hAnsi="Arial" w:cs="Arial"/>
          <w:b/>
          <w:bCs/>
          <w:sz w:val="22"/>
        </w:rPr>
        <w:t xml:space="preserve">(1) </w:t>
      </w:r>
      <w:r w:rsidRPr="00964045">
        <w:rPr>
          <w:rFonts w:ascii="Arial" w:hAnsi="Arial" w:cs="Arial"/>
          <w:bCs/>
          <w:sz w:val="22"/>
        </w:rPr>
        <w:t>GFAP</w:t>
      </w:r>
      <w:r>
        <w:rPr>
          <w:rFonts w:ascii="Arial" w:hAnsi="Arial" w:cs="Arial"/>
          <w:bCs/>
          <w:sz w:val="22"/>
        </w:rPr>
        <w:t xml:space="preserve"> (405nm),</w:t>
      </w:r>
      <w:r w:rsidRPr="00964045">
        <w:rPr>
          <w:rFonts w:ascii="Arial" w:hAnsi="Arial" w:cs="Arial"/>
          <w:bCs/>
          <w:sz w:val="22"/>
        </w:rPr>
        <w:t xml:space="preserve"> COXI</w:t>
      </w:r>
      <w:r>
        <w:rPr>
          <w:rFonts w:ascii="Arial" w:hAnsi="Arial" w:cs="Arial"/>
          <w:bCs/>
          <w:sz w:val="22"/>
        </w:rPr>
        <w:t xml:space="preserve"> (488nm)</w:t>
      </w:r>
      <w:r w:rsidRPr="00964045">
        <w:rPr>
          <w:rFonts w:ascii="Arial" w:hAnsi="Arial" w:cs="Arial"/>
          <w:bCs/>
          <w:sz w:val="22"/>
        </w:rPr>
        <w:t>,</w:t>
      </w:r>
      <w:r>
        <w:rPr>
          <w:rFonts w:ascii="Arial" w:hAnsi="Arial" w:cs="Arial"/>
          <w:bCs/>
          <w:sz w:val="22"/>
        </w:rPr>
        <w:t xml:space="preserve"> NDUFB8 (546nm),</w:t>
      </w:r>
      <w:r w:rsidRPr="00964045">
        <w:rPr>
          <w:rFonts w:ascii="Arial" w:hAnsi="Arial" w:cs="Arial"/>
          <w:bCs/>
          <w:sz w:val="22"/>
        </w:rPr>
        <w:t xml:space="preserve"> Porin</w:t>
      </w:r>
      <w:r>
        <w:rPr>
          <w:rFonts w:ascii="Arial" w:hAnsi="Arial" w:cs="Arial"/>
          <w:bCs/>
          <w:sz w:val="22"/>
        </w:rPr>
        <w:t xml:space="preserve"> (647nm)</w:t>
      </w:r>
    </w:p>
    <w:p w14:paraId="0FFC8D04" w14:textId="77777777" w:rsidR="00506C0D" w:rsidRDefault="00506C0D" w:rsidP="00506C0D">
      <w:pPr>
        <w:spacing w:line="480" w:lineRule="auto"/>
        <w:jc w:val="both"/>
        <w:rPr>
          <w:rFonts w:ascii="Arial" w:hAnsi="Arial" w:cs="Arial"/>
          <w:b/>
          <w:bCs/>
          <w:sz w:val="22"/>
        </w:rPr>
      </w:pPr>
      <w:r w:rsidRPr="00964045">
        <w:rPr>
          <w:rFonts w:ascii="Arial" w:hAnsi="Arial" w:cs="Arial"/>
          <w:b/>
          <w:bCs/>
          <w:sz w:val="22"/>
        </w:rPr>
        <w:t>(2)</w:t>
      </w:r>
      <w:r w:rsidRPr="00203FF7">
        <w:rPr>
          <w:rFonts w:ascii="Arial" w:hAnsi="Arial" w:cs="Arial"/>
          <w:bCs/>
          <w:sz w:val="22"/>
        </w:rPr>
        <w:t xml:space="preserve"> </w:t>
      </w:r>
      <w:r w:rsidRPr="00964045">
        <w:rPr>
          <w:rFonts w:ascii="Arial" w:hAnsi="Arial" w:cs="Arial"/>
          <w:bCs/>
          <w:sz w:val="22"/>
        </w:rPr>
        <w:t>Hoechst</w:t>
      </w:r>
      <w:r>
        <w:rPr>
          <w:rFonts w:ascii="Arial" w:hAnsi="Arial" w:cs="Arial"/>
          <w:bCs/>
          <w:sz w:val="22"/>
        </w:rPr>
        <w:t>,</w:t>
      </w:r>
      <w:r w:rsidRPr="00964045">
        <w:rPr>
          <w:rFonts w:ascii="Arial" w:hAnsi="Arial" w:cs="Arial"/>
          <w:bCs/>
          <w:sz w:val="22"/>
        </w:rPr>
        <w:t xml:space="preserve"> Glutamine synthetase </w:t>
      </w:r>
      <w:r>
        <w:rPr>
          <w:rFonts w:ascii="Arial" w:hAnsi="Arial" w:cs="Arial"/>
          <w:bCs/>
          <w:sz w:val="22"/>
        </w:rPr>
        <w:t xml:space="preserve">(488nm), </w:t>
      </w:r>
      <w:r w:rsidRPr="00964045">
        <w:rPr>
          <w:rFonts w:ascii="Arial" w:hAnsi="Arial" w:cs="Arial"/>
          <w:bCs/>
          <w:sz w:val="22"/>
        </w:rPr>
        <w:t xml:space="preserve">GFAP, </w:t>
      </w:r>
      <w:r>
        <w:rPr>
          <w:rFonts w:ascii="Arial" w:hAnsi="Arial" w:cs="Arial"/>
          <w:bCs/>
          <w:sz w:val="22"/>
        </w:rPr>
        <w:t>(546nm)</w:t>
      </w:r>
      <w:r w:rsidRPr="00964045">
        <w:rPr>
          <w:rFonts w:ascii="Arial" w:hAnsi="Arial" w:cs="Arial"/>
          <w:bCs/>
          <w:sz w:val="22"/>
        </w:rPr>
        <w:t>, AQP</w:t>
      </w:r>
      <w:r>
        <w:rPr>
          <w:rFonts w:ascii="Arial" w:hAnsi="Arial" w:cs="Arial"/>
          <w:bCs/>
          <w:sz w:val="22"/>
        </w:rPr>
        <w:t>4 (647nm)</w:t>
      </w:r>
    </w:p>
    <w:p w14:paraId="7941C77E" w14:textId="613CEDC4" w:rsidR="006502FB" w:rsidRPr="00AA6BE2" w:rsidRDefault="00506C0D" w:rsidP="00AA6BE2">
      <w:pPr>
        <w:spacing w:line="480" w:lineRule="auto"/>
        <w:jc w:val="both"/>
        <w:rPr>
          <w:rFonts w:ascii="Arial" w:hAnsi="Arial" w:cs="Arial"/>
          <w:bCs/>
          <w:sz w:val="22"/>
        </w:rPr>
      </w:pPr>
      <w:r w:rsidRPr="00964045">
        <w:rPr>
          <w:rFonts w:ascii="Arial" w:hAnsi="Arial" w:cs="Arial"/>
          <w:b/>
          <w:bCs/>
          <w:sz w:val="22"/>
        </w:rPr>
        <w:t xml:space="preserve">(3) </w:t>
      </w:r>
      <w:r w:rsidRPr="00964045">
        <w:rPr>
          <w:rFonts w:ascii="Arial" w:hAnsi="Arial" w:cs="Arial"/>
          <w:bCs/>
          <w:sz w:val="22"/>
        </w:rPr>
        <w:t>Hoechst</w:t>
      </w:r>
      <w:r>
        <w:rPr>
          <w:rFonts w:ascii="Arial" w:hAnsi="Arial" w:cs="Arial"/>
          <w:bCs/>
          <w:sz w:val="22"/>
        </w:rPr>
        <w:t xml:space="preserve">, </w:t>
      </w:r>
      <w:r w:rsidRPr="00964045">
        <w:rPr>
          <w:rFonts w:ascii="Arial" w:hAnsi="Arial" w:cs="Arial"/>
          <w:bCs/>
          <w:sz w:val="22"/>
        </w:rPr>
        <w:t>GFAP</w:t>
      </w:r>
      <w:r>
        <w:rPr>
          <w:rFonts w:ascii="Arial" w:hAnsi="Arial" w:cs="Arial"/>
          <w:bCs/>
          <w:sz w:val="22"/>
        </w:rPr>
        <w:t xml:space="preserve"> (488nm)</w:t>
      </w:r>
      <w:r w:rsidRPr="00964045">
        <w:rPr>
          <w:rFonts w:ascii="Arial" w:hAnsi="Arial" w:cs="Arial"/>
          <w:bCs/>
          <w:sz w:val="22"/>
        </w:rPr>
        <w:t>, K</w:t>
      </w:r>
      <w:r>
        <w:rPr>
          <w:rFonts w:ascii="Arial" w:hAnsi="Arial" w:cs="Arial"/>
          <w:bCs/>
          <w:sz w:val="22"/>
        </w:rPr>
        <w:t>ir4.1 (647nm)</w:t>
      </w:r>
    </w:p>
    <w:sectPr w:rsidR="006502FB" w:rsidRPr="00AA6BE2" w:rsidSect="00AA6BE2">
      <w:pgSz w:w="16817" w:h="11901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0D"/>
    <w:rsid w:val="00155CB5"/>
    <w:rsid w:val="004F3EFE"/>
    <w:rsid w:val="00506C0D"/>
    <w:rsid w:val="005E2973"/>
    <w:rsid w:val="006502FB"/>
    <w:rsid w:val="008A012A"/>
    <w:rsid w:val="00AA6BE2"/>
    <w:rsid w:val="00C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3C727"/>
  <w15:chartTrackingRefBased/>
  <w15:docId w15:val="{DAE229F4-B2D8-43BB-BE96-289626C6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6C0D"/>
    <w:pPr>
      <w:spacing w:after="0" w:line="240" w:lineRule="auto"/>
    </w:pPr>
    <w:rPr>
      <w:rFonts w:eastAsia="SimSu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6C0D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50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Laura Alexandra Smith</cp:lastModifiedBy>
  <cp:revision>3</cp:revision>
  <dcterms:created xsi:type="dcterms:W3CDTF">2023-05-24T15:23:00Z</dcterms:created>
  <dcterms:modified xsi:type="dcterms:W3CDTF">2023-05-25T09:54:00Z</dcterms:modified>
</cp:coreProperties>
</file>