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png" ContentType="image/png"/>
  <Override PartName="/word/media/image10.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rPr>
          <w:rFonts w:ascii="Times New Roman" w:hAnsi="Times New Roman" w:cs="Times New Roman"/>
          <w:b/>
          <w:bCs/>
          <w:sz w:val="32"/>
          <w:lang w:val="en-GB"/>
        </w:rPr>
      </w:pPr>
      <w:r>
        <w:rPr>
          <w:rFonts w:cs="Times New Roman" w:ascii="Times New Roman" w:hAnsi="Times New Roman"/>
          <w:b/>
          <w:bCs/>
          <w:sz w:val="32"/>
          <w:lang w:val="en-GB"/>
        </w:rPr>
        <w:t>Supplementary figures</w:t>
      </w:r>
    </w:p>
    <w:p>
      <w:pPr>
        <w:pStyle w:val="Normal"/>
        <w:spacing w:lineRule="auto" w:line="360"/>
        <w:jc w:val="center"/>
        <w:rPr>
          <w:rFonts w:ascii="Times New Roman" w:hAnsi="Times New Roman" w:cs="Times New Roman"/>
          <w:b/>
          <w:bCs/>
          <w:sz w:val="32"/>
          <w:lang w:val="en-GB"/>
        </w:rPr>
      </w:pPr>
      <w:r>
        <w:rPr/>
        <w:drawing>
          <wp:inline distT="0" distB="0" distL="0" distR="0">
            <wp:extent cx="3420110" cy="4077970"/>
            <wp:effectExtent l="0" t="0" r="0" b="0"/>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2"/>
                    <a:stretch>
                      <a:fillRect/>
                    </a:stretch>
                  </pic:blipFill>
                  <pic:spPr bwMode="auto">
                    <a:xfrm>
                      <a:off x="0" y="0"/>
                      <a:ext cx="3420110" cy="4077970"/>
                    </a:xfrm>
                    <a:prstGeom prst="rect">
                      <a:avLst/>
                    </a:prstGeom>
                  </pic:spPr>
                </pic:pic>
              </a:graphicData>
            </a:graphic>
          </wp:inline>
        </w:drawing>
      </w:r>
    </w:p>
    <w:p>
      <w:pPr>
        <w:pStyle w:val="Normal"/>
        <w:spacing w:lineRule="auto" w:line="360"/>
        <w:rPr>
          <w:rFonts w:ascii="Times New Roman" w:hAnsi="Times New Roman" w:cs="Times New Roman"/>
          <w:bCs/>
          <w:szCs w:val="24"/>
          <w:lang w:val="en-US"/>
        </w:rPr>
      </w:pPr>
      <w:r>
        <w:rPr>
          <w:rFonts w:cs="Times New Roman" w:ascii="Times New Roman" w:hAnsi="Times New Roman"/>
          <w:b/>
          <w:bCs/>
          <w:szCs w:val="24"/>
          <w:lang w:val="en-US"/>
        </w:rPr>
        <w:t>Fig. S1 Cortical layers and placement of ROIs within minicolumns</w:t>
      </w:r>
      <w:r>
        <w:rPr>
          <w:rFonts w:cs="Times New Roman" w:ascii="Times New Roman" w:hAnsi="Times New Roman"/>
          <w:bCs/>
          <w:szCs w:val="24"/>
          <w:lang w:val="en-US"/>
        </w:rPr>
        <w:t>. Cortical layers (I-VI) were clearly distinguishable in the DAPI overview, up to the start of the white matter (WM). ROIs were placed in layer III and layer V-VI within the same mini-column.</w:t>
      </w:r>
    </w:p>
    <w:p>
      <w:pPr>
        <w:pStyle w:val="Normal"/>
        <w:spacing w:lineRule="auto" w:line="360"/>
        <w:rPr>
          <w:rFonts w:ascii="Times New Roman" w:hAnsi="Times New Roman" w:cs="Times New Roman"/>
          <w:b/>
          <w:bCs/>
          <w:sz w:val="32"/>
          <w:lang w:val="en-GB"/>
        </w:rPr>
      </w:pPr>
      <w:r>
        <w:rPr/>
        <w:drawing>
          <wp:inline distT="0" distB="0" distL="0" distR="0">
            <wp:extent cx="6120130" cy="1789430"/>
            <wp:effectExtent l="0" t="0" r="0" b="0"/>
            <wp:docPr id="2"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1" descr=""/>
                    <pic:cNvPicPr>
                      <a:picLocks noChangeAspect="1" noChangeArrowheads="1"/>
                    </pic:cNvPicPr>
                  </pic:nvPicPr>
                  <pic:blipFill>
                    <a:blip r:embed="rId3"/>
                    <a:stretch>
                      <a:fillRect/>
                    </a:stretch>
                  </pic:blipFill>
                  <pic:spPr bwMode="auto">
                    <a:xfrm>
                      <a:off x="0" y="0"/>
                      <a:ext cx="6120130" cy="1789430"/>
                    </a:xfrm>
                    <a:prstGeom prst="rect">
                      <a:avLst/>
                    </a:prstGeom>
                  </pic:spPr>
                </pic:pic>
              </a:graphicData>
            </a:graphic>
          </wp:inline>
        </w:drawing>
      </w:r>
    </w:p>
    <w:p>
      <w:pPr>
        <w:pStyle w:val="Normal"/>
        <w:spacing w:lineRule="auto" w:line="360"/>
        <w:rPr>
          <w:rFonts w:ascii="Times New Roman" w:hAnsi="Times New Roman" w:cs="Times New Roman"/>
          <w:bCs/>
          <w:i/>
          <w:i/>
          <w:szCs w:val="24"/>
          <w:lang w:val="en-US"/>
        </w:rPr>
      </w:pPr>
      <w:r>
        <w:rPr>
          <w:rFonts w:cs="Times New Roman" w:ascii="Times New Roman" w:hAnsi="Times New Roman"/>
          <w:b/>
          <w:bCs/>
          <w:szCs w:val="24"/>
          <w:lang w:val="en-US"/>
        </w:rPr>
        <w:t>Fig. S2 Example of artifact removal by masking. (A)</w:t>
      </w:r>
      <w:r>
        <w:rPr>
          <w:rFonts w:cs="Times New Roman" w:ascii="Times New Roman" w:hAnsi="Times New Roman"/>
          <w:bCs/>
          <w:szCs w:val="24"/>
          <w:lang w:val="en-US"/>
        </w:rPr>
        <w:t xml:space="preserve"> shows a deconvoluted image of the SV2A staining, with SV2A+ puncta in green, DAPI (nuclei) in blue, and autofluorescence (AF) signal in yellow. This image came with an artifact (arrow), which caused an increased signal intensity in the bottom left of the image. </w:t>
      </w:r>
      <w:r>
        <w:rPr>
          <w:rFonts w:cs="Times New Roman" w:ascii="Times New Roman" w:hAnsi="Times New Roman"/>
          <w:b/>
          <w:bCs/>
          <w:szCs w:val="24"/>
          <w:lang w:val="en-US"/>
        </w:rPr>
        <w:t>(B)</w:t>
      </w:r>
      <w:r>
        <w:rPr>
          <w:rFonts w:cs="Times New Roman" w:ascii="Times New Roman" w:hAnsi="Times New Roman"/>
          <w:bCs/>
          <w:szCs w:val="24"/>
          <w:lang w:val="en-US"/>
        </w:rPr>
        <w:t xml:space="preserve"> In the analysis pipeline, we thresholded and masked the synaptic green signal to identify areas with high intensity signal, therefore creating an ‘artifacts mask’ (in blue, arrow). </w:t>
      </w:r>
      <w:r>
        <w:rPr>
          <w:rFonts w:cs="Times New Roman" w:ascii="Times New Roman" w:hAnsi="Times New Roman"/>
          <w:b/>
          <w:bCs/>
          <w:szCs w:val="24"/>
          <w:lang w:val="en-US"/>
        </w:rPr>
        <w:t>(C)</w:t>
      </w:r>
      <w:r>
        <w:rPr>
          <w:rFonts w:cs="Times New Roman" w:ascii="Times New Roman" w:hAnsi="Times New Roman"/>
          <w:bCs/>
          <w:szCs w:val="24"/>
          <w:lang w:val="en-US"/>
        </w:rPr>
        <w:t xml:space="preserve"> The artifacts mask was added to the other masks (in orange, arrow) based on DAPI, autofluorescence and holes in the tissue (see </w:t>
      </w:r>
      <w:r>
        <w:rPr>
          <w:rFonts w:cs="Times New Roman" w:ascii="Times New Roman" w:hAnsi="Times New Roman"/>
          <w:b/>
          <w:bCs/>
          <w:szCs w:val="24"/>
          <w:lang w:val="en-US"/>
        </w:rPr>
        <w:t>Fig. 1</w:t>
      </w:r>
      <w:r>
        <w:rPr>
          <w:rFonts w:cs="Times New Roman" w:ascii="Times New Roman" w:hAnsi="Times New Roman"/>
          <w:bCs/>
          <w:szCs w:val="24"/>
          <w:lang w:val="en-US"/>
        </w:rPr>
        <w:t xml:space="preserve"> for details), so that it would be excluded from the neuropil mask. </w:t>
      </w:r>
      <w:r>
        <w:rPr>
          <w:rFonts w:cs="Times New Roman" w:ascii="Times New Roman" w:hAnsi="Times New Roman"/>
          <w:b/>
          <w:bCs/>
          <w:szCs w:val="24"/>
          <w:lang w:val="en-US"/>
        </w:rPr>
        <w:t>(D)</w:t>
      </w:r>
      <w:r>
        <w:rPr>
          <w:rFonts w:cs="Times New Roman" w:ascii="Times New Roman" w:hAnsi="Times New Roman"/>
          <w:bCs/>
          <w:szCs w:val="24"/>
          <w:lang w:val="en-US"/>
        </w:rPr>
        <w:t xml:space="preserve"> Finally, the bright-spot function was run on the neuropil mask (inverted compared to </w:t>
      </w:r>
      <w:r>
        <w:rPr>
          <w:rFonts w:cs="Times New Roman" w:ascii="Times New Roman" w:hAnsi="Times New Roman"/>
          <w:b/>
          <w:bCs/>
          <w:szCs w:val="24"/>
          <w:lang w:val="en-US"/>
        </w:rPr>
        <w:t>(C)</w:t>
      </w:r>
      <w:r>
        <w:rPr>
          <w:rFonts w:cs="Times New Roman" w:ascii="Times New Roman" w:hAnsi="Times New Roman"/>
          <w:bCs/>
          <w:szCs w:val="24"/>
          <w:lang w:val="en-US"/>
        </w:rPr>
        <w:t xml:space="preserve">), and SV2A+ puncta (in purple) were counted over the neuropil volume excluding also the artifact (arrow indicates artifact excluded). </w:t>
      </w:r>
      <w:r>
        <w:rPr>
          <w:rFonts w:cs="Times New Roman" w:ascii="Times New Roman" w:hAnsi="Times New Roman"/>
          <w:b/>
          <w:bCs/>
          <w:szCs w:val="24"/>
          <w:lang w:val="en-US"/>
        </w:rPr>
        <w:t>Legend</w:t>
      </w:r>
      <w:r>
        <w:rPr>
          <w:rFonts w:cs="Times New Roman" w:ascii="Times New Roman" w:hAnsi="Times New Roman"/>
          <w:bCs/>
          <w:szCs w:val="24"/>
          <w:lang w:val="en-US"/>
        </w:rPr>
        <w:t xml:space="preserve">: </w:t>
      </w:r>
      <w:r>
        <w:rPr>
          <w:rFonts w:cs="Times New Roman" w:ascii="Times New Roman" w:hAnsi="Times New Roman"/>
          <w:bCs/>
          <w:i/>
          <w:szCs w:val="24"/>
          <w:lang w:val="en-US"/>
        </w:rPr>
        <w:t>AF: autofluorescence.</w:t>
      </w:r>
    </w:p>
    <w:p>
      <w:pPr>
        <w:pStyle w:val="Normal"/>
        <w:spacing w:lineRule="auto" w:line="360"/>
        <w:jc w:val="center"/>
        <w:rPr>
          <w:rFonts w:ascii="Times New Roman" w:hAnsi="Times New Roman" w:cs="Times New Roman"/>
          <w:b/>
          <w:bCs/>
          <w:sz w:val="32"/>
          <w:lang w:val="en-GB"/>
        </w:rPr>
      </w:pPr>
      <w:r>
        <w:rPr/>
        <w:drawing>
          <wp:inline distT="0" distB="0" distL="0" distR="0">
            <wp:extent cx="6120130" cy="3397885"/>
            <wp:effectExtent l="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
                    <pic:cNvPicPr>
                      <a:picLocks noChangeAspect="1" noChangeArrowheads="1"/>
                    </pic:cNvPicPr>
                  </pic:nvPicPr>
                  <pic:blipFill>
                    <a:blip r:embed="rId4"/>
                    <a:stretch>
                      <a:fillRect/>
                    </a:stretch>
                  </pic:blipFill>
                  <pic:spPr bwMode="auto">
                    <a:xfrm>
                      <a:off x="0" y="0"/>
                      <a:ext cx="6120130" cy="3397885"/>
                    </a:xfrm>
                    <a:prstGeom prst="rect">
                      <a:avLst/>
                    </a:prstGeom>
                  </pic:spPr>
                </pic:pic>
              </a:graphicData>
            </a:graphic>
          </wp:inline>
        </w:drawing>
      </w:r>
    </w:p>
    <w:p>
      <w:pPr>
        <w:pStyle w:val="Normal"/>
        <w:spacing w:lineRule="auto" w:line="360"/>
        <w:rPr>
          <w:rFonts w:ascii="Times New Roman" w:hAnsi="Times New Roman" w:cs="Times New Roman"/>
          <w:szCs w:val="24"/>
          <w:lang w:val="en-US"/>
        </w:rPr>
      </w:pPr>
      <w:r>
        <w:rPr>
          <w:rFonts w:cs="Times New Roman" w:ascii="Times New Roman" w:hAnsi="Times New Roman"/>
          <w:b/>
          <w:bCs/>
          <w:szCs w:val="24"/>
          <w:lang w:val="en-US"/>
        </w:rPr>
        <w:t>Fig. S3 Bright-field and fluorescence hippocampal segmentation of entorhinal cortex, parahippocampal and fusiform gyrus</w:t>
      </w:r>
      <w:r>
        <w:rPr>
          <w:rFonts w:cs="Times New Roman" w:ascii="Times New Roman" w:hAnsi="Times New Roman"/>
          <w:bCs/>
          <w:szCs w:val="24"/>
          <w:lang w:val="en-US"/>
        </w:rPr>
        <w:t xml:space="preserve">. </w:t>
      </w:r>
      <w:r>
        <w:rPr>
          <w:rFonts w:cs="Times New Roman" w:ascii="Times New Roman" w:hAnsi="Times New Roman"/>
          <w:szCs w:val="24"/>
          <w:lang w:val="en-US"/>
        </w:rPr>
        <w:t xml:space="preserve">Hippocampal sections were segmented according to the method described by Adler et al. </w:t>
      </w:r>
      <w:r>
        <w:fldChar w:fldCharType="begin"/>
      </w:r>
      <w:r>
        <w:rPr>
          <w:szCs w:val="24"/>
          <w:rFonts w:cs="Times New Roman" w:ascii="Times New Roman" w:hAnsi="Times New Roman"/>
          <w:lang w:val="en-US"/>
        </w:rPr>
        <w:instrText xml:space="preserve">ADDIN EN.CITE &lt;EndNote&gt;&lt;Cite&gt;&lt;Author&gt;Adler&lt;/Author&gt;&lt;Year&gt;2014&lt;/Year&gt;&lt;RecNum&gt;47&lt;/RecNum&gt;&lt;DisplayText&gt;[1]&lt;/DisplayText&gt;&lt;record&gt;&lt;rec-number&gt;47&lt;/rec-number&gt;&lt;foreign-keys&gt;&lt;key app="EN" db-id="t5dawedaws09wuewvd6xxaaqsvzszv2zafds" timestamp="1657892332"&gt;47&lt;/key&gt;&lt;/foreign-keys&gt;&lt;ref-type name="Journal Article"&gt;17&lt;/ref-type&gt;&lt;contributors&gt;&lt;authors&gt;&lt;author&gt;Adler, Daniel H&lt;/author&gt;&lt;author&gt;Pluta, John&lt;/author&gt;&lt;author&gt;Kadivar, Salmon&lt;/author&gt;&lt;author&gt;Craige, Caryne&lt;/author&gt;&lt;author&gt;Gee, James C&lt;/author&gt;&lt;author&gt;Avants, Brian B&lt;/author&gt;&lt;author&gt;Yushkevich, Paul A&lt;/author&gt;&lt;/authors&gt;&lt;/contributors&gt;&lt;titles&gt;&lt;title&gt;Histology-derived volumetric annotation of the human hippocampal subfields in postmortem MRI&lt;/title&gt;&lt;secondary-title&gt;Neuroimage&lt;/secondary-title&gt;&lt;/titles&gt;&lt;periodical&gt;&lt;full-title&gt;Neuroimage&lt;/full-title&gt;&lt;/periodical&gt;&lt;pages&gt;505-523&lt;/pages&gt;&lt;volume&gt;84&lt;/volume&gt;&lt;dates&gt;&lt;year&gt;2014&lt;/year&gt;&lt;/dates&gt;&lt;isbn&gt;1053-8119&lt;/isbn&gt;&lt;urls&gt;&lt;/urls&gt;&lt;/record&gt;&lt;/Cite&gt;&lt;/EndNote&gt;</w:instrText>
      </w:r>
      <w:r>
        <w:rPr>
          <w:rFonts w:cs="Times New Roman" w:ascii="Times New Roman" w:hAnsi="Times New Roman"/>
          <w:szCs w:val="24"/>
          <w:lang w:val="en-US"/>
        </w:rPr>
      </w:r>
      <w:r>
        <w:rPr>
          <w:szCs w:val="24"/>
          <w:rFonts w:cs="Times New Roman" w:ascii="Times New Roman" w:hAnsi="Times New Roman"/>
          <w:lang w:val="en-US"/>
        </w:rPr>
        <w:fldChar w:fldCharType="separate"/>
      </w:r>
      <w:r>
        <w:rPr>
          <w:rFonts w:cs="Times New Roman" w:ascii="Times New Roman" w:hAnsi="Times New Roman"/>
          <w:szCs w:val="24"/>
          <w:lang w:val="en-US"/>
        </w:rPr>
        <w:t>[1]</w:t>
      </w:r>
      <w:r>
        <w:rPr>
          <w:rFonts w:cs="Times New Roman" w:ascii="Times New Roman" w:hAnsi="Times New Roman"/>
          <w:szCs w:val="24"/>
          <w:lang w:val="en-US"/>
        </w:rPr>
      </w:r>
      <w:r>
        <w:rPr>
          <w:szCs w:val="24"/>
          <w:rFonts w:cs="Times New Roman" w:ascii="Times New Roman" w:hAnsi="Times New Roman"/>
          <w:lang w:val="en-US"/>
        </w:rPr>
        <w:fldChar w:fldCharType="end"/>
      </w:r>
      <w:r>
        <w:rPr>
          <w:rFonts w:cs="Times New Roman" w:ascii="Times New Roman" w:hAnsi="Times New Roman"/>
          <w:szCs w:val="24"/>
          <w:lang w:val="en-US"/>
        </w:rPr>
        <w:t xml:space="preserve"> (on the left), where the entorhinal cortex (green), parahippocampal gyrus (yellow) and fusiform gyrus (pink) were delineated based on hematoxylin signal, and separated at the interface between layer III and VI (red line), to create superficial (I-III) and deep cortical layers ROIs (IV-VI). Briefly, in bright-field stainings (left) the entorhinal cortex was delineated from the end of the parasubiculum until layer IV started being visible </w:t>
      </w:r>
      <w:r>
        <w:fldChar w:fldCharType="begin"/>
      </w:r>
      <w:r>
        <w:rPr>
          <w:szCs w:val="24"/>
          <w:rFonts w:cs="Times New Roman" w:ascii="Times New Roman" w:hAnsi="Times New Roman"/>
          <w:lang w:val="en-US"/>
        </w:rPr>
        <w:instrText xml:space="preserve">ADDIN EN.CITE &lt;EndNote&gt;&lt;Cite&gt;&lt;Author&gt;Insausti&lt;/Author&gt;&lt;Year&gt;2017&lt;/Year&gt;&lt;RecNum&gt;94&lt;/RecNum&gt;&lt;DisplayText&gt;[2]&lt;/DisplayText&gt;&lt;record&gt;&lt;rec-number&gt;94&lt;/rec-number&gt;&lt;foreign-keys&gt;&lt;key app="EN" db-id="fs000e908ptxw8etrfjxrzvwrpeawwxfd92t" timestamp="1660201566"&gt;94&lt;/key&gt;&lt;/foreign-keys&gt;&lt;ref-type name="Journal Article"&gt;17&lt;/ref-type&gt;&lt;contributors&gt;&lt;authors&gt;&lt;author&gt;Insausti, R.&lt;/author&gt;&lt;author&gt;Munoz-Lopez, M.&lt;/author&gt;&lt;author&gt;Insausti, A. M.&lt;/author&gt;&lt;author&gt;Artacho-Perula, E.&lt;/author&gt;&lt;/authors&gt;&lt;/contributors&gt;&lt;auth-address&gt;Human Neuroanatomy Laboratory, School of Medicine, University of Castilla-La Mancha, Albacete, Spain.&amp;#xD;Department of Health Sciences, Physical Therapy School, Public University of Navarra, Tudela, Spain.&lt;/auth-address&gt;&lt;titles&gt;&lt;title&gt;The Human Periallocortex: Layer Pattern in Presubiculum, Parasubiculum and Entorhinal Cortex. A Review&lt;/title&gt;&lt;secondary-title&gt;Front Neuroanat&lt;/secondary-title&gt;&lt;/titles&gt;&lt;pages&gt;84&lt;/pages&gt;&lt;volume&gt;11&lt;/volume&gt;&lt;edition&gt;2017/10/20&lt;/edition&gt;&lt;keywords&gt;&lt;keyword&gt;entorhinal cortex&lt;/keyword&gt;&lt;keyword&gt;human&lt;/keyword&gt;&lt;keyword&gt;layer pattern&lt;/keyword&gt;&lt;keyword&gt;parasubiculum&lt;/keyword&gt;&lt;keyword&gt;presubiculum&lt;/keyword&gt;&lt;/keywords&gt;&lt;dates&gt;&lt;year&gt;2017&lt;/year&gt;&lt;/dates&gt;&lt;isbn&gt;1662-5129 (Print)&amp;#xD;1662-5129 (Linking)&lt;/isbn&gt;&lt;accession-num&gt;29046628&lt;/accession-num&gt;&lt;urls&gt;&lt;related-urls&gt;&lt;url&gt;https://www.ncbi.nlm.nih.gov/pubmed/29046628&lt;/url&gt;&lt;/related-urls&gt;&lt;/urls&gt;&lt;custom2&gt;PMC5632821&lt;/custom2&gt;&lt;electronic-resource-num&gt;10.3389/fnana.2017.00084&lt;/electronic-resource-num&gt;&lt;/record&gt;&lt;/Cite&gt;&lt;/EndNote&gt;</w:instrText>
      </w:r>
      <w:r>
        <w:rPr>
          <w:rFonts w:cs="Times New Roman" w:ascii="Times New Roman" w:hAnsi="Times New Roman"/>
          <w:szCs w:val="24"/>
          <w:lang w:val="en-US"/>
        </w:rPr>
      </w:r>
      <w:r>
        <w:rPr>
          <w:szCs w:val="24"/>
          <w:rFonts w:cs="Times New Roman" w:ascii="Times New Roman" w:hAnsi="Times New Roman"/>
          <w:lang w:val="en-US"/>
        </w:rPr>
        <w:fldChar w:fldCharType="separate"/>
      </w:r>
      <w:r>
        <w:rPr>
          <w:rFonts w:cs="Times New Roman" w:ascii="Times New Roman" w:hAnsi="Times New Roman"/>
          <w:szCs w:val="24"/>
          <w:lang w:val="en-US"/>
        </w:rPr>
        <w:t>[2]</w:t>
      </w:r>
      <w:r>
        <w:rPr>
          <w:rFonts w:cs="Times New Roman" w:ascii="Times New Roman" w:hAnsi="Times New Roman"/>
          <w:szCs w:val="24"/>
          <w:lang w:val="en-US"/>
        </w:rPr>
      </w:r>
      <w:r>
        <w:rPr>
          <w:szCs w:val="24"/>
          <w:rFonts w:cs="Times New Roman" w:ascii="Times New Roman" w:hAnsi="Times New Roman"/>
          <w:lang w:val="en-US"/>
        </w:rPr>
        <w:fldChar w:fldCharType="end"/>
      </w:r>
      <w:r>
        <w:rPr>
          <w:rFonts w:cs="Times New Roman" w:ascii="Times New Roman" w:hAnsi="Times New Roman"/>
          <w:szCs w:val="24"/>
          <w:lang w:val="en-US"/>
        </w:rPr>
        <w:t>; the parahippocampal gyrus started from this point and ended at the collateral sulcus; the fusiform gyrus started at this point and ended at the inferior temporal sulcus. Note that the entorhinal cortex was subdivided into layers I-III (superficial) and lamina dissecans plus layers V-VI (deep) [35]. The same was applied on fluorescence stainings (right), where the ROIs (in green) were placed on the DAPI overview in layer III and V-VI within the limits of the ROIs based on the corresponding bright-field staining segmentation.</w:t>
      </w:r>
    </w:p>
    <w:p>
      <w:pPr>
        <w:pStyle w:val="Normal"/>
        <w:spacing w:lineRule="auto" w:line="360"/>
        <w:rPr>
          <w:rFonts w:ascii="Times New Roman" w:hAnsi="Times New Roman" w:cs="Times New Roman"/>
          <w:szCs w:val="24"/>
          <w:lang w:val="en-US"/>
        </w:rPr>
      </w:pPr>
      <w:r>
        <w:rPr>
          <w:rFonts w:cs="Times New Roman" w:ascii="Times New Roman" w:hAnsi="Times New Roman"/>
          <w:szCs w:val="24"/>
          <w:lang w:val="en-US"/>
        </w:rPr>
      </w:r>
    </w:p>
    <w:p>
      <w:pPr>
        <w:pStyle w:val="Normal"/>
        <w:spacing w:lineRule="auto" w:line="360"/>
        <w:rPr>
          <w:rFonts w:ascii="Times New Roman" w:hAnsi="Times New Roman" w:cs="Times New Roman"/>
          <w:b/>
          <w:bCs/>
          <w:sz w:val="32"/>
          <w:lang w:val="en-US"/>
        </w:rPr>
      </w:pPr>
      <w:r>
        <w:rPr>
          <w:rFonts w:cs="Times New Roman" w:ascii="Times New Roman" w:hAnsi="Times New Roman"/>
          <w:b/>
          <w:bCs/>
          <w:sz w:val="32"/>
          <w:lang w:val="en-US"/>
        </w:rPr>
      </w:r>
    </w:p>
    <w:p>
      <w:pPr>
        <w:pStyle w:val="Normal"/>
        <w:spacing w:lineRule="auto" w:line="360"/>
        <w:rPr>
          <w:rFonts w:ascii="Times New Roman" w:hAnsi="Times New Roman" w:cs="Times New Roman"/>
          <w:b/>
          <w:bCs/>
          <w:sz w:val="32"/>
          <w:lang w:val="en-GB"/>
        </w:rPr>
      </w:pPr>
      <w:r>
        <w:rPr>
          <w:rFonts w:cs="Times New Roman" w:ascii="Times New Roman" w:hAnsi="Times New Roman"/>
          <w:b/>
          <w:bCs/>
          <w:sz w:val="32"/>
          <w:lang w:val="en-GB"/>
        </w:rPr>
      </w:r>
    </w:p>
    <w:p>
      <w:pPr>
        <w:pStyle w:val="Normal"/>
        <w:spacing w:lineRule="auto" w:line="360"/>
        <w:rPr>
          <w:rFonts w:ascii="Times New Roman" w:hAnsi="Times New Roman" w:cs="Times New Roman"/>
          <w:b/>
          <w:bCs/>
          <w:szCs w:val="24"/>
          <w:lang w:val="en-GB"/>
        </w:rPr>
      </w:pPr>
      <w:r>
        <w:rPr/>
        <w:drawing>
          <wp:inline distT="0" distB="0" distL="0" distR="0">
            <wp:extent cx="6120130" cy="8657590"/>
            <wp:effectExtent l="0" t="0" r="0" b="0"/>
            <wp:docPr id="4"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
                    <pic:cNvPicPr>
                      <a:picLocks noChangeAspect="1" noChangeArrowheads="1"/>
                    </pic:cNvPicPr>
                  </pic:nvPicPr>
                  <pic:blipFill>
                    <a:blip r:embed="rId5"/>
                    <a:stretch>
                      <a:fillRect/>
                    </a:stretch>
                  </pic:blipFill>
                  <pic:spPr bwMode="auto">
                    <a:xfrm>
                      <a:off x="0" y="0"/>
                      <a:ext cx="6120130" cy="8657590"/>
                    </a:xfrm>
                    <a:prstGeom prst="rect">
                      <a:avLst/>
                    </a:prstGeom>
                  </pic:spPr>
                </pic:pic>
              </a:graphicData>
            </a:graphic>
          </wp:inline>
        </w:drawing>
      </w:r>
    </w:p>
    <w:p>
      <w:pPr>
        <w:pStyle w:val="Normal"/>
        <w:spacing w:lineRule="auto" w:line="360"/>
        <w:rPr>
          <w:rFonts w:ascii="Times New Roman" w:hAnsi="Times New Roman" w:cs="Times New Roman"/>
          <w:i/>
          <w:i/>
          <w:szCs w:val="18"/>
          <w:lang w:val="en-US"/>
        </w:rPr>
      </w:pPr>
      <w:r>
        <w:rPr>
          <w:rFonts w:cs="Times New Roman" w:ascii="Times New Roman" w:hAnsi="Times New Roman"/>
          <w:b/>
          <w:bCs/>
          <w:szCs w:val="24"/>
          <w:lang w:val="en-US"/>
        </w:rPr>
        <w:t xml:space="preserve">Fig. S4 Regional neuropathology load and NfL immunoreactivity. </w:t>
      </w:r>
      <w:r>
        <w:rPr>
          <w:rFonts w:cs="Times New Roman" w:ascii="Times New Roman" w:hAnsi="Times New Roman"/>
          <w:b/>
          <w:bCs/>
          <w:lang w:val="en-GB"/>
        </w:rPr>
        <w:t xml:space="preserve">A, B </w:t>
      </w:r>
      <w:r>
        <w:rPr>
          <w:rFonts w:cs="Times New Roman" w:ascii="Times New Roman" w:hAnsi="Times New Roman"/>
          <w:bCs/>
          <w:lang w:val="en-GB"/>
        </w:rPr>
        <w:t>and</w:t>
      </w:r>
      <w:r>
        <w:rPr>
          <w:rFonts w:cs="Times New Roman" w:ascii="Times New Roman" w:hAnsi="Times New Roman"/>
          <w:b/>
          <w:bCs/>
          <w:lang w:val="en-GB"/>
        </w:rPr>
        <w:t xml:space="preserve"> C</w:t>
      </w:r>
      <w:r>
        <w:rPr>
          <w:rFonts w:cs="Times New Roman" w:ascii="Times New Roman" w:hAnsi="Times New Roman"/>
          <w:bCs/>
          <w:lang w:val="en-GB"/>
        </w:rPr>
        <w:t xml:space="preserve"> show the pSer129-αSyn-positive LB density (LB/mm</w:t>
      </w:r>
      <w:r>
        <w:rPr>
          <w:rFonts w:cs="Times New Roman" w:ascii="Times New Roman" w:hAnsi="Times New Roman"/>
          <w:bCs/>
          <w:vertAlign w:val="superscript"/>
          <w:lang w:val="en-GB"/>
        </w:rPr>
        <w:t>2</w:t>
      </w:r>
      <w:r>
        <w:rPr>
          <w:rFonts w:cs="Times New Roman" w:ascii="Times New Roman" w:hAnsi="Times New Roman"/>
          <w:bCs/>
          <w:lang w:val="en-GB"/>
        </w:rPr>
        <w:t xml:space="preserve">), </w:t>
      </w:r>
      <w:r>
        <w:rPr>
          <w:rFonts w:cs="Times New Roman" w:ascii="Times New Roman" w:hAnsi="Times New Roman"/>
          <w:b/>
          <w:bCs/>
          <w:lang w:val="en-GB"/>
        </w:rPr>
        <w:t xml:space="preserve">D, E </w:t>
      </w:r>
      <w:r>
        <w:rPr>
          <w:rFonts w:cs="Times New Roman" w:ascii="Times New Roman" w:hAnsi="Times New Roman"/>
          <w:bCs/>
          <w:lang w:val="en-GB"/>
        </w:rPr>
        <w:t>and</w:t>
      </w:r>
      <w:r>
        <w:rPr>
          <w:rFonts w:cs="Times New Roman" w:ascii="Times New Roman" w:hAnsi="Times New Roman"/>
          <w:b/>
          <w:bCs/>
          <w:lang w:val="en-GB"/>
        </w:rPr>
        <w:t xml:space="preserve"> F</w:t>
      </w:r>
      <w:r>
        <w:rPr>
          <w:rFonts w:cs="Times New Roman" w:ascii="Times New Roman" w:hAnsi="Times New Roman"/>
          <w:bCs/>
          <w:lang w:val="en-GB"/>
        </w:rPr>
        <w:t xml:space="preserve"> the amyloid-β (Aβ) load (%area), </w:t>
      </w:r>
      <w:r>
        <w:rPr>
          <w:rFonts w:cs="Times New Roman" w:ascii="Times New Roman" w:hAnsi="Times New Roman"/>
          <w:b/>
          <w:bCs/>
          <w:lang w:val="en-GB"/>
        </w:rPr>
        <w:t xml:space="preserve">G, H </w:t>
      </w:r>
      <w:r>
        <w:rPr>
          <w:rFonts w:cs="Times New Roman" w:ascii="Times New Roman" w:hAnsi="Times New Roman"/>
          <w:bCs/>
          <w:lang w:val="en-GB"/>
        </w:rPr>
        <w:t>and</w:t>
      </w:r>
      <w:r>
        <w:rPr>
          <w:rFonts w:cs="Times New Roman" w:ascii="Times New Roman" w:hAnsi="Times New Roman"/>
          <w:b/>
          <w:bCs/>
          <w:lang w:val="en-GB"/>
        </w:rPr>
        <w:t xml:space="preserve"> I</w:t>
      </w:r>
      <w:r>
        <w:rPr>
          <w:rFonts w:cs="Times New Roman" w:ascii="Times New Roman" w:hAnsi="Times New Roman"/>
          <w:bCs/>
          <w:lang w:val="en-GB"/>
        </w:rPr>
        <w:t xml:space="preserve"> the p-tau load (%area), and </w:t>
      </w:r>
      <w:r>
        <w:rPr>
          <w:rFonts w:cs="Times New Roman" w:ascii="Times New Roman" w:hAnsi="Times New Roman"/>
          <w:b/>
          <w:bCs/>
          <w:lang w:val="en-GB"/>
        </w:rPr>
        <w:t xml:space="preserve">J, K </w:t>
      </w:r>
      <w:r>
        <w:rPr>
          <w:rFonts w:cs="Times New Roman" w:ascii="Times New Roman" w:hAnsi="Times New Roman"/>
          <w:bCs/>
          <w:lang w:val="en-GB"/>
        </w:rPr>
        <w:t>and</w:t>
      </w:r>
      <w:r>
        <w:rPr>
          <w:rFonts w:cs="Times New Roman" w:ascii="Times New Roman" w:hAnsi="Times New Roman"/>
          <w:b/>
          <w:bCs/>
          <w:lang w:val="en-GB"/>
        </w:rPr>
        <w:t xml:space="preserve"> L</w:t>
      </w:r>
      <w:r>
        <w:rPr>
          <w:rFonts w:cs="Times New Roman" w:ascii="Times New Roman" w:hAnsi="Times New Roman"/>
          <w:bCs/>
          <w:lang w:val="en-GB"/>
        </w:rPr>
        <w:t xml:space="preserve"> the NfL immunoreactivity (%area) for controls, PD, PDD, and DLB groups. The </w:t>
      </w:r>
      <w:r>
        <w:rPr>
          <w:rFonts w:cs="Times New Roman" w:ascii="Times New Roman" w:hAnsi="Times New Roman"/>
          <w:bCs/>
          <w:i/>
          <w:lang w:val="en-GB"/>
        </w:rPr>
        <w:t>left column</w:t>
      </w:r>
      <w:r>
        <w:rPr>
          <w:rFonts w:cs="Times New Roman" w:ascii="Times New Roman" w:hAnsi="Times New Roman"/>
          <w:bCs/>
          <w:lang w:val="en-GB"/>
        </w:rPr>
        <w:t xml:space="preserve"> shows the overall pathology load across all cortical regions examined; every data point represents a single measurement (all regions, superficial and deep layers), and is color-coded based on brain area indicated in the top right of the graph. The </w:t>
      </w:r>
      <w:r>
        <w:rPr>
          <w:rFonts w:cs="Times New Roman" w:ascii="Times New Roman" w:hAnsi="Times New Roman"/>
          <w:bCs/>
          <w:i/>
          <w:lang w:val="en-GB"/>
        </w:rPr>
        <w:t>middle column</w:t>
      </w:r>
      <w:r>
        <w:rPr>
          <w:rFonts w:cs="Times New Roman" w:ascii="Times New Roman" w:hAnsi="Times New Roman"/>
          <w:bCs/>
          <w:lang w:val="en-GB"/>
        </w:rPr>
        <w:t xml:space="preserve"> shows the regional pathology load in regions affected at Braak 4, 5, and 6 across groups. The </w:t>
      </w:r>
      <w:r>
        <w:rPr>
          <w:rFonts w:cs="Times New Roman" w:ascii="Times New Roman" w:hAnsi="Times New Roman"/>
          <w:bCs/>
          <w:i/>
          <w:lang w:val="en-GB"/>
        </w:rPr>
        <w:t>right column</w:t>
      </w:r>
      <w:r>
        <w:rPr>
          <w:rFonts w:cs="Times New Roman" w:ascii="Times New Roman" w:hAnsi="Times New Roman"/>
          <w:bCs/>
          <w:lang w:val="en-GB"/>
        </w:rPr>
        <w:t xml:space="preserve"> shows the pathology load in superficial (I-III) and deep cortical layers (IV-VI) in each group for each outcome measure. </w:t>
      </w:r>
      <w:r>
        <w:rPr>
          <w:rFonts w:cs="Times New Roman" w:ascii="Times New Roman" w:hAnsi="Times New Roman"/>
          <w:b/>
          <w:bCs/>
          <w:lang w:val="en-GB"/>
        </w:rPr>
        <w:t>F</w:t>
      </w:r>
      <w:r>
        <w:rPr>
          <w:rFonts w:cs="Times New Roman" w:ascii="Times New Roman" w:hAnsi="Times New Roman"/>
          <w:bCs/>
          <w:lang w:val="en-GB"/>
        </w:rPr>
        <w:t xml:space="preserve"> and </w:t>
      </w:r>
      <w:r>
        <w:rPr>
          <w:rFonts w:cs="Times New Roman" w:ascii="Times New Roman" w:hAnsi="Times New Roman"/>
          <w:b/>
          <w:bCs/>
          <w:lang w:val="en-GB"/>
        </w:rPr>
        <w:t>I</w:t>
      </w:r>
      <w:r>
        <w:rPr>
          <w:rFonts w:cs="Times New Roman" w:ascii="Times New Roman" w:hAnsi="Times New Roman"/>
          <w:bCs/>
          <w:lang w:val="en-GB"/>
        </w:rPr>
        <w:t xml:space="preserve"> show amyloid-β and p-tau load in superficial (I-III) and deep cortical layers (IV-VI) of entorhinal, parahippocampal and fusiform cortex only. Group differences are expressed as percentage differences when under 1-fold difference, and as fold differences when over 1-fold difference. </w:t>
      </w:r>
      <w:r>
        <w:rPr>
          <w:rFonts w:cs="Times New Roman" w:ascii="Times New Roman" w:hAnsi="Times New Roman"/>
          <w:b/>
          <w:bCs/>
          <w:lang w:val="en-GB"/>
        </w:rPr>
        <w:t>Legend</w:t>
      </w:r>
      <w:r>
        <w:rPr>
          <w:rFonts w:cs="Times New Roman" w:ascii="Times New Roman" w:hAnsi="Times New Roman"/>
          <w:bCs/>
          <w:lang w:val="en-GB"/>
        </w:rPr>
        <w:t xml:space="preserve">: </w:t>
      </w:r>
      <w:r>
        <w:rPr>
          <w:rFonts w:cs="Times New Roman" w:ascii="Times New Roman" w:hAnsi="Times New Roman"/>
          <w:i/>
          <w:lang w:val="en-US"/>
        </w:rPr>
        <w:t xml:space="preserve">*p&lt;0.05, **p&lt;0.01, ***p&lt;0.001; Aβ: amyloid beta; </w:t>
      </w:r>
      <w:r>
        <w:rPr>
          <w:rFonts w:cs="Times New Roman" w:ascii="Times New Roman" w:hAnsi="Times New Roman"/>
          <w:i/>
          <w:szCs w:val="18"/>
          <w:lang w:val="en-US"/>
        </w:rPr>
        <w:t xml:space="preserve">ACC: anterior cingulate cortex; AI: anterior insula; </w:t>
      </w:r>
      <w:r>
        <w:rPr>
          <w:rFonts w:cs="Times New Roman" w:ascii="Times New Roman" w:hAnsi="Times New Roman"/>
          <w:i/>
          <w:lang w:val="en-US"/>
        </w:rPr>
        <w:t>DLB: Dementia with Lewy Bodies</w:t>
      </w:r>
      <w:r>
        <w:rPr>
          <w:rFonts w:cs="Times New Roman" w:ascii="Times New Roman" w:hAnsi="Times New Roman"/>
          <w:i/>
          <w:szCs w:val="18"/>
          <w:lang w:val="en-US"/>
        </w:rPr>
        <w:t xml:space="preserve">; ENTC: entorhinal cortex; FusG: fusiform gyrus; LB: Lewy body; MTG: middle temporal gyrus; NfL: neurofilament light chain; PCC: posterior cingulate gyrus; PHG: parahippocampal gyrus; </w:t>
      </w:r>
      <w:r>
        <w:rPr>
          <w:rFonts w:cs="Times New Roman" w:ascii="Times New Roman" w:hAnsi="Times New Roman"/>
          <w:i/>
          <w:lang w:val="en-US"/>
        </w:rPr>
        <w:t>PD: Parkinson’s disease; PDD: Parkinson’s disease dementia;</w:t>
      </w:r>
      <w:r>
        <w:rPr>
          <w:rFonts w:cs="Times New Roman" w:ascii="Times New Roman" w:hAnsi="Times New Roman"/>
          <w:i/>
          <w:szCs w:val="18"/>
          <w:lang w:val="en-US"/>
        </w:rPr>
        <w:t xml:space="preserve"> </w:t>
      </w:r>
      <w:r>
        <w:rPr>
          <w:rFonts w:cs="Times New Roman" w:ascii="Times New Roman" w:hAnsi="Times New Roman"/>
          <w:i/>
          <w:lang w:val="en-US"/>
        </w:rPr>
        <w:t>p-tau: phosphorylated tau</w:t>
      </w:r>
      <w:r>
        <w:rPr>
          <w:rFonts w:cs="Times New Roman" w:ascii="Times New Roman" w:hAnsi="Times New Roman"/>
          <w:i/>
          <w:szCs w:val="18"/>
          <w:lang w:val="en-US"/>
        </w:rPr>
        <w:t>; GFS: superior frontal gyrus.</w:t>
      </w:r>
    </w:p>
    <w:p>
      <w:pPr>
        <w:pStyle w:val="Normal"/>
        <w:spacing w:lineRule="auto" w:line="360"/>
        <w:rPr>
          <w:rFonts w:ascii="Times New Roman" w:hAnsi="Times New Roman" w:cs="Times New Roman"/>
          <w:bCs/>
          <w:szCs w:val="24"/>
          <w:lang w:val="en-US"/>
        </w:rPr>
      </w:pPr>
      <w:r>
        <w:rPr/>
        <w:drawing>
          <wp:inline distT="0" distB="0" distL="0" distR="0">
            <wp:extent cx="6120130" cy="5384800"/>
            <wp:effectExtent l="0" t="0" r="0" b="0"/>
            <wp:docPr id="5"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7" descr=""/>
                    <pic:cNvPicPr>
                      <a:picLocks noChangeAspect="1" noChangeArrowheads="1"/>
                    </pic:cNvPicPr>
                  </pic:nvPicPr>
                  <pic:blipFill>
                    <a:blip r:embed="rId6"/>
                    <a:stretch>
                      <a:fillRect/>
                    </a:stretch>
                  </pic:blipFill>
                  <pic:spPr bwMode="auto">
                    <a:xfrm>
                      <a:off x="0" y="0"/>
                      <a:ext cx="6120130" cy="5384800"/>
                    </a:xfrm>
                    <a:prstGeom prst="rect">
                      <a:avLst/>
                    </a:prstGeom>
                  </pic:spPr>
                </pic:pic>
              </a:graphicData>
            </a:graphic>
          </wp:inline>
        </w:drawing>
      </w:r>
    </w:p>
    <w:p>
      <w:pPr>
        <w:pStyle w:val="Normal"/>
        <w:spacing w:lineRule="auto" w:line="360"/>
        <w:rPr>
          <w:rFonts w:ascii="Times New Roman" w:hAnsi="Times New Roman" w:cs="Times New Roman"/>
          <w:b/>
          <w:bCs/>
          <w:i/>
          <w:i/>
          <w:szCs w:val="24"/>
          <w:lang w:val="en-US"/>
        </w:rPr>
      </w:pPr>
      <w:r>
        <w:rPr>
          <w:rFonts w:cs="Times New Roman" w:ascii="Times New Roman" w:hAnsi="Times New Roman"/>
          <w:b/>
          <w:bCs/>
          <w:szCs w:val="24"/>
          <w:lang w:val="en-US"/>
        </w:rPr>
        <w:t xml:space="preserve">Fig. S5 Sex differences in synaptic density. </w:t>
      </w:r>
      <w:r>
        <w:rPr>
          <w:rFonts w:cs="Times New Roman" w:ascii="Times New Roman" w:hAnsi="Times New Roman"/>
          <w:bCs/>
          <w:szCs w:val="24"/>
          <w:lang w:val="en-US"/>
        </w:rPr>
        <w:t xml:space="preserve">The </w:t>
      </w:r>
      <w:r>
        <w:rPr>
          <w:rFonts w:cs="Times New Roman" w:ascii="Times New Roman" w:hAnsi="Times New Roman"/>
          <w:bCs/>
          <w:i/>
          <w:szCs w:val="24"/>
          <w:lang w:val="en-US"/>
        </w:rPr>
        <w:t>top row</w:t>
      </w:r>
      <w:r>
        <w:rPr>
          <w:rFonts w:cs="Times New Roman" w:ascii="Times New Roman" w:hAnsi="Times New Roman"/>
          <w:bCs/>
          <w:szCs w:val="24"/>
          <w:lang w:val="en-US"/>
        </w:rPr>
        <w:t xml:space="preserve"> shows overall sex differences in synaptophysin and SV2A density, and the </w:t>
      </w:r>
      <w:r>
        <w:rPr>
          <w:rFonts w:cs="Times New Roman" w:ascii="Times New Roman" w:hAnsi="Times New Roman"/>
          <w:bCs/>
          <w:i/>
          <w:szCs w:val="24"/>
          <w:lang w:val="en-US"/>
        </w:rPr>
        <w:t>bottom row</w:t>
      </w:r>
      <w:r>
        <w:rPr>
          <w:rFonts w:cs="Times New Roman" w:ascii="Times New Roman" w:hAnsi="Times New Roman"/>
          <w:bCs/>
          <w:szCs w:val="24"/>
          <w:lang w:val="en-US"/>
        </w:rPr>
        <w:t xml:space="preserve"> the same within groups. </w:t>
      </w:r>
      <w:r>
        <w:rPr>
          <w:rFonts w:cs="Times New Roman" w:ascii="Times New Roman" w:hAnsi="Times New Roman"/>
          <w:b/>
          <w:bCs/>
          <w:szCs w:val="24"/>
          <w:lang w:val="en-US"/>
        </w:rPr>
        <w:t xml:space="preserve">(A) </w:t>
      </w:r>
      <w:r>
        <w:rPr>
          <w:rFonts w:cs="Times New Roman" w:ascii="Times New Roman" w:hAnsi="Times New Roman"/>
          <w:bCs/>
          <w:szCs w:val="24"/>
          <w:lang w:val="en-US"/>
        </w:rPr>
        <w:t>Synaptophysin density was significantly higher in females (F) than males (M), (</w:t>
      </w:r>
      <w:r>
        <w:rPr>
          <w:rFonts w:cs="Times New Roman" w:ascii="Times New Roman" w:hAnsi="Times New Roman"/>
          <w:b/>
          <w:bCs/>
          <w:szCs w:val="24"/>
          <w:lang w:val="en-US"/>
        </w:rPr>
        <w:t>C)</w:t>
      </w:r>
      <w:r>
        <w:rPr>
          <w:rFonts w:cs="Times New Roman" w:ascii="Times New Roman" w:hAnsi="Times New Roman"/>
          <w:bCs/>
          <w:szCs w:val="24"/>
          <w:lang w:val="en-US"/>
        </w:rPr>
        <w:t xml:space="preserve"> specifically by 7% in controls. </w:t>
      </w:r>
      <w:r>
        <w:rPr>
          <w:rFonts w:cs="Times New Roman" w:ascii="Times New Roman" w:hAnsi="Times New Roman"/>
          <w:b/>
          <w:bCs/>
          <w:szCs w:val="24"/>
          <w:lang w:val="en-US"/>
        </w:rPr>
        <w:t>(B)</w:t>
      </w:r>
      <w:r>
        <w:rPr>
          <w:rFonts w:cs="Times New Roman" w:ascii="Times New Roman" w:hAnsi="Times New Roman"/>
          <w:bCs/>
          <w:szCs w:val="24"/>
          <w:lang w:val="en-US"/>
        </w:rPr>
        <w:t xml:space="preserve"> SV2A density overall did not differ in males and females,</w:t>
      </w:r>
      <w:r>
        <w:rPr>
          <w:rFonts w:cs="Times New Roman" w:ascii="Times New Roman" w:hAnsi="Times New Roman"/>
          <w:b/>
          <w:bCs/>
          <w:szCs w:val="24"/>
          <w:lang w:val="en-US"/>
        </w:rPr>
        <w:t xml:space="preserve"> (D)</w:t>
      </w:r>
      <w:r>
        <w:rPr>
          <w:rFonts w:cs="Times New Roman" w:ascii="Times New Roman" w:hAnsi="Times New Roman"/>
          <w:bCs/>
          <w:szCs w:val="24"/>
          <w:lang w:val="en-US"/>
        </w:rPr>
        <w:t xml:space="preserve"> while in the PDD group it was lower by 5%  in males compared to females. </w:t>
      </w:r>
      <w:r>
        <w:rPr>
          <w:rFonts w:cs="Times New Roman" w:ascii="Times New Roman" w:hAnsi="Times New Roman"/>
          <w:b/>
          <w:bCs/>
          <w:szCs w:val="24"/>
          <w:lang w:val="en-US"/>
        </w:rPr>
        <w:t>Legend</w:t>
      </w:r>
      <w:r>
        <w:rPr>
          <w:rFonts w:cs="Times New Roman" w:ascii="Times New Roman" w:hAnsi="Times New Roman"/>
          <w:bCs/>
          <w:szCs w:val="24"/>
          <w:lang w:val="en-US"/>
        </w:rPr>
        <w:t xml:space="preserve">: </w:t>
      </w:r>
      <w:r>
        <w:rPr>
          <w:rFonts w:cs="Times New Roman" w:ascii="Times New Roman" w:hAnsi="Times New Roman"/>
          <w:bCs/>
          <w:i/>
          <w:szCs w:val="24"/>
          <w:lang w:val="en-US"/>
        </w:rPr>
        <w:t xml:space="preserve">ACC: anterior cingulate gyrus; AI: anterior insula; CTRL: control; DLB: Dementia with Lewy Bodies; ENTC: entorhinal cortex; F: female; FusG: fusiform gyrus; GFS: superior frontal gyrus; M: male; MTG: middle temporal gyrus; PCC: posterior cingulate gyrus; PD: Parkinson’s disease; PDD: Parkinson’s disease dementia; PHG: parahippocampal gyrus. </w:t>
      </w:r>
      <w:r>
        <w:rPr>
          <w:rFonts w:cs="Times New Roman" w:ascii="Times New Roman" w:hAnsi="Times New Roman"/>
          <w:i/>
          <w:szCs w:val="18"/>
          <w:lang w:val="en-US"/>
        </w:rPr>
        <w:t>*p&lt;0.05, **p&lt;0.01, ***p&lt;0.001.</w:t>
      </w:r>
    </w:p>
    <w:p>
      <w:pPr>
        <w:pStyle w:val="Normal"/>
        <w:spacing w:lineRule="auto" w:line="360"/>
        <w:rPr>
          <w:rFonts w:ascii="Times New Roman" w:hAnsi="Times New Roman" w:cs="Times New Roman"/>
          <w:b/>
          <w:bCs/>
          <w:szCs w:val="24"/>
          <w:lang w:val="en-US"/>
        </w:rPr>
      </w:pPr>
      <w:r>
        <w:rPr/>
        <w:drawing>
          <wp:inline distT="0" distB="0" distL="0" distR="0">
            <wp:extent cx="6120130" cy="5321300"/>
            <wp:effectExtent l="0" t="0" r="0" b="0"/>
            <wp:docPr id="6" name="Pictur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9" descr=""/>
                    <pic:cNvPicPr>
                      <a:picLocks noChangeAspect="1" noChangeArrowheads="1"/>
                    </pic:cNvPicPr>
                  </pic:nvPicPr>
                  <pic:blipFill>
                    <a:blip r:embed="rId7"/>
                    <a:stretch>
                      <a:fillRect/>
                    </a:stretch>
                  </pic:blipFill>
                  <pic:spPr bwMode="auto">
                    <a:xfrm>
                      <a:off x="0" y="0"/>
                      <a:ext cx="6120130" cy="5321300"/>
                    </a:xfrm>
                    <a:prstGeom prst="rect">
                      <a:avLst/>
                    </a:prstGeom>
                  </pic:spPr>
                </pic:pic>
              </a:graphicData>
            </a:graphic>
          </wp:inline>
        </w:drawing>
      </w:r>
    </w:p>
    <w:p>
      <w:pPr>
        <w:pStyle w:val="Normal"/>
        <w:spacing w:lineRule="auto" w:line="360"/>
        <w:rPr>
          <w:rFonts w:ascii="Times New Roman" w:hAnsi="Times New Roman" w:cs="Times New Roman"/>
          <w:b/>
          <w:bCs/>
          <w:szCs w:val="24"/>
          <w:lang w:val="en-US"/>
        </w:rPr>
      </w:pPr>
      <w:r>
        <w:rPr>
          <w:rFonts w:cs="Times New Roman" w:ascii="Times New Roman" w:hAnsi="Times New Roman"/>
          <w:b/>
          <w:bCs/>
          <w:szCs w:val="24"/>
          <w:lang w:val="en-US"/>
        </w:rPr>
        <w:t xml:space="preserve">Fig. S6 Layer III and V-VI differences in synaptic density. </w:t>
      </w:r>
      <w:r>
        <w:rPr>
          <w:rFonts w:cs="Times New Roman" w:ascii="Times New Roman" w:hAnsi="Times New Roman"/>
          <w:bCs/>
          <w:szCs w:val="24"/>
          <w:lang w:val="en-US"/>
        </w:rPr>
        <w:t xml:space="preserve">The </w:t>
      </w:r>
      <w:r>
        <w:rPr>
          <w:rFonts w:cs="Times New Roman" w:ascii="Times New Roman" w:hAnsi="Times New Roman"/>
          <w:bCs/>
          <w:i/>
          <w:szCs w:val="24"/>
          <w:lang w:val="en-US"/>
        </w:rPr>
        <w:t>top row</w:t>
      </w:r>
      <w:r>
        <w:rPr>
          <w:rFonts w:cs="Times New Roman" w:ascii="Times New Roman" w:hAnsi="Times New Roman"/>
          <w:bCs/>
          <w:szCs w:val="24"/>
          <w:lang w:val="en-US"/>
        </w:rPr>
        <w:t xml:space="preserve"> shows overall layer differences in synaptophysin and SV2A density, and the </w:t>
      </w:r>
      <w:r>
        <w:rPr>
          <w:rFonts w:cs="Times New Roman" w:ascii="Times New Roman" w:hAnsi="Times New Roman"/>
          <w:bCs/>
          <w:i/>
          <w:szCs w:val="24"/>
          <w:lang w:val="en-US"/>
        </w:rPr>
        <w:t>bottom row</w:t>
      </w:r>
      <w:r>
        <w:rPr>
          <w:rFonts w:cs="Times New Roman" w:ascii="Times New Roman" w:hAnsi="Times New Roman"/>
          <w:bCs/>
          <w:szCs w:val="24"/>
          <w:lang w:val="en-US"/>
        </w:rPr>
        <w:t xml:space="preserve"> the same within groups. </w:t>
      </w:r>
      <w:r>
        <w:rPr>
          <w:rFonts w:cs="Times New Roman" w:ascii="Times New Roman" w:hAnsi="Times New Roman"/>
          <w:b/>
          <w:bCs/>
          <w:szCs w:val="24"/>
          <w:lang w:val="en-US"/>
        </w:rPr>
        <w:t xml:space="preserve">(A) </w:t>
      </w:r>
      <w:r>
        <w:rPr>
          <w:rFonts w:cs="Times New Roman" w:ascii="Times New Roman" w:hAnsi="Times New Roman"/>
          <w:bCs/>
          <w:szCs w:val="24"/>
          <w:lang w:val="en-US"/>
        </w:rPr>
        <w:t>Synaptophysin density was a significant 3% lower in layer V-VI than layer III, (</w:t>
      </w:r>
      <w:r>
        <w:rPr>
          <w:rFonts w:cs="Times New Roman" w:ascii="Times New Roman" w:hAnsi="Times New Roman"/>
          <w:b/>
          <w:bCs/>
          <w:szCs w:val="24"/>
          <w:lang w:val="en-US"/>
        </w:rPr>
        <w:t>C)</w:t>
      </w:r>
      <w:r>
        <w:rPr>
          <w:rFonts w:cs="Times New Roman" w:ascii="Times New Roman" w:hAnsi="Times New Roman"/>
          <w:bCs/>
          <w:szCs w:val="24"/>
          <w:lang w:val="en-US"/>
        </w:rPr>
        <w:t xml:space="preserve"> specifically in controls and PD. </w:t>
      </w:r>
      <w:r>
        <w:rPr>
          <w:rFonts w:cs="Times New Roman" w:ascii="Times New Roman" w:hAnsi="Times New Roman"/>
          <w:b/>
          <w:bCs/>
          <w:szCs w:val="24"/>
          <w:lang w:val="en-US"/>
        </w:rPr>
        <w:t>(B)</w:t>
      </w:r>
      <w:r>
        <w:rPr>
          <w:rFonts w:cs="Times New Roman" w:ascii="Times New Roman" w:hAnsi="Times New Roman"/>
          <w:bCs/>
          <w:szCs w:val="24"/>
          <w:lang w:val="en-US"/>
        </w:rPr>
        <w:t xml:space="preserve"> Similarly, SV2A density was a significant 3% lower in layer V-VI than layer III, (</w:t>
      </w:r>
      <w:r>
        <w:rPr>
          <w:rFonts w:cs="Times New Roman" w:ascii="Times New Roman" w:hAnsi="Times New Roman"/>
          <w:b/>
          <w:bCs/>
          <w:szCs w:val="24"/>
          <w:lang w:val="en-US"/>
        </w:rPr>
        <w:t>D)</w:t>
      </w:r>
      <w:r>
        <w:rPr>
          <w:rFonts w:cs="Times New Roman" w:ascii="Times New Roman" w:hAnsi="Times New Roman"/>
          <w:bCs/>
          <w:szCs w:val="24"/>
          <w:lang w:val="en-US"/>
        </w:rPr>
        <w:t xml:space="preserve"> which was not specific to any group.</w:t>
      </w:r>
      <w:r>
        <w:rPr>
          <w:rFonts w:cs="Times New Roman" w:ascii="Times New Roman" w:hAnsi="Times New Roman"/>
          <w:b/>
          <w:bCs/>
          <w:szCs w:val="24"/>
          <w:lang w:val="en-US"/>
        </w:rPr>
        <w:t xml:space="preserve"> Legend</w:t>
      </w:r>
      <w:r>
        <w:rPr>
          <w:rFonts w:cs="Times New Roman" w:ascii="Times New Roman" w:hAnsi="Times New Roman"/>
          <w:bCs/>
          <w:szCs w:val="24"/>
          <w:lang w:val="en-US"/>
        </w:rPr>
        <w:t xml:space="preserve">: </w:t>
      </w:r>
      <w:r>
        <w:rPr>
          <w:rFonts w:cs="Times New Roman" w:ascii="Times New Roman" w:hAnsi="Times New Roman"/>
          <w:bCs/>
          <w:i/>
          <w:szCs w:val="24"/>
          <w:lang w:val="en-US"/>
        </w:rPr>
        <w:t xml:space="preserve">ACC: anterior cingulate gyrus; AI: anterior insula; CTRL: control; DLB: Dementia with Lewy Bodies; ENTC: entorhinal cortex; F: female; FusG: fusiform gyrus; GFS: superior frontal gyrus; M: male; MTG: middle temporal gyrus; PCC: posterior cingulate gyrus; PD: Parkinson’s disease; PDD: Parkinson’s disease dementia; PHG: parahippocampal gyrus. </w:t>
      </w:r>
      <w:r>
        <w:rPr>
          <w:rFonts w:cs="Times New Roman" w:ascii="Times New Roman" w:hAnsi="Times New Roman"/>
          <w:i/>
          <w:szCs w:val="18"/>
          <w:lang w:val="en-US"/>
        </w:rPr>
        <w:t>*p&lt;0.05, **p&lt;0.01, ***p&lt;0.001.</w:t>
      </w:r>
    </w:p>
    <w:p>
      <w:pPr>
        <w:pStyle w:val="Normal"/>
        <w:spacing w:lineRule="auto" w:line="360"/>
        <w:rPr>
          <w:rFonts w:ascii="Times New Roman" w:hAnsi="Times New Roman" w:cs="Times New Roman"/>
          <w:i/>
          <w:i/>
          <w:szCs w:val="18"/>
          <w:lang w:val="en-US"/>
        </w:rPr>
      </w:pPr>
      <w:r>
        <w:rPr>
          <w:rFonts w:cs="Times New Roman" w:ascii="Times New Roman" w:hAnsi="Times New Roman"/>
          <w:i/>
          <w:szCs w:val="18"/>
          <w:lang w:val="en-US"/>
        </w:rPr>
      </w:r>
    </w:p>
    <w:p>
      <w:pPr>
        <w:pStyle w:val="Normal"/>
        <w:spacing w:lineRule="auto" w:line="360"/>
        <w:rPr>
          <w:rFonts w:ascii="Times New Roman" w:hAnsi="Times New Roman" w:cs="Times New Roman"/>
          <w:b/>
          <w:bCs/>
          <w:szCs w:val="24"/>
          <w:lang w:val="en-US"/>
        </w:rPr>
      </w:pPr>
      <w:r>
        <w:rPr/>
        <w:drawing>
          <wp:inline distT="0" distB="0" distL="0" distR="0">
            <wp:extent cx="6120130" cy="5298440"/>
            <wp:effectExtent l="0" t="0" r="0" b="0"/>
            <wp:docPr id="7"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5" descr=""/>
                    <pic:cNvPicPr>
                      <a:picLocks noChangeAspect="1" noChangeArrowheads="1"/>
                    </pic:cNvPicPr>
                  </pic:nvPicPr>
                  <pic:blipFill>
                    <a:blip r:embed="rId8"/>
                    <a:stretch>
                      <a:fillRect/>
                    </a:stretch>
                  </pic:blipFill>
                  <pic:spPr bwMode="auto">
                    <a:xfrm>
                      <a:off x="0" y="0"/>
                      <a:ext cx="6120130" cy="5298440"/>
                    </a:xfrm>
                    <a:prstGeom prst="rect">
                      <a:avLst/>
                    </a:prstGeom>
                  </pic:spPr>
                </pic:pic>
              </a:graphicData>
            </a:graphic>
          </wp:inline>
        </w:drawing>
      </w:r>
    </w:p>
    <w:p>
      <w:pPr>
        <w:pStyle w:val="Normal"/>
        <w:spacing w:lineRule="auto" w:line="360"/>
        <w:rPr>
          <w:rFonts w:ascii="Times New Roman" w:hAnsi="Times New Roman" w:cs="Times New Roman"/>
          <w:i/>
          <w:i/>
          <w:szCs w:val="18"/>
          <w:lang w:val="en-US"/>
        </w:rPr>
      </w:pPr>
      <w:r>
        <w:rPr>
          <w:rFonts w:cs="Times New Roman" w:ascii="Times New Roman" w:hAnsi="Times New Roman"/>
          <w:b/>
          <w:bCs/>
          <w:szCs w:val="24"/>
          <w:lang w:val="en-US"/>
        </w:rPr>
        <w:t xml:space="preserve">Fig. S7 Synaptophysin and SV2A density overall and regional differences in layer III and V-VI between groups. </w:t>
      </w:r>
      <w:r>
        <w:rPr>
          <w:rFonts w:cs="Times New Roman" w:ascii="Times New Roman" w:hAnsi="Times New Roman"/>
          <w:bCs/>
          <w:szCs w:val="24"/>
          <w:lang w:val="en-US"/>
        </w:rPr>
        <w:t xml:space="preserve">The </w:t>
      </w:r>
      <w:r>
        <w:rPr>
          <w:rFonts w:cs="Times New Roman" w:ascii="Times New Roman" w:hAnsi="Times New Roman"/>
          <w:bCs/>
          <w:i/>
          <w:szCs w:val="24"/>
          <w:lang w:val="en-US"/>
        </w:rPr>
        <w:t>top row</w:t>
      </w:r>
      <w:r>
        <w:rPr>
          <w:rFonts w:cs="Times New Roman" w:ascii="Times New Roman" w:hAnsi="Times New Roman"/>
          <w:bCs/>
          <w:szCs w:val="24"/>
          <w:lang w:val="en-US"/>
        </w:rPr>
        <w:t xml:space="preserve"> shows group differences across all regions in </w:t>
      </w:r>
      <w:r>
        <w:rPr>
          <w:rFonts w:cs="Times New Roman" w:ascii="Times New Roman" w:hAnsi="Times New Roman"/>
          <w:b/>
          <w:bCs/>
          <w:szCs w:val="24"/>
          <w:lang w:val="en-US"/>
        </w:rPr>
        <w:t>(A)</w:t>
      </w:r>
      <w:r>
        <w:rPr>
          <w:rFonts w:cs="Times New Roman" w:ascii="Times New Roman" w:hAnsi="Times New Roman"/>
          <w:bCs/>
          <w:szCs w:val="24"/>
          <w:lang w:val="en-US"/>
        </w:rPr>
        <w:t xml:space="preserve"> synaptophysin and </w:t>
      </w:r>
      <w:r>
        <w:rPr>
          <w:rFonts w:cs="Times New Roman" w:ascii="Times New Roman" w:hAnsi="Times New Roman"/>
          <w:b/>
          <w:bCs/>
          <w:szCs w:val="24"/>
          <w:lang w:val="en-US"/>
        </w:rPr>
        <w:t>(B)</w:t>
      </w:r>
      <w:r>
        <w:rPr>
          <w:rFonts w:cs="Times New Roman" w:ascii="Times New Roman" w:hAnsi="Times New Roman"/>
          <w:bCs/>
          <w:szCs w:val="24"/>
          <w:lang w:val="en-US"/>
        </w:rPr>
        <w:t xml:space="preserve"> SV2A density within cortical layer III and V-VI. The </w:t>
      </w:r>
      <w:r>
        <w:rPr>
          <w:rFonts w:cs="Times New Roman" w:ascii="Times New Roman" w:hAnsi="Times New Roman"/>
          <w:bCs/>
          <w:i/>
          <w:szCs w:val="24"/>
          <w:lang w:val="en-US"/>
        </w:rPr>
        <w:t>bottom row</w:t>
      </w:r>
      <w:r>
        <w:rPr>
          <w:rFonts w:cs="Times New Roman" w:ascii="Times New Roman" w:hAnsi="Times New Roman"/>
          <w:bCs/>
          <w:szCs w:val="24"/>
          <w:lang w:val="en-US"/>
        </w:rPr>
        <w:t xml:space="preserve"> shows the regional group differences in </w:t>
      </w:r>
      <w:r>
        <w:rPr>
          <w:rFonts w:cs="Times New Roman" w:ascii="Times New Roman" w:hAnsi="Times New Roman"/>
          <w:b/>
          <w:bCs/>
          <w:szCs w:val="24"/>
          <w:lang w:val="en-US"/>
        </w:rPr>
        <w:t>(C)</w:t>
      </w:r>
      <w:r>
        <w:rPr>
          <w:rFonts w:cs="Times New Roman" w:ascii="Times New Roman" w:hAnsi="Times New Roman"/>
          <w:bCs/>
          <w:szCs w:val="24"/>
          <w:lang w:val="en-US"/>
        </w:rPr>
        <w:t xml:space="preserve"> synaptophysin and </w:t>
      </w:r>
      <w:r>
        <w:rPr>
          <w:rFonts w:cs="Times New Roman" w:ascii="Times New Roman" w:hAnsi="Times New Roman"/>
          <w:b/>
          <w:bCs/>
          <w:szCs w:val="24"/>
          <w:lang w:val="en-US"/>
        </w:rPr>
        <w:t>(D)</w:t>
      </w:r>
      <w:r>
        <w:rPr>
          <w:rFonts w:cs="Times New Roman" w:ascii="Times New Roman" w:hAnsi="Times New Roman"/>
          <w:bCs/>
          <w:szCs w:val="24"/>
          <w:lang w:val="en-US"/>
        </w:rPr>
        <w:t xml:space="preserve"> SV2A density within cortical layer III and V-VI. Every data point represents one measurement and it is color-coded by brain area (legend top right). </w:t>
      </w:r>
      <w:r>
        <w:rPr>
          <w:rFonts w:cs="Times New Roman" w:ascii="Times New Roman" w:hAnsi="Times New Roman"/>
          <w:b/>
          <w:bCs/>
          <w:szCs w:val="24"/>
          <w:lang w:val="en-US"/>
        </w:rPr>
        <w:t>Legend</w:t>
      </w:r>
      <w:r>
        <w:rPr>
          <w:rFonts w:cs="Times New Roman" w:ascii="Times New Roman" w:hAnsi="Times New Roman"/>
          <w:bCs/>
          <w:szCs w:val="24"/>
          <w:lang w:val="en-US"/>
        </w:rPr>
        <w:t xml:space="preserve">: </w:t>
      </w:r>
      <w:r>
        <w:rPr>
          <w:rFonts w:cs="Times New Roman" w:ascii="Times New Roman" w:hAnsi="Times New Roman"/>
          <w:bCs/>
          <w:i/>
          <w:szCs w:val="24"/>
          <w:lang w:val="en-US"/>
        </w:rPr>
        <w:t xml:space="preserve">ACC: anterior cingulate gyrus; AI: anterior insula; CTRL: control; DLB: Dementia with Lewy Bodies; ENTC: entorhinal cortex; FusG: fusiform gyrus; GFS: superior frontal gyrus; MTG: middle temporal gyrus; PCC: posterior cingulate gyrus; PD: Parkinson’s disease; PDD: Parkinson’s disease dementia; PHG: parahippocampal gyrus. </w:t>
      </w:r>
      <w:r>
        <w:rPr>
          <w:rFonts w:cs="Times New Roman" w:ascii="Times New Roman" w:hAnsi="Times New Roman"/>
          <w:i/>
          <w:szCs w:val="18"/>
          <w:lang w:val="en-US"/>
        </w:rPr>
        <w:t>*p&lt;0.05, **p&lt;0.01, ***p&lt;0.001.</w:t>
      </w:r>
    </w:p>
    <w:p>
      <w:pPr>
        <w:pStyle w:val="Normal"/>
        <w:spacing w:lineRule="auto" w:line="360"/>
        <w:rPr>
          <w:rFonts w:ascii="Times New Roman" w:hAnsi="Times New Roman" w:cs="Times New Roman"/>
          <w:i/>
          <w:i/>
          <w:szCs w:val="18"/>
          <w:lang w:val="en-US"/>
        </w:rPr>
      </w:pPr>
      <w:r>
        <w:rPr>
          <w:rFonts w:cs="Times New Roman" w:ascii="Times New Roman" w:hAnsi="Times New Roman"/>
          <w:i/>
          <w:szCs w:val="18"/>
          <w:lang w:val="en-US"/>
        </w:rPr>
      </w:r>
    </w:p>
    <w:p>
      <w:pPr>
        <w:pStyle w:val="Normal"/>
        <w:rPr>
          <w:rFonts w:ascii="Times New Roman" w:hAnsi="Times New Roman" w:cs="Times New Roman"/>
          <w:lang w:val="en-US"/>
        </w:rPr>
      </w:pPr>
      <w:r>
        <w:rPr>
          <w:rFonts w:cs="Times New Roman" w:ascii="Times New Roman" w:hAnsi="Times New Roman"/>
          <w:lang w:val="en-US"/>
        </w:rPr>
      </w:r>
    </w:p>
    <w:p>
      <w:pPr>
        <w:pStyle w:val="Normal"/>
        <w:spacing w:lineRule="auto" w:line="360"/>
        <w:rPr>
          <w:rFonts w:ascii="Times New Roman" w:hAnsi="Times New Roman" w:cs="Times New Roman"/>
          <w:b/>
          <w:bCs/>
          <w:szCs w:val="24"/>
          <w:lang w:val="en-US"/>
        </w:rPr>
      </w:pPr>
      <w:r>
        <w:rPr>
          <w:rFonts w:cs="Times New Roman" w:ascii="Times New Roman" w:hAnsi="Times New Roman"/>
          <w:b/>
          <w:bCs/>
          <w:szCs w:val="24"/>
          <w:lang w:val="en-US"/>
        </w:rPr>
      </w:r>
    </w:p>
    <w:p>
      <w:pPr>
        <w:pStyle w:val="Normal"/>
        <w:spacing w:lineRule="auto" w:line="360"/>
        <w:rPr>
          <w:rFonts w:ascii="Times New Roman" w:hAnsi="Times New Roman" w:cs="Times New Roman"/>
          <w:b/>
          <w:bCs/>
          <w:szCs w:val="24"/>
          <w:lang w:val="en-US"/>
        </w:rPr>
      </w:pPr>
      <w:r>
        <w:rPr>
          <w:rFonts w:cs="Times New Roman" w:ascii="Times New Roman" w:hAnsi="Times New Roman"/>
          <w:b/>
          <w:bCs/>
          <w:szCs w:val="24"/>
          <w:lang w:val="en-US"/>
        </w:rPr>
      </w:r>
    </w:p>
    <w:p>
      <w:pPr>
        <w:pStyle w:val="Normal"/>
        <w:spacing w:lineRule="auto" w:line="360"/>
        <w:rPr>
          <w:rFonts w:ascii="Times New Roman" w:hAnsi="Times New Roman" w:cs="Times New Roman"/>
          <w:b/>
          <w:bCs/>
          <w:szCs w:val="24"/>
          <w:lang w:val="en-US"/>
        </w:rPr>
      </w:pPr>
      <w:r>
        <w:rPr/>
        <w:drawing>
          <wp:inline distT="0" distB="0" distL="0" distR="0">
            <wp:extent cx="6120130" cy="7153910"/>
            <wp:effectExtent l="0" t="0" r="0" b="0"/>
            <wp:docPr id="8"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2" descr=""/>
                    <pic:cNvPicPr>
                      <a:picLocks noChangeAspect="1" noChangeArrowheads="1"/>
                    </pic:cNvPicPr>
                  </pic:nvPicPr>
                  <pic:blipFill>
                    <a:blip r:embed="rId9"/>
                    <a:stretch>
                      <a:fillRect/>
                    </a:stretch>
                  </pic:blipFill>
                  <pic:spPr bwMode="auto">
                    <a:xfrm>
                      <a:off x="0" y="0"/>
                      <a:ext cx="6120130" cy="7153910"/>
                    </a:xfrm>
                    <a:prstGeom prst="rect">
                      <a:avLst/>
                    </a:prstGeom>
                  </pic:spPr>
                </pic:pic>
              </a:graphicData>
            </a:graphic>
          </wp:inline>
        </w:drawing>
      </w:r>
    </w:p>
    <w:p>
      <w:pPr>
        <w:pStyle w:val="Normal"/>
        <w:spacing w:lineRule="auto" w:line="360"/>
        <w:rPr>
          <w:rFonts w:ascii="Times New Roman" w:hAnsi="Times New Roman" w:cs="Times New Roman"/>
          <w:bCs/>
          <w:szCs w:val="24"/>
          <w:lang w:val="en-GB"/>
        </w:rPr>
      </w:pPr>
      <w:r>
        <w:rPr>
          <w:rFonts w:cs="Times New Roman" w:ascii="Times New Roman" w:hAnsi="Times New Roman"/>
          <w:b/>
          <w:bCs/>
          <w:szCs w:val="24"/>
          <w:lang w:val="en-US"/>
        </w:rPr>
        <w:t>Fig.</w:t>
      </w:r>
      <w:r>
        <w:rPr>
          <w:rFonts w:cs="Times New Roman" w:ascii="Times New Roman" w:hAnsi="Times New Roman"/>
          <w:b/>
          <w:bCs/>
          <w:szCs w:val="24"/>
          <w:lang w:val="en-GB"/>
        </w:rPr>
        <w:t xml:space="preserve"> S8  Distribution of cortical synaptophysin and SV2A density across brain regions within PD, PDD, DLB and control groups.</w:t>
      </w:r>
      <w:r>
        <w:rPr>
          <w:rFonts w:cs="Times New Roman" w:ascii="Times New Roman" w:hAnsi="Times New Roman"/>
          <w:bCs/>
          <w:szCs w:val="24"/>
          <w:lang w:val="en-GB"/>
        </w:rPr>
        <w:t xml:space="preserve"> </w:t>
      </w:r>
      <w:r>
        <w:rPr>
          <w:rFonts w:cs="Times New Roman" w:ascii="Times New Roman" w:hAnsi="Times New Roman"/>
          <w:b/>
          <w:bCs/>
          <w:szCs w:val="24"/>
          <w:lang w:val="en-GB"/>
        </w:rPr>
        <w:t>A,C)</w:t>
      </w:r>
      <w:r>
        <w:rPr>
          <w:rFonts w:cs="Times New Roman" w:ascii="Times New Roman" w:hAnsi="Times New Roman"/>
          <w:bCs/>
          <w:szCs w:val="24"/>
          <w:lang w:val="en-GB"/>
        </w:rPr>
        <w:t xml:space="preserve"> Synaptophysin and SV2A staining pattern in the cortex (in green; scale bar 10 µm). </w:t>
      </w:r>
      <w:r>
        <w:rPr>
          <w:rFonts w:cs="Times New Roman" w:ascii="Times New Roman" w:hAnsi="Times New Roman"/>
          <w:b/>
          <w:bCs/>
          <w:szCs w:val="24"/>
          <w:lang w:val="en-GB"/>
        </w:rPr>
        <w:t>B)</w:t>
      </w:r>
      <w:r>
        <w:rPr>
          <w:rFonts w:cs="Times New Roman" w:ascii="Times New Roman" w:hAnsi="Times New Roman"/>
          <w:bCs/>
          <w:szCs w:val="24"/>
          <w:lang w:val="en-GB"/>
        </w:rPr>
        <w:t xml:space="preserve"> Synaptophysin density was similar across brain areas in the different groups. </w:t>
      </w:r>
      <w:r>
        <w:rPr>
          <w:rFonts w:cs="Times New Roman" w:ascii="Times New Roman" w:hAnsi="Times New Roman"/>
          <w:b/>
          <w:bCs/>
          <w:szCs w:val="24"/>
          <w:lang w:val="en-GB"/>
        </w:rPr>
        <w:t>D)</w:t>
      </w:r>
      <w:r>
        <w:rPr>
          <w:rFonts w:cs="Times New Roman" w:ascii="Times New Roman" w:hAnsi="Times New Roman"/>
          <w:bCs/>
          <w:szCs w:val="24"/>
          <w:lang w:val="en-GB"/>
        </w:rPr>
        <w:t xml:space="preserve"> SV2A density differed across brain areas in all group: regions affected at Braak stage 6 seemed to be spared during disease compared to regions affected at earlier stages. Every data point represents one measurement color-coded by brain area. Linear mixed model p-values are adjusted for multiple testing (8 brain areas). #p&lt;0.10, *p&lt;0.05, **p&lt;0.01, ***p&lt;0.001</w:t>
      </w:r>
      <w:bookmarkStart w:id="0" w:name="_GoBack"/>
      <w:bookmarkEnd w:id="0"/>
      <w:r>
        <w:rPr>
          <w:rFonts w:cs="Times New Roman" w:ascii="Times New Roman" w:hAnsi="Times New Roman"/>
          <w:bCs/>
          <w:szCs w:val="24"/>
          <w:lang w:val="en-GB"/>
        </w:rPr>
        <w:t xml:space="preserve">. </w:t>
      </w:r>
      <w:r>
        <w:rPr>
          <w:rFonts w:cs="Times New Roman" w:ascii="Times New Roman" w:hAnsi="Times New Roman"/>
          <w:b/>
          <w:bCs/>
          <w:szCs w:val="24"/>
          <w:lang w:val="en-GB"/>
        </w:rPr>
        <w:t>Legend:</w:t>
      </w:r>
      <w:r>
        <w:rPr>
          <w:rFonts w:cs="Times New Roman" w:ascii="Times New Roman" w:hAnsi="Times New Roman"/>
          <w:bCs/>
          <w:szCs w:val="24"/>
          <w:lang w:val="en-GB"/>
        </w:rPr>
        <w:t xml:space="preserve"> </w:t>
      </w:r>
      <w:r>
        <w:rPr>
          <w:rFonts w:cs="Times New Roman" w:ascii="Times New Roman" w:hAnsi="Times New Roman"/>
          <w:bCs/>
          <w:i/>
          <w:szCs w:val="24"/>
          <w:lang w:val="en-GB"/>
        </w:rPr>
        <w:t xml:space="preserve">ACC: anterior cingulate gyrus; AI: anterior insula; CTRL: control; DLB: Dementia with Lewy Bodies; ENTC: entorhinal cortex; F: female; FusG: fusiform gyrus; GFS: superior frontal gyrus; M: male; MTG: middle temporal gyrus; PCC: posterior cingulate gyrus; PD: Parkinson’s disease; PDD: Parkinson’s disease dementia; PHG: parahippocampal gyrus. </w:t>
      </w:r>
    </w:p>
    <w:p>
      <w:pPr>
        <w:pStyle w:val="Normal"/>
        <w:spacing w:lineRule="auto" w:line="360"/>
        <w:rPr>
          <w:rFonts w:ascii="Times New Roman" w:hAnsi="Times New Roman" w:cs="Times New Roman"/>
          <w:b/>
          <w:bCs/>
          <w:szCs w:val="24"/>
          <w:lang w:val="en-US"/>
        </w:rPr>
      </w:pPr>
      <w:r>
        <w:rPr>
          <w:rFonts w:cs="Times New Roman" w:ascii="Times New Roman" w:hAnsi="Times New Roman"/>
          <w:b/>
          <w:bCs/>
          <w:szCs w:val="24"/>
          <w:lang w:val="en-US"/>
        </w:rPr>
      </w:r>
    </w:p>
    <w:p>
      <w:pPr>
        <w:pStyle w:val="Normal"/>
        <w:spacing w:lineRule="auto" w:line="360"/>
        <w:rPr>
          <w:rFonts w:ascii="Times New Roman" w:hAnsi="Times New Roman" w:cs="Times New Roman"/>
          <w:b/>
          <w:bCs/>
          <w:szCs w:val="24"/>
          <w:lang w:val="en-US"/>
        </w:rPr>
      </w:pPr>
      <w:r>
        <w:rPr/>
        <w:drawing>
          <wp:inline distT="0" distB="0" distL="0" distR="0">
            <wp:extent cx="6120130" cy="5340350"/>
            <wp:effectExtent l="0" t="0" r="0" b="0"/>
            <wp:docPr id="9"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4" descr=""/>
                    <pic:cNvPicPr>
                      <a:picLocks noChangeAspect="1" noChangeArrowheads="1"/>
                    </pic:cNvPicPr>
                  </pic:nvPicPr>
                  <pic:blipFill>
                    <a:blip r:embed="rId10"/>
                    <a:stretch>
                      <a:fillRect/>
                    </a:stretch>
                  </pic:blipFill>
                  <pic:spPr bwMode="auto">
                    <a:xfrm>
                      <a:off x="0" y="0"/>
                      <a:ext cx="6120130" cy="5340350"/>
                    </a:xfrm>
                    <a:prstGeom prst="rect">
                      <a:avLst/>
                    </a:prstGeom>
                  </pic:spPr>
                </pic:pic>
              </a:graphicData>
            </a:graphic>
          </wp:inline>
        </w:drawing>
      </w:r>
    </w:p>
    <w:p>
      <w:pPr>
        <w:pStyle w:val="Normal"/>
        <w:spacing w:lineRule="auto" w:line="360"/>
        <w:rPr>
          <w:rFonts w:ascii="Times New Roman" w:hAnsi="Times New Roman" w:cs="Times New Roman"/>
          <w:bCs/>
          <w:szCs w:val="24"/>
          <w:lang w:val="en-US"/>
        </w:rPr>
      </w:pPr>
      <w:r>
        <w:rPr>
          <w:rFonts w:cs="Times New Roman" w:ascii="Times New Roman" w:hAnsi="Times New Roman"/>
          <w:b/>
          <w:bCs/>
          <w:szCs w:val="24"/>
          <w:lang w:val="en-US"/>
        </w:rPr>
        <w:t xml:space="preserve">Fig. S9 Correlation between synaptophysin and SV2A density. </w:t>
      </w:r>
      <w:r>
        <w:rPr>
          <w:rFonts w:cs="Times New Roman" w:ascii="Times New Roman" w:hAnsi="Times New Roman"/>
          <w:bCs/>
          <w:szCs w:val="24"/>
          <w:lang w:val="en-US"/>
        </w:rPr>
        <w:t xml:space="preserve">Correlation scatterplots between synaptophysin and SV2A density are shown for all cases (top left), controls (top right), PD (bottom left) and DLB (bottom right). Synaptophysin and SV2A density weakly correlated across all cases and in the control, PD and DLB group, while they did not correlate in the PDD group. Every data point represents one averaged measurement per layer III and VI, and it is color-coded by group (legend bottom right). </w:t>
      </w:r>
      <w:r>
        <w:rPr>
          <w:rFonts w:cs="Times New Roman" w:ascii="Times New Roman" w:hAnsi="Times New Roman"/>
          <w:b/>
          <w:bCs/>
          <w:szCs w:val="24"/>
          <w:lang w:val="en-US"/>
        </w:rPr>
        <w:t>Legend</w:t>
      </w:r>
      <w:r>
        <w:rPr>
          <w:rFonts w:cs="Times New Roman" w:ascii="Times New Roman" w:hAnsi="Times New Roman"/>
          <w:bCs/>
          <w:szCs w:val="24"/>
          <w:lang w:val="en-US"/>
        </w:rPr>
        <w:t xml:space="preserve">: </w:t>
      </w:r>
      <w:r>
        <w:rPr>
          <w:rFonts w:cs="Times New Roman" w:ascii="Times New Roman" w:hAnsi="Times New Roman"/>
          <w:bCs/>
          <w:i/>
          <w:szCs w:val="24"/>
          <w:lang w:val="en-US"/>
        </w:rPr>
        <w:t>CTRL: control; DLB: Dementia with Lewy Bodies; PD: Parkinson’s disease; PDD: Parkinson’s disease dementia.</w:t>
      </w:r>
    </w:p>
    <w:p>
      <w:pPr>
        <w:pStyle w:val="Normal"/>
        <w:spacing w:lineRule="auto" w:line="360"/>
        <w:rPr>
          <w:rFonts w:ascii="Times New Roman" w:hAnsi="Times New Roman" w:cs="Times New Roman"/>
          <w:i/>
          <w:i/>
          <w:szCs w:val="18"/>
          <w:lang w:val="en-US"/>
        </w:rPr>
      </w:pPr>
      <w:r>
        <w:rPr>
          <w:rFonts w:cs="Times New Roman" w:ascii="Times New Roman" w:hAnsi="Times New Roman"/>
          <w:i/>
          <w:szCs w:val="18"/>
          <w:lang w:val="en-US"/>
        </w:rPr>
      </w:r>
    </w:p>
    <w:p>
      <w:pPr>
        <w:pStyle w:val="Normal"/>
        <w:spacing w:lineRule="auto" w:line="360"/>
        <w:rPr>
          <w:rFonts w:ascii="Times New Roman" w:hAnsi="Times New Roman" w:cs="Times New Roman"/>
          <w:b/>
          <w:bCs/>
          <w:szCs w:val="24"/>
          <w:lang w:val="en-US"/>
        </w:rPr>
      </w:pPr>
      <w:r>
        <w:rPr>
          <w:rFonts w:cs="Times New Roman" w:ascii="Times New Roman" w:hAnsi="Times New Roman"/>
          <w:b/>
          <w:bCs/>
          <w:szCs w:val="24"/>
          <w:lang w:val="en-US"/>
        </w:rPr>
      </w:r>
    </w:p>
    <w:p>
      <w:pPr>
        <w:pStyle w:val="Normal"/>
        <w:spacing w:lineRule="auto" w:line="360"/>
        <w:rPr>
          <w:rFonts w:ascii="Times New Roman" w:hAnsi="Times New Roman" w:cs="Times New Roman"/>
          <w:bCs/>
          <w:i/>
          <w:i/>
          <w:szCs w:val="24"/>
          <w:lang w:val="en-US"/>
        </w:rPr>
      </w:pPr>
      <w:r>
        <w:rPr/>
        <w:drawing>
          <wp:inline distT="0" distB="0" distL="0" distR="0">
            <wp:extent cx="6120130" cy="5654675"/>
            <wp:effectExtent l="0" t="0" r="0" b="0"/>
            <wp:docPr id="10" name="Pictur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8" descr=""/>
                    <pic:cNvPicPr>
                      <a:picLocks noChangeAspect="1" noChangeArrowheads="1"/>
                    </pic:cNvPicPr>
                  </pic:nvPicPr>
                  <pic:blipFill>
                    <a:blip r:embed="rId11"/>
                    <a:stretch>
                      <a:fillRect/>
                    </a:stretch>
                  </pic:blipFill>
                  <pic:spPr bwMode="auto">
                    <a:xfrm>
                      <a:off x="0" y="0"/>
                      <a:ext cx="6120130" cy="5654675"/>
                    </a:xfrm>
                    <a:prstGeom prst="rect">
                      <a:avLst/>
                    </a:prstGeom>
                  </pic:spPr>
                </pic:pic>
              </a:graphicData>
            </a:graphic>
          </wp:inline>
        </w:drawing>
      </w:r>
    </w:p>
    <w:p>
      <w:pPr>
        <w:pStyle w:val="Normal"/>
        <w:spacing w:lineRule="auto" w:line="360"/>
        <w:rPr>
          <w:rFonts w:ascii="Times New Roman" w:hAnsi="Times New Roman" w:cs="Times New Roman"/>
          <w:bCs/>
          <w:i/>
          <w:i/>
          <w:szCs w:val="24"/>
          <w:lang w:val="en-US"/>
        </w:rPr>
      </w:pPr>
      <w:r>
        <w:rPr>
          <w:rFonts w:cs="Times New Roman" w:ascii="Times New Roman" w:hAnsi="Times New Roman"/>
          <w:b/>
          <w:bCs/>
          <w:szCs w:val="24"/>
          <w:lang w:val="en-US"/>
        </w:rPr>
        <w:t xml:space="preserve">Fig. S10 Relationship between amyloid-β and SV2A+ puncta: neuropil mask. </w:t>
      </w:r>
      <w:r>
        <w:rPr>
          <w:rFonts w:cs="Times New Roman" w:ascii="Times New Roman" w:hAnsi="Times New Roman"/>
          <w:bCs/>
          <w:szCs w:val="24"/>
          <w:lang w:val="en-US"/>
        </w:rPr>
        <w:t xml:space="preserve">SV2A analysis of the posterior cingulate gyrus of a DLB case, layer III. In </w:t>
      </w:r>
      <w:r>
        <w:rPr>
          <w:rFonts w:cs="Times New Roman" w:ascii="Times New Roman" w:hAnsi="Times New Roman"/>
          <w:b/>
          <w:bCs/>
          <w:szCs w:val="24"/>
          <w:lang w:val="en-US"/>
        </w:rPr>
        <w:t>(A)</w:t>
      </w:r>
      <w:r>
        <w:rPr>
          <w:rFonts w:cs="Times New Roman" w:ascii="Times New Roman" w:hAnsi="Times New Roman"/>
          <w:bCs/>
          <w:szCs w:val="24"/>
          <w:lang w:val="en-US"/>
        </w:rPr>
        <w:t xml:space="preserve"> we can see the DAPI channel (blue) together with the resulting neuropil mask (orange). From this image we can appreciate that what looks like </w:t>
      </w:r>
      <w:r>
        <w:rPr>
          <w:rFonts w:cs="Times New Roman" w:ascii="Times New Roman" w:hAnsi="Times New Roman"/>
          <w:bCs/>
          <w:lang w:val="en-GB"/>
        </w:rPr>
        <w:t>amyloid-β</w:t>
      </w:r>
      <w:r>
        <w:rPr>
          <w:rFonts w:cs="Times New Roman" w:ascii="Times New Roman" w:hAnsi="Times New Roman"/>
          <w:bCs/>
          <w:szCs w:val="24"/>
          <w:lang w:val="en-US"/>
        </w:rPr>
        <w:t xml:space="preserve"> (Aβ) compact plaques (*), positive to DAPI, besides the nuclei (#). In a consecutive section (insert of A), we can visualize </w:t>
      </w:r>
      <w:r>
        <w:rPr>
          <w:rFonts w:cs="Times New Roman" w:ascii="Times New Roman" w:hAnsi="Times New Roman"/>
          <w:bCs/>
          <w:lang w:val="en-GB"/>
        </w:rPr>
        <w:t>amyloid-β</w:t>
      </w:r>
      <w:r>
        <w:rPr>
          <w:rFonts w:cs="Times New Roman" w:ascii="Times New Roman" w:hAnsi="Times New Roman"/>
          <w:bCs/>
          <w:szCs w:val="24"/>
          <w:lang w:val="en-US"/>
        </w:rPr>
        <w:t xml:space="preserve"> compact plaques in the bright-field </w:t>
      </w:r>
      <w:r>
        <w:rPr>
          <w:rFonts w:cs="Times New Roman" w:ascii="Times New Roman" w:hAnsi="Times New Roman"/>
          <w:bCs/>
          <w:lang w:val="en-GB"/>
        </w:rPr>
        <w:t>amyloid-β</w:t>
      </w:r>
      <w:r>
        <w:rPr>
          <w:rFonts w:cs="Times New Roman" w:ascii="Times New Roman" w:hAnsi="Times New Roman"/>
          <w:bCs/>
          <w:szCs w:val="24"/>
          <w:lang w:val="en-US"/>
        </w:rPr>
        <w:t xml:space="preserve"> staining of the same case. </w:t>
      </w:r>
      <w:r>
        <w:rPr>
          <w:rFonts w:cs="Times New Roman" w:ascii="Times New Roman" w:hAnsi="Times New Roman"/>
          <w:b/>
          <w:bCs/>
          <w:szCs w:val="24"/>
          <w:lang w:val="en-US"/>
        </w:rPr>
        <w:t xml:space="preserve">(B) </w:t>
      </w:r>
      <w:r>
        <w:rPr>
          <w:rFonts w:cs="Times New Roman" w:ascii="Times New Roman" w:hAnsi="Times New Roman"/>
          <w:bCs/>
          <w:szCs w:val="24"/>
          <w:lang w:val="en-US"/>
        </w:rPr>
        <w:t xml:space="preserve">shows the next step of the analysis, that is the quantification of SV2A+ puncta (colorful dot-like mask) with the bright spot function only in the neuropil mask, therefore excluding not only the nuclei, the autofluorescence signal, and holes in the tissue, but also </w:t>
      </w:r>
      <w:r>
        <w:rPr>
          <w:rFonts w:cs="Times New Roman" w:ascii="Times New Roman" w:hAnsi="Times New Roman"/>
          <w:bCs/>
          <w:lang w:val="en-GB"/>
        </w:rPr>
        <w:t>amyloid-β</w:t>
      </w:r>
      <w:r>
        <w:rPr>
          <w:rFonts w:cs="Times New Roman" w:ascii="Times New Roman" w:hAnsi="Times New Roman"/>
          <w:bCs/>
          <w:szCs w:val="24"/>
          <w:lang w:val="en-US"/>
        </w:rPr>
        <w:t xml:space="preserve"> compact plaques. In </w:t>
      </w:r>
      <w:r>
        <w:rPr>
          <w:rFonts w:cs="Times New Roman" w:ascii="Times New Roman" w:hAnsi="Times New Roman"/>
          <w:b/>
          <w:bCs/>
          <w:szCs w:val="24"/>
          <w:lang w:val="en-US"/>
        </w:rPr>
        <w:t>(C)</w:t>
      </w:r>
      <w:r>
        <w:rPr>
          <w:rFonts w:cs="Times New Roman" w:ascii="Times New Roman" w:hAnsi="Times New Roman"/>
          <w:bCs/>
          <w:szCs w:val="24"/>
          <w:lang w:val="en-US"/>
        </w:rPr>
        <w:t xml:space="preserve"> we can see the original staining, with DAPI (blue) and SV2A (green) with the masking explained in </w:t>
      </w:r>
      <w:r>
        <w:rPr>
          <w:rFonts w:cs="Times New Roman" w:ascii="Times New Roman" w:hAnsi="Times New Roman"/>
          <w:b/>
          <w:bCs/>
          <w:szCs w:val="24"/>
          <w:lang w:val="en-US"/>
        </w:rPr>
        <w:t>(A)</w:t>
      </w:r>
      <w:r>
        <w:rPr>
          <w:rFonts w:cs="Times New Roman" w:ascii="Times New Roman" w:hAnsi="Times New Roman"/>
          <w:bCs/>
          <w:szCs w:val="24"/>
          <w:lang w:val="en-US"/>
        </w:rPr>
        <w:t xml:space="preserve"> and </w:t>
      </w:r>
      <w:r>
        <w:rPr>
          <w:rFonts w:cs="Times New Roman" w:ascii="Times New Roman" w:hAnsi="Times New Roman"/>
          <w:b/>
          <w:bCs/>
          <w:szCs w:val="24"/>
          <w:lang w:val="en-US"/>
        </w:rPr>
        <w:t>(B).</w:t>
      </w:r>
      <w:r>
        <w:rPr>
          <w:rFonts w:cs="Times New Roman" w:ascii="Times New Roman" w:hAnsi="Times New Roman"/>
          <w:bCs/>
          <w:szCs w:val="24"/>
          <w:lang w:val="en-US"/>
        </w:rPr>
        <w:t xml:space="preserve"> </w:t>
      </w:r>
      <w:r>
        <w:rPr>
          <w:rFonts w:cs="Times New Roman" w:ascii="Times New Roman" w:hAnsi="Times New Roman"/>
          <w:b/>
          <w:bCs/>
          <w:szCs w:val="24"/>
          <w:lang w:val="en-US"/>
        </w:rPr>
        <w:t>(D)</w:t>
      </w:r>
      <w:r>
        <w:rPr>
          <w:rFonts w:cs="Times New Roman" w:ascii="Times New Roman" w:hAnsi="Times New Roman"/>
          <w:bCs/>
          <w:szCs w:val="24"/>
          <w:lang w:val="en-US"/>
        </w:rPr>
        <w:t xml:space="preserve"> shows a zoom-in detail of two compact plaques (*) next to a nucleus (#) and a blood vessel (+). Particularly, here we can appreciate that the quantification of SV2A+ puncta (colorful dot-like mask) is carried out outside the nuclei and the compact plaques, while SV2A positive puncta (green dots) within the </w:t>
      </w:r>
      <w:r>
        <w:rPr>
          <w:rFonts w:cs="Times New Roman" w:ascii="Times New Roman" w:hAnsi="Times New Roman"/>
          <w:bCs/>
          <w:lang w:val="en-GB"/>
        </w:rPr>
        <w:t>amyloid-β</w:t>
      </w:r>
      <w:r>
        <w:rPr>
          <w:rFonts w:cs="Times New Roman" w:ascii="Times New Roman" w:hAnsi="Times New Roman"/>
          <w:bCs/>
          <w:szCs w:val="24"/>
          <w:lang w:val="en-US"/>
        </w:rPr>
        <w:t xml:space="preserve"> compact plaques are excluded from the analysis. The scale bar is 20 μm in all images. </w:t>
      </w:r>
      <w:r>
        <w:rPr>
          <w:rFonts w:cs="Times New Roman" w:ascii="Times New Roman" w:hAnsi="Times New Roman"/>
          <w:b/>
          <w:bCs/>
          <w:szCs w:val="24"/>
          <w:lang w:val="en-US"/>
        </w:rPr>
        <w:t>Legend</w:t>
      </w:r>
      <w:r>
        <w:rPr>
          <w:rFonts w:cs="Times New Roman" w:ascii="Times New Roman" w:hAnsi="Times New Roman"/>
          <w:bCs/>
          <w:szCs w:val="24"/>
          <w:lang w:val="en-US"/>
        </w:rPr>
        <w:t xml:space="preserve">: </w:t>
      </w:r>
      <w:r>
        <w:rPr>
          <w:rFonts w:cs="Times New Roman" w:ascii="Times New Roman" w:hAnsi="Times New Roman"/>
          <w:bCs/>
          <w:i/>
          <w:szCs w:val="24"/>
          <w:lang w:val="en-US"/>
        </w:rPr>
        <w:t>Aβ: amyloid-β; AF: autofluorescence.</w:t>
      </w:r>
    </w:p>
    <w:p>
      <w:pPr>
        <w:pStyle w:val="Heading1"/>
        <w:spacing w:lineRule="auto" w:line="360"/>
        <w:rPr>
          <w:rFonts w:cs="Times New Roman"/>
          <w:color w:val="auto"/>
        </w:rPr>
      </w:pPr>
      <w:r>
        <w:rPr>
          <w:rFonts w:cs="Times New Roman"/>
          <w:color w:val="auto"/>
        </w:rPr>
        <w:t>References supplementary figures</w:t>
      </w:r>
    </w:p>
    <w:p>
      <w:pPr>
        <w:pStyle w:val="Normal"/>
        <w:spacing w:lineRule="auto" w:line="360"/>
        <w:rPr>
          <w:rFonts w:ascii="Times New Roman" w:hAnsi="Times New Roman" w:cs="Times New Roman"/>
          <w:i/>
          <w:i/>
          <w:lang w:val="en-US"/>
        </w:rPr>
      </w:pPr>
      <w:r>
        <w:rPr>
          <w:rFonts w:cs="Times New Roman" w:ascii="Times New Roman" w:hAnsi="Times New Roman"/>
          <w:i/>
          <w:lang w:val="en-US"/>
        </w:rPr>
      </w:r>
    </w:p>
    <w:p>
      <w:pPr>
        <w:pStyle w:val="EndNoteBibliography"/>
        <w:spacing w:before="0" w:after="0"/>
        <w:ind w:left="720" w:hanging="720"/>
        <w:rPr/>
      </w:pPr>
      <w:r>
        <w:fldChar w:fldCharType="begin"/>
      </w:r>
      <w:r>
        <w:rPr>
          <w:rFonts w:ascii="Times New Roman" w:hAnsi="Times New Roman"/>
        </w:rPr>
        <w:instrText xml:space="preserve">ADDIN EN.REFLIST</w:instrText>
      </w:r>
      <w:r>
        <w:rPr>
          <w:rFonts w:ascii="Times New Roman" w:hAnsi="Times New Roman"/>
        </w:rPr>
      </w:r>
      <w:r>
        <w:rPr>
          <w:rFonts w:ascii="Times New Roman" w:hAnsi="Times New Roman"/>
        </w:rPr>
        <w:fldChar w:fldCharType="separate"/>
      </w:r>
      <w:r>
        <w:rPr>
          <w:rFonts w:ascii="Times New Roman" w:hAnsi="Times New Roman"/>
        </w:rPr>
      </w:r>
      <w:r>
        <w:rPr/>
        <w:t>1.</w:t>
        <w:tab/>
        <w:t xml:space="preserve">Adler DH, Pluta J, Kadivar S, Craige C, Gee JC, Avants BB, Yushkevich PA: </w:t>
      </w:r>
      <w:r>
        <w:rPr>
          <w:b/>
        </w:rPr>
        <w:t>Histology-derived volumetric annotation of the human hippocampal subfields in postmortem MRI.</w:t>
      </w:r>
      <w:r>
        <w:rPr/>
        <w:t xml:space="preserve"> </w:t>
      </w:r>
      <w:r>
        <w:rPr>
          <w:i/>
        </w:rPr>
        <w:t xml:space="preserve">Neuroimage </w:t>
      </w:r>
      <w:r>
        <w:rPr/>
        <w:t xml:space="preserve">2014, </w:t>
      </w:r>
      <w:r>
        <w:rPr>
          <w:b/>
        </w:rPr>
        <w:t>84:</w:t>
      </w:r>
      <w:r>
        <w:rPr/>
        <w:t>505-523.</w:t>
      </w:r>
    </w:p>
    <w:p>
      <w:pPr>
        <w:pStyle w:val="EndNoteBibliography"/>
        <w:spacing w:before="0" w:after="0"/>
        <w:ind w:left="720" w:hanging="720"/>
        <w:rPr/>
      </w:pPr>
      <w:r>
        <w:rPr/>
        <w:t>2.</w:t>
        <w:tab/>
        <w:t xml:space="preserve">Insausti R, Munoz-Lopez M, Insausti AM, Artacho-Perula E: </w:t>
      </w:r>
      <w:r>
        <w:rPr>
          <w:b/>
        </w:rPr>
        <w:t>The Human Periallocortex: Layer Pattern in Presubiculum, Parasubiculum and Entorhinal Cortex. A Review.</w:t>
      </w:r>
      <w:r>
        <w:rPr/>
        <w:t xml:space="preserve"> </w:t>
      </w:r>
      <w:r>
        <w:rPr>
          <w:i/>
        </w:rPr>
        <w:t xml:space="preserve">Front Neuroanat </w:t>
      </w:r>
      <w:r>
        <w:rPr/>
        <w:t xml:space="preserve">2017, </w:t>
      </w:r>
      <w:r>
        <w:rPr>
          <w:b/>
        </w:rPr>
        <w:t>11:</w:t>
      </w:r>
      <w:r>
        <w:rPr/>
        <w:t>84.</w:t>
      </w:r>
    </w:p>
    <w:p>
      <w:pPr>
        <w:pStyle w:val="EndNoteBibliography"/>
        <w:spacing w:before="0" w:after="0"/>
        <w:ind w:left="720" w:hanging="720"/>
        <w:rPr/>
      </w:pPr>
      <w:r>
        <w:rPr/>
        <w:t>3.</w:t>
        <w:tab/>
        <w:t xml:space="preserve">Bankhead P, Loughrey MB, Fernandez JA, Dombrowski Y, McArt DG, Dunne PD, McQuaid S, Gray RT, Murray LJ, Coleman HG, et al: </w:t>
      </w:r>
      <w:r>
        <w:rPr>
          <w:b/>
        </w:rPr>
        <w:t>QuPath: Open source software for digital pathology image analysis.</w:t>
      </w:r>
      <w:r>
        <w:rPr/>
        <w:t xml:space="preserve"> </w:t>
      </w:r>
      <w:r>
        <w:rPr>
          <w:i/>
        </w:rPr>
        <w:t xml:space="preserve">Sci Rep </w:t>
      </w:r>
      <w:r>
        <w:rPr/>
        <w:t xml:space="preserve">2017, </w:t>
      </w:r>
      <w:r>
        <w:rPr>
          <w:b/>
        </w:rPr>
        <w:t>7:</w:t>
      </w:r>
      <w:r>
        <w:rPr/>
        <w:t>16878.</w:t>
      </w:r>
    </w:p>
    <w:p>
      <w:pPr>
        <w:pStyle w:val="EndNoteBibliography"/>
        <w:ind w:left="720" w:hanging="720"/>
        <w:rPr/>
      </w:pPr>
      <w:r>
        <w:rPr/>
        <w:t>4.</w:t>
        <w:tab/>
        <w:t xml:space="preserve">Kovacs GG, Wagner U, Dumont B, Pikkarainen M, Osman AA, Streichenberger N, Leisser I, Verchère J, Baron T, Alafuzoff I: </w:t>
      </w:r>
      <w:r>
        <w:rPr>
          <w:b/>
        </w:rPr>
        <w:t>An antibody with high reactivity for disease-associated α-synuclein reveals extensive brain pathology.</w:t>
      </w:r>
      <w:r>
        <w:rPr/>
        <w:t xml:space="preserve"> </w:t>
      </w:r>
      <w:r>
        <w:rPr>
          <w:i/>
        </w:rPr>
        <w:t xml:space="preserve">Acta neuropathologica </w:t>
      </w:r>
      <w:r>
        <w:rPr/>
        <w:t xml:space="preserve">2012, </w:t>
      </w:r>
      <w:r>
        <w:rPr>
          <w:b/>
        </w:rPr>
        <w:t>124:</w:t>
      </w:r>
      <w:r>
        <w:rPr/>
        <w:t>37-50.</w:t>
      </w:r>
    </w:p>
    <w:p>
      <w:pPr>
        <w:pStyle w:val="Normal"/>
        <w:spacing w:lineRule="auto" w:line="360" w:before="0" w:after="160"/>
        <w:rPr>
          <w:rFonts w:ascii="Times New Roman" w:hAnsi="Times New Roman" w:cs="Times New Roman"/>
          <w:bCs/>
          <w:lang w:val="en-US"/>
        </w:rPr>
      </w:pPr>
      <w:r/>
      <w:r>
        <w:rPr>
          <w:rFonts w:ascii="Times New Roman" w:hAnsi="Times New Roman"/>
        </w:rPr>
        <w:fldChar w:fldCharType="end"/>
      </w:r>
      <w:r>
        <w:rPr>
          <w:rFonts w:ascii="Times New Roman" w:hAnsi="Times New Roman"/>
        </w:rPr>
      </w:r>
    </w:p>
    <w:sectPr>
      <w:type w:val="nextPage"/>
      <w:pgSz w:w="11906" w:h="16838"/>
      <w:pgMar w:left="1134" w:right="1134" w:gutter="0" w:header="0" w:top="1417"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36c5a"/>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Heading1">
    <w:name w:val="Heading 1"/>
    <w:basedOn w:val="Normal"/>
    <w:next w:val="Normal"/>
    <w:link w:val="Heading1Char"/>
    <w:uiPriority w:val="9"/>
    <w:qFormat/>
    <w:rsid w:val="00b86b0e"/>
    <w:pPr>
      <w:keepNext w:val="true"/>
      <w:keepLines/>
      <w:pBdr/>
      <w:spacing w:lineRule="auto" w:line="480" w:before="480" w:after="120"/>
      <w:jc w:val="both"/>
      <w:outlineLvl w:val="0"/>
    </w:pPr>
    <w:rPr>
      <w:rFonts w:ascii="Times New Roman" w:hAnsi="Times New Roman" w:eastAsia="Arial Unicode MS"/>
      <w:b/>
      <w:bCs/>
      <w:color w:val="7030A0"/>
      <w:sz w:val="36"/>
      <w:szCs w:val="48"/>
      <w:lang w:val="en-US"/>
    </w:rPr>
  </w:style>
  <w:style w:type="character" w:styleId="DefaultParagraphFont" w:default="1">
    <w:name w:val="Default Paragraph Font"/>
    <w:uiPriority w:val="1"/>
    <w:semiHidden/>
    <w:unhideWhenUsed/>
    <w:qFormat/>
    <w:rPr/>
  </w:style>
  <w:style w:type="character" w:styleId="Annotationreference">
    <w:name w:val="annotation reference"/>
    <w:basedOn w:val="DefaultParagraphFont"/>
    <w:uiPriority w:val="99"/>
    <w:semiHidden/>
    <w:unhideWhenUsed/>
    <w:qFormat/>
    <w:rsid w:val="00e54cb2"/>
    <w:rPr>
      <w:sz w:val="16"/>
      <w:szCs w:val="16"/>
    </w:rPr>
  </w:style>
  <w:style w:type="character" w:styleId="CommentTextChar" w:customStyle="1">
    <w:name w:val="Comment Text Char"/>
    <w:basedOn w:val="DefaultParagraphFont"/>
    <w:link w:val="Annotationtext"/>
    <w:uiPriority w:val="99"/>
    <w:qFormat/>
    <w:rsid w:val="00e54cb2"/>
    <w:rPr>
      <w:sz w:val="20"/>
      <w:szCs w:val="20"/>
      <w:lang w:val="it-IT"/>
    </w:rPr>
  </w:style>
  <w:style w:type="character" w:styleId="CommentSubjectChar" w:customStyle="1">
    <w:name w:val="Comment Subject Char"/>
    <w:basedOn w:val="CommentTextChar"/>
    <w:link w:val="Annotationsubject"/>
    <w:uiPriority w:val="99"/>
    <w:semiHidden/>
    <w:qFormat/>
    <w:rsid w:val="00e54cb2"/>
    <w:rPr>
      <w:b/>
      <w:bCs/>
      <w:sz w:val="20"/>
      <w:szCs w:val="20"/>
      <w:lang w:val="it-IT"/>
    </w:rPr>
  </w:style>
  <w:style w:type="character" w:styleId="BalloonTextChar" w:customStyle="1">
    <w:name w:val="Balloon Text Char"/>
    <w:basedOn w:val="DefaultParagraphFont"/>
    <w:link w:val="BalloonText"/>
    <w:uiPriority w:val="99"/>
    <w:semiHidden/>
    <w:qFormat/>
    <w:rsid w:val="00e54cb2"/>
    <w:rPr>
      <w:rFonts w:ascii="Segoe UI" w:hAnsi="Segoe UI" w:cs="Segoe UI"/>
      <w:sz w:val="18"/>
      <w:szCs w:val="18"/>
      <w:lang w:val="it-IT"/>
    </w:rPr>
  </w:style>
  <w:style w:type="character" w:styleId="EndNoteBibliographyTitleChar" w:customStyle="1">
    <w:name w:val="EndNote Bibliography Title Char"/>
    <w:basedOn w:val="DefaultParagraphFont"/>
    <w:link w:val="EndNoteBibliographyTitle"/>
    <w:qFormat/>
    <w:rsid w:val="00f5203f"/>
    <w:rPr>
      <w:rFonts w:ascii="Calibri" w:hAnsi="Calibri" w:cs="Calibri"/>
      <w:lang w:val="en-US"/>
    </w:rPr>
  </w:style>
  <w:style w:type="character" w:styleId="EndNoteBibliographyChar" w:customStyle="1">
    <w:name w:val="EndNote Bibliography Char"/>
    <w:basedOn w:val="DefaultParagraphFont"/>
    <w:link w:val="EndNoteBibliography"/>
    <w:qFormat/>
    <w:rsid w:val="00f5203f"/>
    <w:rPr>
      <w:rFonts w:ascii="Calibri" w:hAnsi="Calibri" w:cs="Calibri"/>
      <w:lang w:val="en-US"/>
    </w:rPr>
  </w:style>
  <w:style w:type="character" w:styleId="Heading1Char" w:customStyle="1">
    <w:name w:val="Heading 1 Char"/>
    <w:basedOn w:val="DefaultParagraphFont"/>
    <w:link w:val="Heading1"/>
    <w:uiPriority w:val="9"/>
    <w:qFormat/>
    <w:rsid w:val="00b86b0e"/>
    <w:rPr>
      <w:rFonts w:ascii="Times New Roman" w:hAnsi="Times New Roman" w:eastAsia="Arial Unicode MS"/>
      <w:b/>
      <w:bCs/>
      <w:color w:val="7030A0"/>
      <w:sz w:val="36"/>
      <w:szCs w:val="48"/>
      <w:lang w:val="en-US"/>
    </w:rPr>
  </w:style>
  <w:style w:type="character" w:styleId="InternetLink">
    <w:name w:val="Hyperlink"/>
    <w:basedOn w:val="DefaultParagraphFont"/>
    <w:uiPriority w:val="99"/>
    <w:unhideWhenUsed/>
    <w:rsid w:val="00f07793"/>
    <w:rPr>
      <w:color w:val="0563C1" w:themeColor="hyperlink"/>
      <w:u w:val="single"/>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nnotationtext">
    <w:name w:val="annotation text"/>
    <w:basedOn w:val="Normal"/>
    <w:link w:val="CommentTextChar"/>
    <w:uiPriority w:val="99"/>
    <w:unhideWhenUsed/>
    <w:qFormat/>
    <w:rsid w:val="00e54cb2"/>
    <w:pPr>
      <w:spacing w:lineRule="auto" w:line="240"/>
    </w:pPr>
    <w:rPr>
      <w:sz w:val="20"/>
      <w:szCs w:val="20"/>
    </w:rPr>
  </w:style>
  <w:style w:type="paragraph" w:styleId="Annotationsubject">
    <w:name w:val="annotation subject"/>
    <w:basedOn w:val="Annotationtext"/>
    <w:next w:val="Annotationtext"/>
    <w:link w:val="CommentSubjectChar"/>
    <w:uiPriority w:val="99"/>
    <w:semiHidden/>
    <w:unhideWhenUsed/>
    <w:qFormat/>
    <w:rsid w:val="00e54cb2"/>
    <w:pPr/>
    <w:rPr>
      <w:b/>
      <w:bCs/>
    </w:rPr>
  </w:style>
  <w:style w:type="paragraph" w:styleId="BalloonText">
    <w:name w:val="Balloon Text"/>
    <w:basedOn w:val="Normal"/>
    <w:link w:val="BalloonTextChar"/>
    <w:uiPriority w:val="99"/>
    <w:semiHidden/>
    <w:unhideWhenUsed/>
    <w:qFormat/>
    <w:rsid w:val="00e54cb2"/>
    <w:pPr>
      <w:spacing w:lineRule="auto" w:line="240" w:before="0" w:after="0"/>
    </w:pPr>
    <w:rPr>
      <w:rFonts w:ascii="Segoe UI" w:hAnsi="Segoe UI" w:cs="Segoe UI"/>
      <w:sz w:val="18"/>
      <w:szCs w:val="18"/>
    </w:rPr>
  </w:style>
  <w:style w:type="paragraph" w:styleId="EndNoteBibliographyTitle" w:customStyle="1">
    <w:name w:val="EndNote Bibliography Title"/>
    <w:basedOn w:val="Normal"/>
    <w:link w:val="EndNoteBibliographyTitleChar"/>
    <w:qFormat/>
    <w:rsid w:val="00f5203f"/>
    <w:pPr>
      <w:spacing w:before="0" w:after="0"/>
      <w:jc w:val="center"/>
    </w:pPr>
    <w:rPr>
      <w:rFonts w:ascii="Calibri" w:hAnsi="Calibri" w:cs="Calibri"/>
      <w:lang w:val="en-US"/>
    </w:rPr>
  </w:style>
  <w:style w:type="paragraph" w:styleId="EndNoteBibliography" w:customStyle="1">
    <w:name w:val="EndNote Bibliography"/>
    <w:basedOn w:val="Normal"/>
    <w:link w:val="EndNoteBibliographyChar"/>
    <w:qFormat/>
    <w:rsid w:val="00f5203f"/>
    <w:pPr>
      <w:spacing w:lineRule="auto" w:line="240"/>
    </w:pPr>
    <w:rPr>
      <w:rFonts w:ascii="Calibri" w:hAnsi="Calibri" w:cs="Calibri"/>
      <w:lang w:val="en-U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368CA-A2B0-4891-971E-CCD8DC78E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Application>LibreOffice/7.5.0.3$Windows_X86_64 LibreOffice_project/c21113d003cd3efa8c53188764377a8272d9d6de</Application>
  <AppVersion>15.0000</AppVersion>
  <Pages>2</Pages>
  <Words>1573</Words>
  <Characters>8749</Characters>
  <CharactersWithSpaces>10309</CharactersWithSpaces>
  <Paragraphs>27</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2023-10-10T08:42:00Z</dcterms:created>
  <dc:creator>Microsoft account</dc:creator>
  <dc:description/>
  <dc:language>en-IN</dc:language>
  <cp:lastModifiedBy>Frigerio, I. (Irene)</cp:lastModifiedBy>
  <dcterms:modified xsi:type="dcterms:W3CDTF">2023-12-01T15:24:00Z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-760690808</vt:i4>
  </property>
</Properties>
</file>