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4F09A" w14:textId="770E1883" w:rsidR="0043195B" w:rsidRPr="00513EFA" w:rsidRDefault="000462C3" w:rsidP="0043195B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Cs w:val="24"/>
        </w:rPr>
      </w:pPr>
      <w:bookmarkStart w:id="0" w:name="_GoBack"/>
      <w:bookmarkEnd w:id="0"/>
      <w:r w:rsidRPr="000462C3">
        <w:rPr>
          <w:rFonts w:ascii="Times New Roman" w:eastAsia="Times New Roman" w:hAnsi="Times New Roman" w:cs="Times New Roman"/>
          <w:b/>
          <w:bCs/>
          <w:sz w:val="24"/>
          <w:szCs w:val="24"/>
        </w:rPr>
        <w:t>Decoding of the surfaceome and endocytome in primary glioblastoma cells identifies potential target antigens in the hypoxic tumor niche</w:t>
      </w:r>
    </w:p>
    <w:p w14:paraId="64BA0754" w14:textId="4766CE5A" w:rsidR="00CA62A4" w:rsidRPr="000462C3" w:rsidRDefault="0043195B" w:rsidP="000462C3">
      <w:pPr>
        <w:widowControl w:val="0"/>
        <w:autoSpaceDE w:val="0"/>
        <w:autoSpaceDN w:val="0"/>
        <w:spacing w:after="0" w:line="48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sv-SE"/>
        </w:rPr>
      </w:pP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Kelin</w:t>
      </w:r>
      <w:r w:rsidRPr="00996758">
        <w:rPr>
          <w:rFonts w:ascii="Times New Roman" w:eastAsia="Times New Roman" w:hAnsi="Times New Roman" w:cs="Times New Roman"/>
          <w:spacing w:val="2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Gonçalves</w:t>
      </w:r>
      <w:r w:rsidRPr="00996758">
        <w:rPr>
          <w:rFonts w:ascii="Times New Roman" w:eastAsia="Times New Roman" w:hAnsi="Times New Roman" w:cs="Times New Roman"/>
          <w:spacing w:val="3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de</w:t>
      </w:r>
      <w:r w:rsidRPr="00996758">
        <w:rPr>
          <w:rFonts w:ascii="Times New Roman" w:eastAsia="Times New Roman" w:hAnsi="Times New Roman" w:cs="Times New Roman"/>
          <w:spacing w:val="3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Oliveira,</w:t>
      </w:r>
      <w:r w:rsidRPr="00996758">
        <w:rPr>
          <w:rFonts w:ascii="Times New Roman" w:eastAsia="Times New Roman" w:hAnsi="Times New Roman" w:cs="Times New Roman"/>
          <w:spacing w:val="3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Anna</w:t>
      </w:r>
      <w:r w:rsidRPr="00996758">
        <w:rPr>
          <w:rFonts w:ascii="Times New Roman" w:eastAsia="Times New Roman" w:hAnsi="Times New Roman" w:cs="Times New Roman"/>
          <w:spacing w:val="-8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Bång</w:t>
      </w:r>
      <w:r w:rsidRPr="00996758">
        <w:rPr>
          <w:rFonts w:ascii="Times New Roman" w:eastAsia="Times New Roman" w:hAnsi="Times New Roman" w:cs="Times New Roman"/>
          <w:spacing w:val="-6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Rudenstam, Sarah Beyer, </w:t>
      </w:r>
      <w:r w:rsidRPr="00996758">
        <w:rPr>
          <w:rFonts w:ascii="Times New Roman" w:eastAsia="Times New Roman" w:hAnsi="Times New Roman" w:cs="Times New Roman"/>
          <w:spacing w:val="2"/>
          <w:sz w:val="24"/>
          <w:szCs w:val="24"/>
          <w:lang w:val="sv-SE"/>
        </w:rPr>
        <w:t>Axel Boukredine, Hugo Talbot, Valeria Governa, Maria C. Johansson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,</w:t>
      </w:r>
      <w:r w:rsidRPr="00996758">
        <w:rPr>
          <w:rFonts w:ascii="Times New Roman" w:eastAsia="Times New Roman" w:hAnsi="Times New Roman" w:cs="Times New Roman"/>
          <w:spacing w:val="6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Ann-Sofie</w:t>
      </w:r>
      <w:r w:rsidRPr="00996758">
        <w:rPr>
          <w:rFonts w:ascii="Times New Roman" w:eastAsia="Times New Roman" w:hAnsi="Times New Roman" w:cs="Times New Roman"/>
          <w:spacing w:val="2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pacing w:val="-2"/>
          <w:sz w:val="24"/>
          <w:szCs w:val="24"/>
          <w:lang w:val="sv-SE"/>
        </w:rPr>
        <w:t>Månsson,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Karin</w:t>
      </w:r>
      <w:r w:rsidRPr="00996758">
        <w:rPr>
          <w:rFonts w:ascii="Times New Roman" w:eastAsia="Times New Roman" w:hAnsi="Times New Roman" w:cs="Times New Roman"/>
          <w:spacing w:val="-6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Forsberg</w:t>
      </w:r>
      <w:r w:rsidRPr="00996758">
        <w:rPr>
          <w:rFonts w:ascii="Times New Roman" w:eastAsia="Times New Roman" w:hAnsi="Times New Roman" w:cs="Times New Roman"/>
          <w:spacing w:val="-5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Nilsson,</w:t>
      </w:r>
      <w:r w:rsidRPr="00996758">
        <w:rPr>
          <w:rFonts w:ascii="Times New Roman" w:eastAsia="Times New Roman" w:hAnsi="Times New Roman" w:cs="Times New Roman"/>
          <w:spacing w:val="-6"/>
          <w:sz w:val="24"/>
          <w:szCs w:val="24"/>
          <w:lang w:val="sv-SE"/>
        </w:rPr>
        <w:t xml:space="preserve"> Johan Bengzon,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Johan</w:t>
      </w:r>
      <w:r w:rsidRPr="00996758">
        <w:rPr>
          <w:rFonts w:ascii="Times New Roman" w:eastAsia="Times New Roman" w:hAnsi="Times New Roman" w:cs="Times New Roman"/>
          <w:spacing w:val="-5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Malmström,</w:t>
      </w:r>
      <w:r w:rsidRPr="00996758">
        <w:rPr>
          <w:rFonts w:ascii="Times New Roman" w:eastAsia="Times New Roman" w:hAnsi="Times New Roman" w:cs="Times New Roman"/>
          <w:spacing w:val="-6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Charlotte</w:t>
      </w:r>
      <w:r w:rsidRPr="00996758">
        <w:rPr>
          <w:rFonts w:ascii="Times New Roman" w:eastAsia="Times New Roman" w:hAnsi="Times New Roman" w:cs="Times New Roman"/>
          <w:spacing w:val="3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Welinder, Mattias</w:t>
      </w:r>
      <w:r w:rsidRPr="00996758">
        <w:rPr>
          <w:rFonts w:ascii="Times New Roman" w:eastAsia="Times New Roman" w:hAnsi="Times New Roman" w:cs="Times New Roman"/>
          <w:spacing w:val="-5"/>
          <w:sz w:val="24"/>
          <w:szCs w:val="24"/>
          <w:lang w:val="sv-SE"/>
        </w:rPr>
        <w:t xml:space="preserve"> </w:t>
      </w:r>
      <w:r w:rsidRPr="00996758">
        <w:rPr>
          <w:rFonts w:ascii="Times New Roman" w:eastAsia="Times New Roman" w:hAnsi="Times New Roman" w:cs="Times New Roman"/>
          <w:sz w:val="24"/>
          <w:szCs w:val="24"/>
          <w:lang w:val="sv-SE"/>
        </w:rPr>
        <w:t>Belting</w:t>
      </w:r>
    </w:p>
    <w:p w14:paraId="4FB814C1" w14:textId="77777777" w:rsidR="0043195B" w:rsidRPr="000462C3" w:rsidRDefault="0043195B" w:rsidP="004319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40117E3" w14:textId="77777777" w:rsidR="0043195B" w:rsidRPr="000462C3" w:rsidRDefault="0043195B" w:rsidP="00D06B1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6761EA6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3A787C78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09CEF659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008ECA0F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45B30DBA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07D6B46E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52F73DF3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2F071CA3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1F90D68B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59624C78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119E5275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234421AB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3C7F85AB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388C2860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07E62633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4812332B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72A622F6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3C006881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1CCEF57D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5B213AEC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42A9631B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3BA8AF68" w14:textId="77777777" w:rsidR="000462C3" w:rsidRDefault="000462C3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2087FABA" w14:textId="68C1B639" w:rsidR="00C420E7" w:rsidRDefault="00C420E7">
      <w:pPr>
        <w:rPr>
          <w:rFonts w:ascii="Times New Roman" w:hAnsi="Times New Roman" w:cs="Times New Roman"/>
          <w:b/>
          <w:sz w:val="24"/>
          <w:szCs w:val="24"/>
          <w:lang w:val="en-SE"/>
        </w:rPr>
      </w:pPr>
      <w:r w:rsidRPr="00C420E7">
        <w:rPr>
          <w:rFonts w:ascii="Times New Roman" w:hAnsi="Times New Roman" w:cs="Times New Roman"/>
          <w:b/>
          <w:sz w:val="24"/>
          <w:szCs w:val="24"/>
          <w:lang w:val="en-SE"/>
        </w:rPr>
        <w:lastRenderedPageBreak/>
        <w:t>Supplementary Figures and Legends</w:t>
      </w:r>
    </w:p>
    <w:p w14:paraId="1B1DE971" w14:textId="77777777" w:rsidR="001740BE" w:rsidRPr="00C420E7" w:rsidRDefault="001740BE">
      <w:pPr>
        <w:rPr>
          <w:rFonts w:ascii="Times New Roman" w:hAnsi="Times New Roman" w:cs="Times New Roman"/>
          <w:b/>
          <w:sz w:val="24"/>
          <w:szCs w:val="24"/>
          <w:lang w:val="en-SE"/>
        </w:rPr>
      </w:pPr>
    </w:p>
    <w:p w14:paraId="1BAA6439" w14:textId="4325B8C2" w:rsidR="00EF3140" w:rsidRDefault="000C0DD3" w:rsidP="00C420E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sv-SE" w:eastAsia="sv-SE"/>
        </w:rPr>
        <w:drawing>
          <wp:inline distT="0" distB="0" distL="0" distR="0" wp14:anchorId="192DBAA7" wp14:editId="0D9F9245">
            <wp:extent cx="5717032" cy="8117840"/>
            <wp:effectExtent l="0" t="0" r="0" b="0"/>
            <wp:docPr id="1090077182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77182" name="Picture 1" descr="A screenshot of a computer scree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032" cy="811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3B073" w14:textId="5A1319B7" w:rsidR="00C420E7" w:rsidRDefault="00C420E7" w:rsidP="00C420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099">
        <w:rPr>
          <w:rFonts w:ascii="Times New Roman" w:hAnsi="Times New Roman" w:cs="Times New Roman"/>
          <w:b/>
          <w:bCs/>
          <w:sz w:val="24"/>
          <w:szCs w:val="24"/>
        </w:rPr>
        <w:lastRenderedPageBreak/>
        <w:t>Fi</w:t>
      </w:r>
      <w:r>
        <w:rPr>
          <w:rFonts w:ascii="Times New Roman" w:hAnsi="Times New Roman" w:cs="Times New Roman"/>
          <w:b/>
          <w:bCs/>
          <w:sz w:val="24"/>
          <w:szCs w:val="24"/>
        </w:rPr>
        <w:t>g.</w:t>
      </w:r>
      <w:r w:rsidRPr="00236099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360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36099">
        <w:rPr>
          <w:rFonts w:ascii="Times New Roman" w:hAnsi="Times New Roman" w:cs="Times New Roman"/>
          <w:sz w:val="24"/>
          <w:szCs w:val="24"/>
        </w:rPr>
        <w:t>) GBM transcriptional subtype enrichment plot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36099">
        <w:rPr>
          <w:rFonts w:ascii="Times New Roman" w:hAnsi="Times New Roman" w:cs="Times New Roman"/>
          <w:sz w:val="24"/>
          <w:szCs w:val="24"/>
        </w:rPr>
        <w:t xml:space="preserve"> (Verhaak, </w:t>
      </w:r>
      <w:r w:rsidRPr="00C54ACB">
        <w:rPr>
          <w:rFonts w:ascii="Times New Roman" w:hAnsi="Times New Roman" w:cs="Times New Roman"/>
          <w:i/>
          <w:sz w:val="24"/>
          <w:szCs w:val="24"/>
        </w:rPr>
        <w:t>et al.,</w:t>
      </w:r>
      <w:r w:rsidRPr="00236099">
        <w:rPr>
          <w:rFonts w:ascii="Times New Roman" w:hAnsi="Times New Roman" w:cs="Times New Roman"/>
          <w:sz w:val="24"/>
          <w:szCs w:val="24"/>
        </w:rPr>
        <w:t xml:space="preserve"> 2010) for normoxic (N) and hypoxic (H) cells</w:t>
      </w:r>
      <w:r>
        <w:rPr>
          <w:rFonts w:ascii="Times New Roman" w:hAnsi="Times New Roman" w:cs="Times New Roman"/>
          <w:sz w:val="24"/>
          <w:szCs w:val="24"/>
        </w:rPr>
        <w:t xml:space="preserve"> show no apparent influence of hypoxia on subtype classification i</w:t>
      </w:r>
      <w:r>
        <w:rPr>
          <w:rFonts w:ascii="Times New Roman" w:hAnsi="Times New Roman" w:cs="Times New Roman"/>
          <w:sz w:val="24"/>
          <w:szCs w:val="24"/>
          <w:lang w:val="en-SE"/>
        </w:rPr>
        <w:t>n primary GBM cultures</w:t>
      </w:r>
      <w:r>
        <w:rPr>
          <w:rFonts w:ascii="Times New Roman" w:hAnsi="Times New Roman" w:cs="Times New Roman"/>
          <w:sz w:val="24"/>
          <w:szCs w:val="24"/>
        </w:rPr>
        <w:t xml:space="preserve"> or U87MG cells</w:t>
      </w:r>
      <w:r w:rsidRPr="0023609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7253A">
        <w:rPr>
          <w:rFonts w:ascii="Times New Roman" w:hAnsi="Times New Roman" w:cs="Times New Roman"/>
          <w:sz w:val="24"/>
          <w:szCs w:val="24"/>
        </w:rPr>
        <w:t xml:space="preserve">Western blotting </w:t>
      </w:r>
      <w:r w:rsidRPr="009C174E">
        <w:rPr>
          <w:rFonts w:ascii="Times New Roman" w:hAnsi="Times New Roman" w:cs="Times New Roman"/>
          <w:sz w:val="24"/>
          <w:szCs w:val="24"/>
        </w:rPr>
        <w:t xml:space="preserve">shows efficient biotinylation of surface and endocytosed proteins in primary (U3034MG) and U87MG GBM cells, and efficient removal of surface </w:t>
      </w:r>
      <w:r>
        <w:rPr>
          <w:rFonts w:ascii="Times New Roman" w:hAnsi="Times New Roman" w:cs="Times New Roman"/>
          <w:sz w:val="24"/>
          <w:szCs w:val="24"/>
        </w:rPr>
        <w:t>labeling</w:t>
      </w:r>
      <w:r w:rsidRPr="009C174E">
        <w:rPr>
          <w:rFonts w:ascii="Times New Roman" w:hAnsi="Times New Roman" w:cs="Times New Roman"/>
          <w:sz w:val="24"/>
          <w:szCs w:val="24"/>
        </w:rPr>
        <w:t xml:space="preserve"> by MesNa.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36099">
        <w:rPr>
          <w:rFonts w:ascii="Times New Roman" w:hAnsi="Times New Roman" w:cs="Times New Roman"/>
          <w:sz w:val="24"/>
          <w:szCs w:val="24"/>
        </w:rPr>
        <w:t xml:space="preserve"> Coomassie blue stained membrane as</w:t>
      </w:r>
      <w:r>
        <w:rPr>
          <w:rFonts w:ascii="Times New Roman" w:hAnsi="Times New Roman" w:cs="Times New Roman"/>
          <w:sz w:val="24"/>
          <w:szCs w:val="24"/>
        </w:rPr>
        <w:t xml:space="preserve"> equal</w:t>
      </w:r>
      <w:r w:rsidRPr="00236099">
        <w:rPr>
          <w:rFonts w:ascii="Times New Roman" w:hAnsi="Times New Roman" w:cs="Times New Roman"/>
          <w:sz w:val="24"/>
          <w:szCs w:val="24"/>
        </w:rPr>
        <w:t xml:space="preserve"> loading control f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="0077253A">
        <w:rPr>
          <w:rFonts w:ascii="Times New Roman" w:hAnsi="Times New Roman" w:cs="Times New Roman"/>
          <w:sz w:val="24"/>
          <w:szCs w:val="24"/>
        </w:rPr>
        <w:t xml:space="preserve">western blotting </w:t>
      </w:r>
      <w:r>
        <w:rPr>
          <w:rFonts w:ascii="Times New Roman" w:hAnsi="Times New Roman" w:cs="Times New Roman"/>
          <w:sz w:val="24"/>
          <w:szCs w:val="24"/>
        </w:rPr>
        <w:t>data presented in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C174E">
        <w:rPr>
          <w:rFonts w:ascii="Times New Roman" w:hAnsi="Times New Roman" w:cs="Times New Roman"/>
          <w:sz w:val="24"/>
          <w:szCs w:val="24"/>
        </w:rPr>
        <w:t xml:space="preserve">Representative </w:t>
      </w:r>
      <w:r>
        <w:rPr>
          <w:rFonts w:ascii="Times New Roman" w:hAnsi="Times New Roman" w:cs="Times New Roman"/>
          <w:sz w:val="24"/>
          <w:szCs w:val="24"/>
          <w:lang w:val="en-SE"/>
        </w:rPr>
        <w:t>FACS</w:t>
      </w:r>
      <w:r w:rsidRPr="009C174E">
        <w:rPr>
          <w:rFonts w:ascii="Times New Roman" w:hAnsi="Times New Roman" w:cs="Times New Roman"/>
          <w:sz w:val="24"/>
          <w:szCs w:val="24"/>
        </w:rPr>
        <w:t xml:space="preserve"> plot</w:t>
      </w:r>
      <w:r>
        <w:rPr>
          <w:rFonts w:ascii="Times New Roman" w:hAnsi="Times New Roman" w:cs="Times New Roman"/>
          <w:sz w:val="24"/>
          <w:szCs w:val="24"/>
        </w:rPr>
        <w:t>s for: (1)</w:t>
      </w:r>
      <w:r w:rsidRPr="009C174E">
        <w:rPr>
          <w:rFonts w:ascii="Times New Roman" w:hAnsi="Times New Roman" w:cs="Times New Roman"/>
          <w:sz w:val="24"/>
          <w:szCs w:val="24"/>
        </w:rPr>
        <w:t xml:space="preserve"> non-biotinylated cells,</w:t>
      </w:r>
      <w:r>
        <w:rPr>
          <w:rFonts w:ascii="Times New Roman" w:hAnsi="Times New Roman" w:cs="Times New Roman"/>
          <w:sz w:val="24"/>
          <w:szCs w:val="24"/>
        </w:rPr>
        <w:t xml:space="preserve"> (2)</w:t>
      </w:r>
      <w:r w:rsidRPr="009C174E">
        <w:rPr>
          <w:rFonts w:ascii="Times New Roman" w:hAnsi="Times New Roman" w:cs="Times New Roman"/>
          <w:sz w:val="24"/>
          <w:szCs w:val="24"/>
        </w:rPr>
        <w:t xml:space="preserve"> residual surface biotin signal after MesNa treatment,</w:t>
      </w:r>
      <w:r>
        <w:rPr>
          <w:rFonts w:ascii="Times New Roman" w:hAnsi="Times New Roman" w:cs="Times New Roman"/>
          <w:sz w:val="24"/>
          <w:szCs w:val="24"/>
        </w:rPr>
        <w:t xml:space="preserve"> (3)</w:t>
      </w:r>
      <w:r w:rsidRPr="009C174E">
        <w:rPr>
          <w:rFonts w:ascii="Times New Roman" w:hAnsi="Times New Roman" w:cs="Times New Roman"/>
          <w:sz w:val="24"/>
          <w:szCs w:val="24"/>
        </w:rPr>
        <w:t xml:space="preserve"> endocytosed surface proteins, and </w:t>
      </w: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Pr="009C174E">
        <w:rPr>
          <w:rFonts w:ascii="Times New Roman" w:hAnsi="Times New Roman" w:cs="Times New Roman"/>
          <w:sz w:val="24"/>
          <w:szCs w:val="24"/>
        </w:rPr>
        <w:t>total surface biotin signal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36099">
        <w:rPr>
          <w:rFonts w:ascii="Times New Roman" w:hAnsi="Times New Roman" w:cs="Times New Roman"/>
          <w:sz w:val="24"/>
          <w:szCs w:val="24"/>
        </w:rPr>
        <w:t>Confocal microscopy images representative of experimental groups of the TS-MAP protocol (Surface, Endocytosis, MesNa) in all three primary GBM cells</w:t>
      </w:r>
      <w:r>
        <w:rPr>
          <w:rFonts w:ascii="Times New Roman" w:hAnsi="Times New Roman" w:cs="Times New Roman"/>
          <w:sz w:val="24"/>
          <w:szCs w:val="24"/>
        </w:rPr>
        <w:t xml:space="preserve"> (s</w:t>
      </w:r>
      <w:r w:rsidRPr="00236099">
        <w:rPr>
          <w:rFonts w:ascii="Times New Roman" w:hAnsi="Times New Roman" w:cs="Times New Roman"/>
          <w:sz w:val="24"/>
          <w:szCs w:val="24"/>
        </w:rPr>
        <w:t>cale bar, 20 μm</w:t>
      </w:r>
      <w:r>
        <w:rPr>
          <w:rFonts w:ascii="Times New Roman" w:hAnsi="Times New Roman" w:cs="Times New Roman"/>
          <w:sz w:val="24"/>
          <w:szCs w:val="24"/>
        </w:rPr>
        <w:t>) from 2 independent experiments</w:t>
      </w:r>
      <w:r>
        <w:rPr>
          <w:rFonts w:ascii="Times New Roman" w:hAnsi="Times New Roman" w:cs="Times New Roman"/>
          <w:sz w:val="24"/>
          <w:szCs w:val="24"/>
          <w:lang w:val="en-SE"/>
        </w:rPr>
        <w:t>, each</w:t>
      </w:r>
      <w:r>
        <w:rPr>
          <w:rFonts w:ascii="Times New Roman" w:hAnsi="Times New Roman" w:cs="Times New Roman"/>
          <w:sz w:val="24"/>
          <w:szCs w:val="24"/>
        </w:rPr>
        <w:t xml:space="preserve"> performed in triplicates.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  <w:lang w:val="en-SE"/>
        </w:rPr>
        <w:t>)</w:t>
      </w:r>
      <w:r w:rsidR="000C0DD3">
        <w:rPr>
          <w:rFonts w:ascii="Times New Roman" w:hAnsi="Times New Roman" w:cs="Times New Roman"/>
          <w:bCs/>
          <w:sz w:val="24"/>
          <w:szCs w:val="24"/>
          <w:lang w:val="en-SE"/>
        </w:rPr>
        <w:t xml:space="preserve"> Cell-by-cell analysis displaying cell</w:t>
      </w:r>
      <w:r w:rsidR="00764BD8">
        <w:rPr>
          <w:rFonts w:ascii="Times New Roman" w:hAnsi="Times New Roman" w:cs="Times New Roman"/>
          <w:bCs/>
          <w:sz w:val="24"/>
          <w:szCs w:val="24"/>
          <w:lang w:val="en-SE"/>
        </w:rPr>
        <w:t xml:space="preserve"> size </w:t>
      </w:r>
      <w:r w:rsidR="00764BD8" w:rsidRPr="001E227F">
        <w:rPr>
          <w:rFonts w:ascii="Times New Roman" w:hAnsi="Times New Roman" w:cs="Times New Roman"/>
          <w:sz w:val="24"/>
          <w:szCs w:val="24"/>
        </w:rPr>
        <w:t xml:space="preserve">presented as </w:t>
      </w:r>
      <w:r w:rsidR="00764BD8">
        <w:rPr>
          <w:rFonts w:ascii="Times New Roman" w:hAnsi="Times New Roman" w:cs="Times New Roman"/>
          <w:sz w:val="24"/>
          <w:szCs w:val="24"/>
        </w:rPr>
        <w:t>average phase area object</w:t>
      </w:r>
      <w:r w:rsidR="00764BD8" w:rsidRPr="001E227F">
        <w:rPr>
          <w:rFonts w:ascii="Times New Roman" w:hAnsi="Times New Roman" w:cs="Times New Roman"/>
          <w:sz w:val="24"/>
          <w:szCs w:val="24"/>
        </w:rPr>
        <w:t xml:space="preserve"> ± </w:t>
      </w:r>
      <w:r w:rsidR="00764BD8">
        <w:rPr>
          <w:rFonts w:ascii="Times New Roman" w:hAnsi="Times New Roman" w:cs="Times New Roman"/>
          <w:sz w:val="24"/>
          <w:szCs w:val="24"/>
        </w:rPr>
        <w:t>S</w:t>
      </w:r>
      <w:r w:rsidR="00764BD8" w:rsidRPr="001E227F">
        <w:rPr>
          <w:rFonts w:ascii="Times New Roman" w:hAnsi="Times New Roman" w:cs="Times New Roman"/>
          <w:sz w:val="24"/>
          <w:szCs w:val="24"/>
        </w:rPr>
        <w:t>.</w:t>
      </w:r>
      <w:r w:rsidR="00764BD8">
        <w:rPr>
          <w:rFonts w:ascii="Times New Roman" w:hAnsi="Times New Roman" w:cs="Times New Roman"/>
          <w:sz w:val="24"/>
          <w:szCs w:val="24"/>
        </w:rPr>
        <w:t>D</w:t>
      </w:r>
      <w:r w:rsidR="00764BD8" w:rsidRPr="001E227F">
        <w:rPr>
          <w:rFonts w:ascii="Times New Roman" w:hAnsi="Times New Roman" w:cs="Times New Roman"/>
          <w:sz w:val="24"/>
          <w:szCs w:val="24"/>
        </w:rPr>
        <w:t xml:space="preserve">. from </w:t>
      </w:r>
      <w:r w:rsidR="00DD6000">
        <w:rPr>
          <w:rFonts w:ascii="Times New Roman" w:hAnsi="Times New Roman" w:cs="Times New Roman"/>
          <w:sz w:val="24"/>
          <w:szCs w:val="24"/>
        </w:rPr>
        <w:t>8-12 wells/cell</w:t>
      </w:r>
      <w:r w:rsidR="00F547C9">
        <w:rPr>
          <w:rFonts w:ascii="Times New Roman" w:hAnsi="Times New Roman" w:cs="Times New Roman"/>
          <w:sz w:val="24"/>
          <w:szCs w:val="24"/>
          <w:lang w:val="en-SE"/>
        </w:rPr>
        <w:t>-</w:t>
      </w:r>
      <w:r w:rsidR="00DD6000">
        <w:rPr>
          <w:rFonts w:ascii="Times New Roman" w:hAnsi="Times New Roman" w:cs="Times New Roman"/>
          <w:sz w:val="24"/>
          <w:szCs w:val="24"/>
        </w:rPr>
        <w:t>line</w:t>
      </w:r>
      <w:r w:rsidR="00764BD8" w:rsidRPr="00C648D2">
        <w:rPr>
          <w:rFonts w:ascii="Times New Roman" w:hAnsi="Times New Roman" w:cs="Times New Roman"/>
          <w:sz w:val="24"/>
          <w:szCs w:val="24"/>
        </w:rPr>
        <w:t>.</w:t>
      </w:r>
      <w:r w:rsidR="00764BD8">
        <w:rPr>
          <w:rFonts w:ascii="Times New Roman" w:hAnsi="Times New Roman" w:cs="Times New Roman"/>
          <w:sz w:val="24"/>
          <w:szCs w:val="24"/>
        </w:rPr>
        <w:t xml:space="preserve"> **** </w:t>
      </w:r>
      <w:r w:rsidR="00764BD8" w:rsidRPr="009F3563">
        <w:rPr>
          <w:rFonts w:ascii="Times New Roman" w:hAnsi="Times New Roman" w:cs="Times New Roman"/>
          <w:sz w:val="24"/>
          <w:szCs w:val="24"/>
        </w:rPr>
        <w:t>P &lt; 0.0</w:t>
      </w:r>
      <w:r w:rsidR="00764BD8">
        <w:rPr>
          <w:rFonts w:ascii="Times New Roman" w:hAnsi="Times New Roman" w:cs="Times New Roman"/>
          <w:sz w:val="24"/>
          <w:szCs w:val="24"/>
        </w:rPr>
        <w:t>01</w:t>
      </w:r>
      <w:r w:rsidR="00DD6000">
        <w:rPr>
          <w:rFonts w:ascii="Times New Roman" w:hAnsi="Times New Roman" w:cs="Times New Roman"/>
          <w:sz w:val="24"/>
          <w:szCs w:val="24"/>
        </w:rPr>
        <w:t>, ns = not significant</w:t>
      </w:r>
      <w:r w:rsidR="000C0DD3">
        <w:rPr>
          <w:rFonts w:ascii="Times New Roman" w:hAnsi="Times New Roman" w:cs="Times New Roman"/>
          <w:bCs/>
          <w:sz w:val="24"/>
          <w:szCs w:val="24"/>
          <w:lang w:val="en-S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</w:t>
      </w:r>
      <w:r w:rsidR="000C0DD3">
        <w:rPr>
          <w:rFonts w:ascii="Times New Roman" w:hAnsi="Times New Roman" w:cs="Times New Roman"/>
          <w:sz w:val="24"/>
          <w:szCs w:val="24"/>
        </w:rPr>
        <w:t xml:space="preserve"> and </w:t>
      </w:r>
      <w:r w:rsidR="000C0DD3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0C0DD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Analysis of </w:t>
      </w:r>
      <w:r>
        <w:rPr>
          <w:rFonts w:ascii="Times New Roman" w:hAnsi="Times New Roman" w:cs="Times New Roman"/>
          <w:sz w:val="24"/>
          <w:szCs w:val="24"/>
          <w:lang w:val="en-SE"/>
        </w:rPr>
        <w:t>TS-MAP</w:t>
      </w:r>
      <w:r>
        <w:rPr>
          <w:rFonts w:ascii="Times New Roman" w:hAnsi="Times New Roman" w:cs="Times New Roman"/>
          <w:sz w:val="24"/>
          <w:szCs w:val="24"/>
        </w:rPr>
        <w:t xml:space="preserve"> profiling data, displaying </w:t>
      </w:r>
      <w:r w:rsidRPr="009C174E">
        <w:rPr>
          <w:rFonts w:ascii="Times New Roman" w:hAnsi="Times New Roman" w:cs="Times New Roman"/>
          <w:sz w:val="24"/>
          <w:szCs w:val="24"/>
        </w:rPr>
        <w:t>significant enrichment of SURFME protein identities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SE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U87MG cells</w:t>
      </w:r>
      <w:r w:rsidRPr="009C174E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C0DD3"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C174E">
        <w:rPr>
          <w:rFonts w:ascii="Times New Roman" w:hAnsi="Times New Roman" w:cs="Times New Roman"/>
          <w:sz w:val="24"/>
          <w:szCs w:val="24"/>
        </w:rPr>
        <w:t>surface</w:t>
      </w:r>
      <w:r>
        <w:rPr>
          <w:rFonts w:ascii="Times New Roman" w:hAnsi="Times New Roman" w:cs="Times New Roman"/>
          <w:sz w:val="24"/>
          <w:szCs w:val="24"/>
          <w:lang w:val="en-SE"/>
        </w:rPr>
        <w:t>ome</w:t>
      </w:r>
      <w:r>
        <w:rPr>
          <w:rFonts w:ascii="Times New Roman" w:hAnsi="Times New Roman" w:cs="Times New Roman"/>
          <w:sz w:val="24"/>
          <w:szCs w:val="24"/>
        </w:rPr>
        <w:t xml:space="preserve"> and (</w:t>
      </w:r>
      <w:r w:rsidR="000C0DD3"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endocytome samples when </w:t>
      </w:r>
      <w:r w:rsidRPr="009C174E">
        <w:rPr>
          <w:rFonts w:ascii="Times New Roman" w:hAnsi="Times New Roman" w:cs="Times New Roman"/>
          <w:sz w:val="24"/>
          <w:szCs w:val="24"/>
        </w:rPr>
        <w:t xml:space="preserve">compared with control </w:t>
      </w:r>
      <w:r>
        <w:rPr>
          <w:rFonts w:ascii="Times New Roman" w:hAnsi="Times New Roman" w:cs="Times New Roman"/>
          <w:sz w:val="24"/>
          <w:szCs w:val="24"/>
        </w:rPr>
        <w:t xml:space="preserve">samples. </w:t>
      </w:r>
      <w:r w:rsidR="000C0DD3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 w:rsidR="000C0DD3"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SE"/>
        </w:rPr>
        <w:t>PCA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SE"/>
        </w:rPr>
        <w:t>show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099">
        <w:rPr>
          <w:rFonts w:ascii="Times New Roman" w:hAnsi="Times New Roman" w:cs="Times New Roman"/>
          <w:sz w:val="24"/>
          <w:szCs w:val="24"/>
        </w:rPr>
        <w:t xml:space="preserve">sample distribution along the first two principal components based on </w:t>
      </w:r>
      <w:r>
        <w:rPr>
          <w:rFonts w:ascii="Times New Roman" w:hAnsi="Times New Roman" w:cs="Times New Roman"/>
          <w:sz w:val="24"/>
          <w:szCs w:val="24"/>
          <w:lang w:val="en-SE"/>
        </w:rPr>
        <w:t>TS-MAP</w:t>
      </w:r>
      <w:r w:rsidRPr="00236099">
        <w:rPr>
          <w:rFonts w:ascii="Times New Roman" w:hAnsi="Times New Roman" w:cs="Times New Roman"/>
          <w:sz w:val="24"/>
          <w:szCs w:val="24"/>
        </w:rPr>
        <w:t xml:space="preserve"> data of surface proteins (</w:t>
      </w:r>
      <w:r w:rsidR="000C0DD3">
        <w:rPr>
          <w:rFonts w:ascii="Times New Roman" w:hAnsi="Times New Roman" w:cs="Times New Roman"/>
          <w:b/>
          <w:sz w:val="24"/>
          <w:szCs w:val="24"/>
        </w:rPr>
        <w:t>I</w:t>
      </w:r>
      <w:r w:rsidRPr="00236099">
        <w:rPr>
          <w:rFonts w:ascii="Times New Roman" w:hAnsi="Times New Roman" w:cs="Times New Roman"/>
          <w:sz w:val="24"/>
          <w:szCs w:val="24"/>
        </w:rPr>
        <w:t>) and endocytosed proteins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C0DD3"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from normoxic cells</w:t>
      </w:r>
      <w:r>
        <w:rPr>
          <w:rFonts w:ascii="Times New Roman" w:hAnsi="Times New Roman" w:cs="Times New Roman"/>
          <w:sz w:val="24"/>
          <w:szCs w:val="24"/>
        </w:rPr>
        <w:t>. Arrows</w:t>
      </w:r>
      <w:r w:rsidRPr="00236099">
        <w:rPr>
          <w:rFonts w:ascii="Times New Roman" w:hAnsi="Times New Roman" w:cs="Times New Roman"/>
          <w:sz w:val="24"/>
          <w:szCs w:val="24"/>
        </w:rPr>
        <w:t xml:space="preserve"> and gene symbols indicat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360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PC </w:t>
      </w:r>
      <w:r w:rsidRPr="00236099">
        <w:rPr>
          <w:rFonts w:ascii="Times New Roman" w:hAnsi="Times New Roman" w:cs="Times New Roman"/>
          <w:sz w:val="24"/>
          <w:szCs w:val="24"/>
        </w:rPr>
        <w:t>direction and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SE"/>
        </w:rPr>
        <w:t>identities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r w:rsidRPr="00236099">
        <w:rPr>
          <w:rFonts w:ascii="Times New Roman" w:hAnsi="Times New Roman" w:cs="Times New Roman"/>
          <w:sz w:val="24"/>
          <w:szCs w:val="24"/>
        </w:rPr>
        <w:t xml:space="preserve">most important </w:t>
      </w:r>
      <w:r>
        <w:rPr>
          <w:rFonts w:ascii="Times New Roman" w:hAnsi="Times New Roman" w:cs="Times New Roman"/>
          <w:sz w:val="24"/>
          <w:szCs w:val="24"/>
          <w:lang w:val="en-SE"/>
        </w:rPr>
        <w:t>proteins</w:t>
      </w:r>
      <w:r w:rsidRPr="002360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contributing to the given</w:t>
      </w:r>
      <w:r w:rsidRPr="00236099">
        <w:rPr>
          <w:rFonts w:ascii="Times New Roman" w:hAnsi="Times New Roman" w:cs="Times New Roman"/>
          <w:sz w:val="24"/>
          <w:szCs w:val="24"/>
        </w:rPr>
        <w:t xml:space="preserve"> variance, respectively.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0DD3">
        <w:rPr>
          <w:rFonts w:ascii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) Categories of SURFME </w:t>
      </w:r>
      <w:r w:rsidRPr="00236099">
        <w:rPr>
          <w:rFonts w:ascii="Times New Roman" w:hAnsi="Times New Roman" w:cs="Times New Roman"/>
          <w:sz w:val="24"/>
          <w:szCs w:val="24"/>
        </w:rPr>
        <w:t>sub</w:t>
      </w:r>
      <w:r>
        <w:rPr>
          <w:rFonts w:ascii="Times New Roman" w:hAnsi="Times New Roman" w:cs="Times New Roman"/>
          <w:sz w:val="24"/>
          <w:szCs w:val="24"/>
        </w:rPr>
        <w:t>groups represented in the surfaceome and endocytome of normoxic GBM cells.</w:t>
      </w:r>
    </w:p>
    <w:p w14:paraId="3E253280" w14:textId="77777777" w:rsidR="00C420E7" w:rsidRDefault="00C420E7" w:rsidP="00C420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5447D67" w14:textId="1ACAD983" w:rsidR="001740BE" w:rsidRPr="00236099" w:rsidRDefault="0077253A" w:rsidP="00C420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lastRenderedPageBreak/>
        <w:drawing>
          <wp:inline distT="0" distB="0" distL="0" distR="0" wp14:anchorId="30156045" wp14:editId="68738EBA">
            <wp:extent cx="5711342" cy="3355848"/>
            <wp:effectExtent l="0" t="0" r="3810" b="0"/>
            <wp:docPr id="1289389659" name="Picture 1" descr="A close-up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89659" name="Picture 1" descr="A close-up of a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342" cy="335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F22C1" w14:textId="7D5560DD" w:rsidR="00C420E7" w:rsidRDefault="00C420E7" w:rsidP="00C420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B4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48B4">
        <w:rPr>
          <w:rFonts w:ascii="Times New Roman" w:hAnsi="Times New Roman" w:cs="Times New Roman"/>
          <w:b/>
          <w:bCs/>
          <w:sz w:val="24"/>
          <w:szCs w:val="24"/>
        </w:rPr>
        <w:t xml:space="preserve"> S2.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SE"/>
        </w:rPr>
        <w:t>Dose and time-dependent cytot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xicity of anti-CD44 ADC reveals increased </w:t>
      </w:r>
      <w:r w:rsidRPr="002E6377">
        <w:rPr>
          <w:rFonts w:ascii="Times New Roman" w:hAnsi="Times New Roman" w:cs="Times New Roman"/>
          <w:sz w:val="24"/>
          <w:szCs w:val="24"/>
          <w:lang w:val="en-SE"/>
        </w:rPr>
        <w:t>cell killing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kinetics</w:t>
      </w:r>
      <w:r w:rsidRPr="002E6377">
        <w:rPr>
          <w:rFonts w:ascii="Times New Roman" w:hAnsi="Times New Roman" w:cs="Times New Roman"/>
          <w:sz w:val="24"/>
          <w:szCs w:val="24"/>
          <w:lang w:val="en-SE"/>
        </w:rPr>
        <w:t xml:space="preserve"> in U3034MG, reaching its maximum at ~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6377">
        <w:rPr>
          <w:rFonts w:ascii="Times New Roman" w:hAnsi="Times New Roman" w:cs="Times New Roman"/>
          <w:sz w:val="24"/>
          <w:szCs w:val="24"/>
          <w:lang w:val="en-SE"/>
        </w:rPr>
        <w:t>60 h, while still increasing after 96 h of treatment in U3047MG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. </w:t>
      </w:r>
      <w:r w:rsidRPr="002E6377">
        <w:rPr>
          <w:rFonts w:ascii="Times New Roman" w:hAnsi="Times New Roman" w:cs="Times New Roman"/>
          <w:sz w:val="24"/>
          <w:szCs w:val="24"/>
          <w:lang w:val="en-S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 are expressed as percentage of maximum cytotox</w:t>
      </w:r>
      <w:r>
        <w:rPr>
          <w:rFonts w:ascii="Times New Roman" w:hAnsi="Times New Roman" w:cs="Times New Roman"/>
          <w:sz w:val="24"/>
          <w:szCs w:val="24"/>
          <w:lang w:val="en-SE"/>
        </w:rPr>
        <w:t>icity</w:t>
      </w:r>
      <w:r>
        <w:rPr>
          <w:rFonts w:ascii="Times New Roman" w:hAnsi="Times New Roman" w:cs="Times New Roman"/>
          <w:sz w:val="24"/>
          <w:szCs w:val="24"/>
        </w:rPr>
        <w:t xml:space="preserve"> signal at 96 h.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>
        <w:rPr>
          <w:rFonts w:ascii="Times New Roman" w:hAnsi="Times New Roman" w:cs="Times New Roman"/>
          <w:bCs/>
          <w:sz w:val="24"/>
          <w:szCs w:val="24"/>
          <w:lang w:val="en-SE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F035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IF staining for CD44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U87MG (</w:t>
      </w:r>
      <w:r w:rsidRPr="00DF0353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spheroid (scale bars</w:t>
      </w:r>
      <w:r>
        <w:rPr>
          <w:rFonts w:ascii="Times New Roman" w:hAnsi="Times New Roman" w:cs="Times New Roman"/>
          <w:sz w:val="24"/>
          <w:szCs w:val="24"/>
          <w:lang w:val="en-S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200</w:t>
      </w:r>
      <w:r w:rsidRPr="00657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µm) and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2D culture (scale bar, 20 µm).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E6377">
        <w:rPr>
          <w:rFonts w:ascii="Times New Roman" w:hAnsi="Times New Roman" w:cs="Times New Roman"/>
          <w:sz w:val="24"/>
          <w:szCs w:val="24"/>
        </w:rPr>
        <w:t xml:space="preserve">Internalization of Fabfluor pH Red-labelled CD44 antibody 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U87MG cells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at 48 h, </w:t>
      </w:r>
      <w:r w:rsidRPr="002E6377">
        <w:rPr>
          <w:rFonts w:ascii="Times New Roman" w:hAnsi="Times New Roman" w:cs="Times New Roman"/>
          <w:sz w:val="24"/>
          <w:szCs w:val="24"/>
        </w:rPr>
        <w:t xml:space="preserve">assessed by </w:t>
      </w:r>
      <w:r>
        <w:rPr>
          <w:rFonts w:ascii="Times New Roman" w:hAnsi="Times New Roman" w:cs="Times New Roman"/>
          <w:sz w:val="24"/>
          <w:szCs w:val="24"/>
        </w:rPr>
        <w:t xml:space="preserve">live cell imaging, </w:t>
      </w:r>
      <w:r w:rsidRPr="002E6377">
        <w:rPr>
          <w:rFonts w:ascii="Times New Roman" w:hAnsi="Times New Roman" w:cs="Times New Roman"/>
          <w:sz w:val="24"/>
          <w:szCs w:val="24"/>
        </w:rPr>
        <w:t xml:space="preserve">and presented as </w:t>
      </w:r>
      <w:r>
        <w:rPr>
          <w:rFonts w:ascii="Times New Roman" w:hAnsi="Times New Roman" w:cs="Times New Roman"/>
          <w:sz w:val="24"/>
          <w:szCs w:val="24"/>
        </w:rPr>
        <w:t xml:space="preserve">red </w:t>
      </w:r>
      <w:r w:rsidRPr="002E6377">
        <w:rPr>
          <w:rFonts w:ascii="Times New Roman" w:hAnsi="Times New Roman" w:cs="Times New Roman"/>
          <w:sz w:val="24"/>
          <w:szCs w:val="24"/>
        </w:rPr>
        <w:t>intensity normalized to cell confluenc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2E63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353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C648D2">
        <w:rPr>
          <w:rFonts w:ascii="Times New Roman" w:hAnsi="Times New Roman" w:cs="Times New Roman"/>
          <w:sz w:val="24"/>
          <w:szCs w:val="24"/>
        </w:rPr>
        <w:t>Quantification of concentration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8D2">
        <w:rPr>
          <w:rFonts w:ascii="Times New Roman" w:hAnsi="Times New Roman" w:cs="Times New Roman"/>
          <w:sz w:val="24"/>
          <w:szCs w:val="24"/>
        </w:rPr>
        <w:t>dependent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anti-CD44 ADC</w:t>
      </w:r>
      <w:r w:rsidRPr="00C648D2">
        <w:rPr>
          <w:rFonts w:ascii="Times New Roman" w:hAnsi="Times New Roman" w:cs="Times New Roman"/>
          <w:sz w:val="24"/>
          <w:szCs w:val="24"/>
        </w:rPr>
        <w:t xml:space="preserve"> cytotoxicity at 96 h of treatment</w:t>
      </w:r>
      <w:r>
        <w:rPr>
          <w:rFonts w:ascii="Times New Roman" w:hAnsi="Times New Roman" w:cs="Times New Roman"/>
          <w:sz w:val="24"/>
          <w:szCs w:val="24"/>
        </w:rPr>
        <w:t>. Cytotoxicity</w:t>
      </w:r>
      <w:r w:rsidRPr="001E2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calculated as red area normalized to confluency and</w:t>
      </w:r>
      <w:r w:rsidRPr="001E227F">
        <w:rPr>
          <w:rFonts w:ascii="Times New Roman" w:hAnsi="Times New Roman" w:cs="Times New Roman"/>
          <w:sz w:val="24"/>
          <w:szCs w:val="24"/>
        </w:rPr>
        <w:t xml:space="preserve"> presented as fold of cells only ±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E22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E227F">
        <w:rPr>
          <w:rFonts w:ascii="Times New Roman" w:hAnsi="Times New Roman" w:cs="Times New Roman"/>
          <w:sz w:val="24"/>
          <w:szCs w:val="24"/>
        </w:rPr>
        <w:t>. from 2 independent experiments</w:t>
      </w:r>
      <w:r>
        <w:rPr>
          <w:rFonts w:ascii="Times New Roman" w:hAnsi="Times New Roman" w:cs="Times New Roman"/>
          <w:sz w:val="24"/>
          <w:szCs w:val="24"/>
          <w:lang w:val="en-SE"/>
        </w:rPr>
        <w:t>, each performed</w:t>
      </w:r>
      <w:r>
        <w:rPr>
          <w:rFonts w:ascii="Times New Roman" w:hAnsi="Times New Roman" w:cs="Times New Roman"/>
          <w:sz w:val="24"/>
          <w:szCs w:val="24"/>
        </w:rPr>
        <w:t xml:space="preserve"> in triplicates</w:t>
      </w:r>
      <w:r w:rsidRPr="00C648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SE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epresentative live-cell images </w:t>
      </w:r>
      <w:r>
        <w:rPr>
          <w:rFonts w:ascii="Times New Roman" w:hAnsi="Times New Roman" w:cs="Times New Roman"/>
          <w:sz w:val="24"/>
          <w:szCs w:val="24"/>
          <w:lang w:val="en-SE"/>
        </w:rPr>
        <w:t>of experiment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described in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82612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0353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035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lang w:val="en-S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Upper row: CD44-Fab antibody internalization </w:t>
      </w:r>
      <w:r>
        <w:rPr>
          <w:rFonts w:ascii="Times New Roman" w:hAnsi="Times New Roman" w:cs="Times New Roman"/>
          <w:sz w:val="24"/>
          <w:szCs w:val="24"/>
          <w:lang w:val="en-SE"/>
        </w:rPr>
        <w:t>(</w:t>
      </w:r>
      <w:r>
        <w:rPr>
          <w:rFonts w:ascii="Times New Roman" w:hAnsi="Times New Roman" w:cs="Times New Roman"/>
          <w:sz w:val="24"/>
          <w:szCs w:val="24"/>
        </w:rPr>
        <w:t>4 µg/ml</w:t>
      </w:r>
      <w:r>
        <w:rPr>
          <w:rFonts w:ascii="Times New Roman" w:hAnsi="Times New Roman" w:cs="Times New Roman"/>
          <w:sz w:val="24"/>
          <w:szCs w:val="24"/>
          <w:lang w:val="en-SE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Bottom row: A</w:t>
      </w:r>
      <w:r>
        <w:rPr>
          <w:rFonts w:ascii="Times New Roman" w:hAnsi="Times New Roman" w:cs="Times New Roman"/>
          <w:sz w:val="24"/>
          <w:szCs w:val="24"/>
          <w:lang w:val="en-SE"/>
        </w:rPr>
        <w:t>nti-</w:t>
      </w:r>
      <w:r>
        <w:rPr>
          <w:rFonts w:ascii="Times New Roman" w:hAnsi="Times New Roman" w:cs="Times New Roman"/>
          <w:sz w:val="24"/>
          <w:szCs w:val="24"/>
        </w:rPr>
        <w:t xml:space="preserve">CD44 </w:t>
      </w:r>
      <w:r>
        <w:rPr>
          <w:rFonts w:ascii="Times New Roman" w:hAnsi="Times New Roman" w:cs="Times New Roman"/>
          <w:sz w:val="24"/>
          <w:szCs w:val="24"/>
          <w:lang w:val="en-SE"/>
        </w:rPr>
        <w:t>or isotype control</w:t>
      </w:r>
      <w:r>
        <w:rPr>
          <w:rFonts w:ascii="Times New Roman" w:hAnsi="Times New Roman" w:cs="Times New Roman"/>
          <w:sz w:val="24"/>
          <w:szCs w:val="24"/>
        </w:rPr>
        <w:t xml:space="preserve"> ADC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treatment (</w:t>
      </w:r>
      <w:r>
        <w:rPr>
          <w:rFonts w:ascii="Times New Roman" w:hAnsi="Times New Roman" w:cs="Times New Roman"/>
          <w:sz w:val="24"/>
          <w:szCs w:val="24"/>
        </w:rPr>
        <w:t>1.25 µg/ml</w:t>
      </w:r>
      <w:r>
        <w:rPr>
          <w:rFonts w:ascii="Times New Roman" w:hAnsi="Times New Roman" w:cs="Times New Roman"/>
          <w:sz w:val="24"/>
          <w:szCs w:val="24"/>
          <w:lang w:val="en-S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(scale bars</w:t>
      </w:r>
      <w:r>
        <w:rPr>
          <w:rFonts w:ascii="Times New Roman" w:hAnsi="Times New Roman" w:cs="Times New Roman"/>
          <w:sz w:val="24"/>
          <w:szCs w:val="24"/>
          <w:lang w:val="en-S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450</w:t>
      </w:r>
      <w:r w:rsidRPr="000A6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µm).</w:t>
      </w:r>
    </w:p>
    <w:p w14:paraId="43B5202D" w14:textId="77777777" w:rsidR="00C420E7" w:rsidRDefault="00C420E7" w:rsidP="00C420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C0E84A8" w14:textId="760CE214" w:rsidR="001740BE" w:rsidRDefault="001740BE" w:rsidP="00C420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lastRenderedPageBreak/>
        <w:drawing>
          <wp:inline distT="0" distB="0" distL="0" distR="0" wp14:anchorId="674A1D5D" wp14:editId="1C0AC0F7">
            <wp:extent cx="5585155" cy="6089904"/>
            <wp:effectExtent l="0" t="0" r="0" b="6350"/>
            <wp:docPr id="517783359" name="Picture 3" descr="A close-up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83359" name="Picture 3" descr="A close-up of a 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155" cy="608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044ED" w14:textId="77777777" w:rsidR="00C420E7" w:rsidRPr="005977D1" w:rsidRDefault="00C420E7" w:rsidP="00C420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B4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48B4">
        <w:rPr>
          <w:rFonts w:ascii="Times New Roman" w:hAnsi="Times New Roman" w:cs="Times New Roman"/>
          <w:b/>
          <w:bCs/>
          <w:sz w:val="24"/>
          <w:szCs w:val="24"/>
        </w:rPr>
        <w:t xml:space="preserve"> S3. 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80B53">
        <w:rPr>
          <w:rFonts w:ascii="Times New Roman" w:hAnsi="Times New Roman" w:cs="Times New Roman"/>
          <w:sz w:val="24"/>
          <w:szCs w:val="24"/>
        </w:rPr>
        <w:t>Hierarchical clustering of RNA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80B53">
        <w:rPr>
          <w:rFonts w:ascii="Times New Roman" w:hAnsi="Times New Roman" w:cs="Times New Roman"/>
          <w:sz w:val="24"/>
          <w:szCs w:val="24"/>
        </w:rPr>
        <w:t>eq displays divergen</w:t>
      </w:r>
      <w:r>
        <w:rPr>
          <w:rFonts w:ascii="Times New Roman" w:hAnsi="Times New Roman" w:cs="Times New Roman"/>
          <w:sz w:val="24"/>
          <w:szCs w:val="24"/>
          <w:lang w:val="en-SE"/>
        </w:rPr>
        <w:t>t</w:t>
      </w:r>
      <w:r w:rsidRPr="00580B53">
        <w:rPr>
          <w:rFonts w:ascii="Times New Roman" w:hAnsi="Times New Roman" w:cs="Times New Roman"/>
          <w:sz w:val="24"/>
          <w:szCs w:val="24"/>
        </w:rPr>
        <w:t xml:space="preserve"> hypoxic regulation in 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primary </w:t>
      </w:r>
      <w:r w:rsidRPr="00580B53">
        <w:rPr>
          <w:rFonts w:ascii="Times New Roman" w:hAnsi="Times New Roman" w:cs="Times New Roman"/>
          <w:sz w:val="24"/>
          <w:szCs w:val="24"/>
        </w:rPr>
        <w:t>GBM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and U87MG</w:t>
      </w:r>
      <w:r w:rsidRPr="00580B53">
        <w:rPr>
          <w:rFonts w:ascii="Times New Roman" w:hAnsi="Times New Roman" w:cs="Times New Roman"/>
          <w:sz w:val="24"/>
          <w:szCs w:val="24"/>
        </w:rPr>
        <w:t xml:space="preserve"> cells.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580B53"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580B53">
        <w:rPr>
          <w:rFonts w:ascii="Times New Roman" w:hAnsi="Times New Roman" w:cs="Times New Roman"/>
          <w:sz w:val="24"/>
          <w:szCs w:val="24"/>
        </w:rPr>
        <w:t>) Venn diagrams show distribution of commonly and uniquely upregulated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580B53">
        <w:rPr>
          <w:rFonts w:ascii="Times New Roman" w:hAnsi="Times New Roman" w:cs="Times New Roman"/>
          <w:sz w:val="24"/>
          <w:szCs w:val="24"/>
        </w:rPr>
        <w:t>) and downregulated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580B53">
        <w:rPr>
          <w:rFonts w:ascii="Times New Roman" w:hAnsi="Times New Roman" w:cs="Times New Roman"/>
          <w:sz w:val="24"/>
          <w:szCs w:val="24"/>
        </w:rPr>
        <w:t xml:space="preserve">) genes in different GBM cell </w:t>
      </w:r>
      <w:r>
        <w:rPr>
          <w:rFonts w:ascii="Times New Roman" w:hAnsi="Times New Roman" w:cs="Times New Roman"/>
          <w:sz w:val="24"/>
          <w:szCs w:val="24"/>
          <w:lang w:val="en-SE"/>
        </w:rPr>
        <w:t>types</w:t>
      </w:r>
      <w:r w:rsidRPr="00580B53">
        <w:rPr>
          <w:rFonts w:ascii="Times New Roman" w:hAnsi="Times New Roman" w:cs="Times New Roman"/>
          <w:sz w:val="24"/>
          <w:szCs w:val="24"/>
        </w:rPr>
        <w:t>, as indicated.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36099">
        <w:rPr>
          <w:rFonts w:ascii="Times New Roman" w:hAnsi="Times New Roman" w:cs="Times New Roman"/>
          <w:sz w:val="24"/>
          <w:szCs w:val="24"/>
        </w:rPr>
        <w:t xml:space="preserve"> Selection of </w:t>
      </w:r>
      <w:r>
        <w:rPr>
          <w:rFonts w:ascii="Times New Roman" w:hAnsi="Times New Roman" w:cs="Times New Roman"/>
          <w:sz w:val="24"/>
          <w:szCs w:val="24"/>
          <w:lang w:val="en-SE"/>
        </w:rPr>
        <w:t>SURFME m</w:t>
      </w:r>
      <w:r w:rsidRPr="00236099">
        <w:rPr>
          <w:rFonts w:ascii="Times New Roman" w:hAnsi="Times New Roman" w:cs="Times New Roman"/>
          <w:sz w:val="24"/>
          <w:szCs w:val="24"/>
        </w:rPr>
        <w:t>RNAs commonly upregulated in hypoxi</w:t>
      </w:r>
      <w:r>
        <w:rPr>
          <w:rFonts w:ascii="Times New Roman" w:hAnsi="Times New Roman" w:cs="Times New Roman"/>
          <w:sz w:val="24"/>
          <w:szCs w:val="24"/>
          <w:lang w:val="en-SE"/>
        </w:rPr>
        <w:t>c</w:t>
      </w:r>
      <w:r w:rsidRPr="00236099">
        <w:rPr>
          <w:rFonts w:ascii="Times New Roman" w:hAnsi="Times New Roman" w:cs="Times New Roman"/>
          <w:sz w:val="24"/>
          <w:szCs w:val="24"/>
        </w:rPr>
        <w:t xml:space="preserve"> (H) </w:t>
      </w:r>
      <w:r w:rsidRPr="00236099">
        <w:rPr>
          <w:rFonts w:ascii="Times New Roman" w:hAnsi="Times New Roman" w:cs="Times New Roman"/>
          <w:i/>
          <w:sz w:val="24"/>
          <w:szCs w:val="24"/>
        </w:rPr>
        <w:t>vs</w:t>
      </w:r>
      <w:r w:rsidRPr="00236099">
        <w:rPr>
          <w:rFonts w:ascii="Times New Roman" w:hAnsi="Times New Roman" w:cs="Times New Roman"/>
          <w:sz w:val="24"/>
          <w:szCs w:val="24"/>
        </w:rPr>
        <w:t>. normoxi</w:t>
      </w:r>
      <w:r>
        <w:rPr>
          <w:rFonts w:ascii="Times New Roman" w:hAnsi="Times New Roman" w:cs="Times New Roman"/>
          <w:sz w:val="24"/>
          <w:szCs w:val="24"/>
          <w:lang w:val="en-SE"/>
        </w:rPr>
        <w:t>c</w:t>
      </w:r>
      <w:r w:rsidRPr="00236099">
        <w:rPr>
          <w:rFonts w:ascii="Times New Roman" w:hAnsi="Times New Roman" w:cs="Times New Roman"/>
          <w:sz w:val="24"/>
          <w:szCs w:val="24"/>
        </w:rPr>
        <w:t xml:space="preserve"> (N)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GBM cells</w:t>
      </w:r>
      <w:r w:rsidRPr="00236099">
        <w:rPr>
          <w:rFonts w:ascii="Times New Roman" w:hAnsi="Times New Roman" w:cs="Times New Roman"/>
          <w:sz w:val="24"/>
          <w:szCs w:val="24"/>
        </w:rPr>
        <w:t>.</w:t>
      </w:r>
    </w:p>
    <w:p w14:paraId="1D810520" w14:textId="77777777" w:rsidR="00C420E7" w:rsidRDefault="00C420E7" w:rsidP="00C420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0179A" w14:textId="58E023F8" w:rsidR="001740BE" w:rsidRDefault="000C0DD3" w:rsidP="00C420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lastRenderedPageBreak/>
        <w:drawing>
          <wp:inline distT="0" distB="0" distL="0" distR="0" wp14:anchorId="29D0C773" wp14:editId="7AE711B7">
            <wp:extent cx="5718048" cy="3011424"/>
            <wp:effectExtent l="0" t="0" r="0" b="0"/>
            <wp:docPr id="645592652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92652" name="Picture 2" descr="A screenshot of a graph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048" cy="301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E6BF9" w14:textId="1E10A42A" w:rsidR="00C420E7" w:rsidRDefault="00C420E7" w:rsidP="00C420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B4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48B4">
        <w:rPr>
          <w:rFonts w:ascii="Times New Roman" w:hAnsi="Times New Roman" w:cs="Times New Roman"/>
          <w:b/>
          <w:bCs/>
          <w:sz w:val="24"/>
          <w:szCs w:val="24"/>
        </w:rPr>
        <w:t xml:space="preserve"> S4.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29E8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SE"/>
        </w:rPr>
        <w:t>FACS</w:t>
      </w:r>
      <w:r w:rsidRPr="00236099">
        <w:rPr>
          <w:rFonts w:ascii="Times New Roman" w:hAnsi="Times New Roman" w:cs="Times New Roman"/>
          <w:sz w:val="24"/>
          <w:szCs w:val="24"/>
        </w:rPr>
        <w:t xml:space="preserve"> quanti</w:t>
      </w:r>
      <w:r>
        <w:rPr>
          <w:rFonts w:ascii="Times New Roman" w:hAnsi="Times New Roman" w:cs="Times New Roman"/>
          <w:sz w:val="24"/>
          <w:szCs w:val="24"/>
        </w:rPr>
        <w:t>fication</w:t>
      </w:r>
      <w:r w:rsidRPr="002360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global biot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en-SE"/>
        </w:rPr>
        <w:t>nyl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en-SE"/>
        </w:rPr>
        <w:t>tion</w:t>
      </w:r>
      <w:r w:rsidRPr="00236099">
        <w:rPr>
          <w:rFonts w:ascii="Times New Roman" w:hAnsi="Times New Roman" w:cs="Times New Roman"/>
          <w:sz w:val="24"/>
          <w:szCs w:val="24"/>
        </w:rPr>
        <w:t xml:space="preserve"> (Surface, Endocytosis, 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and </w:t>
      </w:r>
      <w:r w:rsidRPr="00236099">
        <w:rPr>
          <w:rFonts w:ascii="Times New Roman" w:hAnsi="Times New Roman" w:cs="Times New Roman"/>
          <w:sz w:val="24"/>
          <w:szCs w:val="24"/>
        </w:rPr>
        <w:t>MesNa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control</w:t>
      </w:r>
      <w:r w:rsidRPr="00236099">
        <w:rPr>
          <w:rFonts w:ascii="Times New Roman" w:hAnsi="Times New Roman" w:cs="Times New Roman"/>
          <w:sz w:val="24"/>
          <w:szCs w:val="24"/>
        </w:rPr>
        <w:t>) in primary GBM cells</w:t>
      </w:r>
      <w:r>
        <w:rPr>
          <w:rFonts w:ascii="Times New Roman" w:hAnsi="Times New Roman" w:cs="Times New Roman"/>
          <w:sz w:val="24"/>
          <w:szCs w:val="24"/>
        </w:rPr>
        <w:t xml:space="preserve"> conditioned in</w:t>
      </w:r>
      <w:r w:rsidRPr="00236099">
        <w:rPr>
          <w:rFonts w:ascii="Times New Roman" w:hAnsi="Times New Roman" w:cs="Times New Roman"/>
          <w:sz w:val="24"/>
          <w:szCs w:val="24"/>
        </w:rPr>
        <w:t xml:space="preserve"> normox</w:t>
      </w:r>
      <w:r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  <w:lang w:val="en-SE"/>
        </w:rPr>
        <w:t>, and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or 6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hypoxia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. </w:t>
      </w:r>
      <w:r w:rsidRPr="00236099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were normalized to controls</w:t>
      </w:r>
      <w:r w:rsidRPr="0023609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SE"/>
        </w:rPr>
        <w:t>nd</w:t>
      </w:r>
      <w:r w:rsidRPr="00236099">
        <w:rPr>
          <w:rFonts w:ascii="Times New Roman" w:hAnsi="Times New Roman" w:cs="Times New Roman"/>
          <w:sz w:val="24"/>
          <w:szCs w:val="24"/>
        </w:rPr>
        <w:t xml:space="preserve"> presented as </w:t>
      </w:r>
      <w:r>
        <w:rPr>
          <w:rFonts w:ascii="Times New Roman" w:hAnsi="Times New Roman" w:cs="Times New Roman"/>
          <w:sz w:val="24"/>
          <w:szCs w:val="24"/>
        </w:rPr>
        <w:t xml:space="preserve">MFI </w:t>
      </w:r>
      <w:r w:rsidRPr="00236099">
        <w:rPr>
          <w:rFonts w:ascii="Times New Roman" w:hAnsi="Times New Roman" w:cs="Times New Roman"/>
          <w:sz w:val="24"/>
          <w:szCs w:val="24"/>
        </w:rPr>
        <w:t>± S</w:t>
      </w:r>
      <w:r>
        <w:rPr>
          <w:rFonts w:ascii="Times New Roman" w:hAnsi="Times New Roman" w:cs="Times New Roman"/>
          <w:sz w:val="24"/>
          <w:szCs w:val="24"/>
          <w:lang w:val="en-SE"/>
        </w:rPr>
        <w:t>.</w:t>
      </w:r>
      <w:r w:rsidRPr="0023609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en-SE"/>
        </w:rPr>
        <w:t>.</w:t>
      </w:r>
      <w:r w:rsidRPr="00236099">
        <w:rPr>
          <w:rFonts w:ascii="Times New Roman" w:hAnsi="Times New Roman" w:cs="Times New Roman"/>
          <w:sz w:val="24"/>
          <w:szCs w:val="24"/>
        </w:rPr>
        <w:t xml:space="preserve"> from</w:t>
      </w:r>
      <w:r>
        <w:rPr>
          <w:rFonts w:ascii="Times New Roman" w:hAnsi="Times New Roman" w:cs="Times New Roman"/>
          <w:sz w:val="24"/>
          <w:szCs w:val="24"/>
        </w:rPr>
        <w:t xml:space="preserve"> triplicate experiments</w:t>
      </w:r>
      <w:r w:rsidRPr="00236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C</w:t>
      </w:r>
      <w:r w:rsidRPr="00236099">
        <w:rPr>
          <w:rFonts w:ascii="Times New Roman" w:hAnsi="Times New Roman" w:cs="Times New Roman"/>
          <w:sz w:val="24"/>
          <w:szCs w:val="24"/>
        </w:rPr>
        <w:t xml:space="preserve">ategories </w:t>
      </w:r>
      <w:r>
        <w:rPr>
          <w:rFonts w:ascii="Times New Roman" w:hAnsi="Times New Roman" w:cs="Times New Roman"/>
          <w:sz w:val="24"/>
          <w:szCs w:val="24"/>
        </w:rPr>
        <w:t>of SURFME subgroups represented in the</w:t>
      </w:r>
      <w:r w:rsidRPr="00236099">
        <w:rPr>
          <w:rFonts w:ascii="Times New Roman" w:hAnsi="Times New Roman" w:cs="Times New Roman"/>
          <w:sz w:val="24"/>
          <w:szCs w:val="24"/>
        </w:rPr>
        <w:t xml:space="preserve"> hypoxia-induced surface</w:t>
      </w:r>
      <w:r>
        <w:rPr>
          <w:rFonts w:ascii="Times New Roman" w:hAnsi="Times New Roman" w:cs="Times New Roman"/>
          <w:sz w:val="24"/>
          <w:szCs w:val="24"/>
        </w:rPr>
        <w:t>ome and endocytome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in the respective GBM cell type</w:t>
      </w:r>
      <w:r w:rsidRPr="0023609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236099">
        <w:rPr>
          <w:rFonts w:ascii="Times New Roman" w:hAnsi="Times New Roman" w:cs="Times New Roman"/>
          <w:sz w:val="24"/>
          <w:szCs w:val="24"/>
        </w:rPr>
        <w:t xml:space="preserve">) Number of SURFME proteins upregulated </w:t>
      </w:r>
      <w:r>
        <w:rPr>
          <w:rFonts w:ascii="Times New Roman" w:hAnsi="Times New Roman" w:cs="Times New Roman"/>
          <w:sz w:val="24"/>
          <w:szCs w:val="24"/>
        </w:rPr>
        <w:t>in hypoxic GBM cells compared to normoxic controls, in the surfaceome, endocytome, or both.</w:t>
      </w:r>
      <w:r w:rsidR="00B976EB">
        <w:rPr>
          <w:rFonts w:ascii="Times New Roman" w:hAnsi="Times New Roman" w:cs="Times New Roman"/>
          <w:sz w:val="24"/>
          <w:szCs w:val="24"/>
        </w:rPr>
        <w:t xml:space="preserve"> Inside brackets</w:t>
      </w:r>
      <w:r w:rsidR="00F547C9">
        <w:rPr>
          <w:rFonts w:ascii="Times New Roman" w:hAnsi="Times New Roman" w:cs="Times New Roman"/>
          <w:sz w:val="24"/>
          <w:szCs w:val="24"/>
          <w:lang w:val="en-SE"/>
        </w:rPr>
        <w:t xml:space="preserve"> - </w:t>
      </w:r>
      <w:r w:rsidR="00B976EB">
        <w:rPr>
          <w:rFonts w:ascii="Times New Roman" w:hAnsi="Times New Roman" w:cs="Times New Roman"/>
          <w:sz w:val="24"/>
          <w:szCs w:val="24"/>
        </w:rPr>
        <w:t xml:space="preserve">the </w:t>
      </w:r>
      <w:r w:rsidR="00F547C9">
        <w:rPr>
          <w:rFonts w:ascii="Times New Roman" w:hAnsi="Times New Roman" w:cs="Times New Roman"/>
          <w:sz w:val="24"/>
          <w:szCs w:val="24"/>
          <w:lang w:val="en-SE"/>
        </w:rPr>
        <w:t>fraction</w:t>
      </w:r>
      <w:r w:rsidR="00B976EB">
        <w:rPr>
          <w:rFonts w:ascii="Times New Roman" w:hAnsi="Times New Roman" w:cs="Times New Roman"/>
          <w:sz w:val="24"/>
          <w:szCs w:val="24"/>
        </w:rPr>
        <w:t xml:space="preserve"> of SURFME proteins induced by hypoxia, expressed as a percentage of the total number of SURFME proteins identified in each cell</w:t>
      </w:r>
      <w:r w:rsidR="00F547C9">
        <w:rPr>
          <w:rFonts w:ascii="Times New Roman" w:hAnsi="Times New Roman" w:cs="Times New Roman"/>
          <w:sz w:val="24"/>
          <w:szCs w:val="24"/>
          <w:lang w:val="en-SE"/>
        </w:rPr>
        <w:t>-</w:t>
      </w:r>
      <w:r w:rsidR="00B976EB">
        <w:rPr>
          <w:rFonts w:ascii="Times New Roman" w:hAnsi="Times New Roman" w:cs="Times New Roman"/>
          <w:sz w:val="24"/>
          <w:szCs w:val="24"/>
        </w:rPr>
        <w:t>line.</w:t>
      </w:r>
    </w:p>
    <w:p w14:paraId="33711702" w14:textId="77777777" w:rsidR="00C420E7" w:rsidRDefault="00C420E7" w:rsidP="00C420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BE3C28D" w14:textId="377269A1" w:rsidR="001740BE" w:rsidRDefault="001740BE" w:rsidP="00C420E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lastRenderedPageBreak/>
        <w:drawing>
          <wp:inline distT="0" distB="0" distL="0" distR="0" wp14:anchorId="3B4B17FC" wp14:editId="12C22896">
            <wp:extent cx="5715000" cy="4159606"/>
            <wp:effectExtent l="0" t="0" r="0" b="0"/>
            <wp:docPr id="853348912" name="Picture 5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348912" name="Picture 5" descr="A collage of images of cell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15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82C4" w14:textId="50DA3895" w:rsidR="00C420E7" w:rsidRDefault="00C420E7" w:rsidP="00C420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8B4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E48B4">
        <w:rPr>
          <w:rFonts w:ascii="Times New Roman" w:hAnsi="Times New Roman" w:cs="Times New Roman"/>
          <w:b/>
          <w:bCs/>
          <w:sz w:val="24"/>
          <w:szCs w:val="24"/>
        </w:rPr>
        <w:t xml:space="preserve"> S5.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IF </w:t>
      </w:r>
      <w:r>
        <w:rPr>
          <w:rFonts w:ascii="Times New Roman" w:hAnsi="Times New Roman" w:cs="Times New Roman"/>
          <w:sz w:val="24"/>
          <w:szCs w:val="24"/>
          <w:lang w:val="en-SE"/>
        </w:rPr>
        <w:t>stainings</w:t>
      </w:r>
      <w:r>
        <w:rPr>
          <w:rFonts w:ascii="Times New Roman" w:hAnsi="Times New Roman" w:cs="Times New Roman"/>
          <w:sz w:val="24"/>
          <w:szCs w:val="24"/>
        </w:rPr>
        <w:t xml:space="preserve"> for SLC2A3 in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hypoxic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normoxic 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GBM </w:t>
      </w:r>
      <w:r>
        <w:rPr>
          <w:rFonts w:ascii="Times New Roman" w:hAnsi="Times New Roman" w:cs="Times New Roman"/>
          <w:sz w:val="24"/>
          <w:szCs w:val="24"/>
        </w:rPr>
        <w:t>2D cultures</w:t>
      </w:r>
      <w:r>
        <w:rPr>
          <w:rFonts w:ascii="Times New Roman" w:hAnsi="Times New Roman" w:cs="Times New Roman"/>
          <w:sz w:val="24"/>
          <w:szCs w:val="24"/>
          <w:lang w:val="en-SE"/>
        </w:rPr>
        <w:t>, assessed by confocal microscopy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SE"/>
        </w:rPr>
        <w:t>(</w:t>
      </w:r>
      <w:r>
        <w:rPr>
          <w:rFonts w:ascii="Times New Roman" w:hAnsi="Times New Roman" w:cs="Times New Roman"/>
          <w:sz w:val="24"/>
          <w:szCs w:val="24"/>
        </w:rPr>
        <w:t>scale bars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 µm),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GBM spheroids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GBM and LGG tumors</w:t>
      </w:r>
      <w:r>
        <w:rPr>
          <w:rFonts w:ascii="Times New Roman" w:hAnsi="Times New Roman" w:cs="Times New Roman"/>
          <w:sz w:val="24"/>
          <w:szCs w:val="24"/>
          <w:lang w:val="en-SE"/>
        </w:rPr>
        <w:t>, assessed by slide scanner</w:t>
      </w:r>
      <w:r>
        <w:rPr>
          <w:rFonts w:ascii="Times New Roman" w:hAnsi="Times New Roman" w:cs="Times New Roman"/>
          <w:sz w:val="24"/>
          <w:szCs w:val="24"/>
        </w:rPr>
        <w:t xml:space="preserve"> (scale bars</w:t>
      </w:r>
      <w:r>
        <w:rPr>
          <w:rFonts w:ascii="Times New Roman" w:hAnsi="Times New Roman" w:cs="Times New Roman"/>
          <w:sz w:val="24"/>
          <w:szCs w:val="24"/>
          <w:lang w:val="en-S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200 and 1000 µm</w:t>
      </w:r>
      <w:r>
        <w:rPr>
          <w:rFonts w:ascii="Times New Roman" w:hAnsi="Times New Roman" w:cs="Times New Roman"/>
          <w:sz w:val="24"/>
          <w:szCs w:val="24"/>
          <w:lang w:val="en-SE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en-SE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SE"/>
        </w:rPr>
        <w:t>Similar experiments as in (</w:t>
      </w:r>
      <w:r w:rsidRPr="008A1C37">
        <w:rPr>
          <w:rFonts w:ascii="Times New Roman" w:hAnsi="Times New Roman" w:cs="Times New Roman"/>
          <w:b/>
          <w:sz w:val="24"/>
          <w:szCs w:val="24"/>
          <w:lang w:val="en-SE"/>
        </w:rPr>
        <w:t>A-C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) with </w:t>
      </w:r>
      <w:r>
        <w:rPr>
          <w:rFonts w:ascii="Times New Roman" w:hAnsi="Times New Roman" w:cs="Times New Roman"/>
          <w:sz w:val="24"/>
          <w:szCs w:val="24"/>
        </w:rPr>
        <w:t>IF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staining for CA9</w:t>
      </w:r>
      <w:r>
        <w:rPr>
          <w:rFonts w:ascii="Times New Roman" w:hAnsi="Times New Roman" w:cs="Times New Roman"/>
          <w:sz w:val="24"/>
          <w:szCs w:val="24"/>
        </w:rPr>
        <w:t xml:space="preserve"> in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hypoxic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normoxic U87MG 2D cultures</w:t>
      </w:r>
      <w:r>
        <w:rPr>
          <w:rFonts w:ascii="Times New Roman" w:hAnsi="Times New Roman" w:cs="Times New Roman"/>
          <w:sz w:val="24"/>
          <w:szCs w:val="24"/>
          <w:lang w:val="en-SE"/>
        </w:rPr>
        <w:t>, (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) spheroids, and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 GBM and LGG tumors.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Cytotoxicity </w:t>
      </w:r>
      <w:r>
        <w:rPr>
          <w:rFonts w:ascii="Times New Roman" w:hAnsi="Times New Roman" w:cs="Times New Roman"/>
          <w:sz w:val="24"/>
          <w:szCs w:val="24"/>
        </w:rPr>
        <w:t>at 96 h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anti-CA9 </w:t>
      </w:r>
      <w:r>
        <w:rPr>
          <w:rFonts w:ascii="Times New Roman" w:hAnsi="Times New Roman" w:cs="Times New Roman"/>
          <w:sz w:val="24"/>
          <w:szCs w:val="24"/>
        </w:rPr>
        <w:t>ADC treatment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at the indicated concentrations, </w:t>
      </w:r>
      <w:r>
        <w:rPr>
          <w:rFonts w:ascii="Times New Roman" w:hAnsi="Times New Roman" w:cs="Times New Roman"/>
          <w:sz w:val="24"/>
          <w:szCs w:val="24"/>
        </w:rPr>
        <w:t>in normoxic and hypoxic U87MG cells.</w:t>
      </w:r>
      <w:r w:rsidRPr="00C15D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Cytotoxicity</w:t>
      </w:r>
      <w:r w:rsidRPr="001E22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calculated as red area normalized to confluency and</w:t>
      </w:r>
      <w:r w:rsidRPr="001E227F">
        <w:rPr>
          <w:rFonts w:ascii="Times New Roman" w:hAnsi="Times New Roman" w:cs="Times New Roman"/>
          <w:sz w:val="24"/>
          <w:szCs w:val="24"/>
        </w:rPr>
        <w:t xml:space="preserve"> presented as fold of cells only ±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E22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E227F">
        <w:rPr>
          <w:rFonts w:ascii="Times New Roman" w:hAnsi="Times New Roman" w:cs="Times New Roman"/>
          <w:sz w:val="24"/>
          <w:szCs w:val="24"/>
        </w:rPr>
        <w:t xml:space="preserve">. from </w:t>
      </w:r>
      <w:r>
        <w:rPr>
          <w:rFonts w:ascii="Times New Roman" w:hAnsi="Times New Roman" w:cs="Times New Roman"/>
          <w:sz w:val="24"/>
          <w:szCs w:val="24"/>
        </w:rPr>
        <w:t>triplicates</w:t>
      </w:r>
      <w:r w:rsidRPr="00C648D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***</w:t>
      </w:r>
      <w:r w:rsidR="00764BD8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3563">
        <w:rPr>
          <w:rFonts w:ascii="Times New Roman" w:hAnsi="Times New Roman" w:cs="Times New Roman"/>
          <w:sz w:val="24"/>
          <w:szCs w:val="24"/>
        </w:rPr>
        <w:t>P &lt; 0.0</w:t>
      </w:r>
      <w:r>
        <w:rPr>
          <w:rFonts w:ascii="Times New Roman" w:hAnsi="Times New Roman" w:cs="Times New Roman"/>
          <w:sz w:val="24"/>
          <w:szCs w:val="24"/>
        </w:rPr>
        <w:t xml:space="preserve">01.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SE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epresentative live-cell images of </w:t>
      </w:r>
      <w:r>
        <w:rPr>
          <w:rFonts w:ascii="Times New Roman" w:hAnsi="Times New Roman" w:cs="Times New Roman"/>
          <w:sz w:val="24"/>
          <w:szCs w:val="24"/>
          <w:lang w:val="en-SE"/>
        </w:rPr>
        <w:t>anti-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lang w:val="en-SE"/>
        </w:rPr>
        <w:t>A9</w:t>
      </w:r>
      <w:r>
        <w:rPr>
          <w:rFonts w:ascii="Times New Roman" w:hAnsi="Times New Roman" w:cs="Times New Roman"/>
          <w:sz w:val="24"/>
          <w:szCs w:val="24"/>
        </w:rPr>
        <w:t xml:space="preserve"> ADC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or isotype control ADC treatment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SE"/>
        </w:rPr>
        <w:t>(</w:t>
      </w: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5 µg/ml) in normoxic and hypoxic </w:t>
      </w:r>
      <w:r>
        <w:rPr>
          <w:rFonts w:ascii="Times New Roman" w:hAnsi="Times New Roman" w:cs="Times New Roman"/>
          <w:sz w:val="24"/>
          <w:szCs w:val="24"/>
        </w:rPr>
        <w:t>U87MG cell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en-SE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96 h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(scale bars</w:t>
      </w:r>
      <w:r>
        <w:rPr>
          <w:rFonts w:ascii="Times New Roman" w:hAnsi="Times New Roman" w:cs="Times New Roman"/>
          <w:sz w:val="24"/>
          <w:szCs w:val="24"/>
          <w:lang w:val="en-SE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450</w:t>
      </w:r>
      <w:r w:rsidRPr="000A6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µm).</w:t>
      </w:r>
    </w:p>
    <w:p w14:paraId="6D816747" w14:textId="77777777" w:rsidR="00C420E7" w:rsidRDefault="00C420E7" w:rsidP="00C420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13C1E" w14:textId="6779122B" w:rsidR="001740BE" w:rsidRDefault="000C0DD3" w:rsidP="00C420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v-SE" w:eastAsia="sv-SE"/>
        </w:rPr>
        <w:lastRenderedPageBreak/>
        <w:drawing>
          <wp:inline distT="0" distB="0" distL="0" distR="0" wp14:anchorId="2ABAE4F9" wp14:editId="0D7920AC">
            <wp:extent cx="5684520" cy="5782056"/>
            <wp:effectExtent l="0" t="0" r="0" b="9525"/>
            <wp:docPr id="1164563136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63136" name="Picture 3" descr="A screenshot of a computer scree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578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3F2FA" w14:textId="681FE132" w:rsidR="00C420E7" w:rsidRDefault="00C420E7" w:rsidP="00C420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7A0">
        <w:rPr>
          <w:rFonts w:ascii="Times New Roman" w:hAnsi="Times New Roman" w:cs="Times New Roman"/>
          <w:b/>
          <w:bCs/>
          <w:sz w:val="24"/>
          <w:szCs w:val="24"/>
        </w:rPr>
        <w:t>Fig. S6. A)</w:t>
      </w:r>
      <w:r w:rsidRPr="001F06C5">
        <w:rPr>
          <w:rFonts w:ascii="Times New Roman" w:hAnsi="Times New Roman" w:cs="Times New Roman"/>
          <w:sz w:val="24"/>
          <w:szCs w:val="24"/>
        </w:rPr>
        <w:t xml:space="preserve"> </w:t>
      </w:r>
      <w:r w:rsidRPr="00B837A0">
        <w:rPr>
          <w:rFonts w:ascii="Times New Roman" w:hAnsi="Times New Roman" w:cs="Times New Roman"/>
          <w:sz w:val="24"/>
          <w:szCs w:val="24"/>
        </w:rPr>
        <w:t xml:space="preserve">Representative </w:t>
      </w: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Pr="00B837A0">
        <w:rPr>
          <w:rFonts w:ascii="Times New Roman" w:hAnsi="Times New Roman" w:cs="Times New Roman"/>
          <w:sz w:val="24"/>
          <w:szCs w:val="24"/>
        </w:rPr>
        <w:t>stainings for selected, hypoxia-induced targets, as indicated, in normoxic and hypoxic primary GBM 2D cultures</w:t>
      </w:r>
      <w:r>
        <w:rPr>
          <w:rFonts w:ascii="Times New Roman" w:hAnsi="Times New Roman" w:cs="Times New Roman"/>
          <w:sz w:val="24"/>
          <w:szCs w:val="24"/>
          <w:lang w:val="en-SE"/>
        </w:rPr>
        <w:t>, assessed by confocal microscopy</w:t>
      </w:r>
      <w:r w:rsidRPr="00B837A0">
        <w:rPr>
          <w:rFonts w:ascii="Times New Roman" w:hAnsi="Times New Roman" w:cs="Times New Roman"/>
          <w:sz w:val="24"/>
          <w:szCs w:val="24"/>
        </w:rPr>
        <w:t xml:space="preserve"> (scale bars, 20 µm).</w:t>
      </w:r>
      <w:r w:rsidR="00DF31EE">
        <w:rPr>
          <w:rFonts w:ascii="Times New Roman" w:hAnsi="Times New Roman" w:cs="Times New Roman"/>
          <w:sz w:val="24"/>
          <w:szCs w:val="24"/>
        </w:rPr>
        <w:t xml:space="preserve"> </w:t>
      </w:r>
      <w:r w:rsidR="00DF31EE" w:rsidRPr="00F547C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F31EE" w:rsidRPr="00F547C9">
        <w:rPr>
          <w:rFonts w:ascii="Times New Roman" w:hAnsi="Times New Roman" w:cs="Times New Roman"/>
          <w:sz w:val="24"/>
          <w:szCs w:val="24"/>
        </w:rPr>
        <w:t>)</w:t>
      </w:r>
      <w:r w:rsidR="00DF31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31EE" w:rsidRPr="00F547C9">
        <w:rPr>
          <w:rFonts w:ascii="Times New Roman" w:hAnsi="Times New Roman" w:cs="Times New Roman"/>
          <w:sz w:val="24"/>
          <w:szCs w:val="24"/>
        </w:rPr>
        <w:t>Representative</w:t>
      </w:r>
      <w:r w:rsidR="00DF31EE">
        <w:rPr>
          <w:rFonts w:ascii="Times New Roman" w:hAnsi="Times New Roman" w:cs="Times New Roman"/>
          <w:sz w:val="24"/>
          <w:szCs w:val="24"/>
        </w:rPr>
        <w:t xml:space="preserve"> IF stainings for selected targets, as indicated, in </w:t>
      </w:r>
      <w:r w:rsidR="00F547C9">
        <w:rPr>
          <w:rFonts w:ascii="Times New Roman" w:hAnsi="Times New Roman" w:cs="Times New Roman"/>
          <w:sz w:val="24"/>
          <w:szCs w:val="24"/>
          <w:lang w:val="en-SE"/>
        </w:rPr>
        <w:t xml:space="preserve">human </w:t>
      </w:r>
      <w:r w:rsidR="00DF31EE">
        <w:rPr>
          <w:rFonts w:ascii="Times New Roman" w:hAnsi="Times New Roman" w:cs="Times New Roman"/>
          <w:sz w:val="24"/>
          <w:szCs w:val="24"/>
        </w:rPr>
        <w:t>normal brain tissues</w:t>
      </w:r>
      <w:r w:rsidR="00F547C9">
        <w:rPr>
          <w:rFonts w:ascii="Times New Roman" w:hAnsi="Times New Roman" w:cs="Times New Roman"/>
          <w:sz w:val="24"/>
          <w:szCs w:val="24"/>
          <w:lang w:val="en-SE"/>
        </w:rPr>
        <w:t xml:space="preserve"> from three separate individuals</w:t>
      </w:r>
      <w:r w:rsidR="00DF31EE">
        <w:rPr>
          <w:rFonts w:ascii="Times New Roman" w:hAnsi="Times New Roman" w:cs="Times New Roman"/>
          <w:sz w:val="24"/>
          <w:szCs w:val="24"/>
        </w:rPr>
        <w:t xml:space="preserve"> (scale bars, 1000 </w:t>
      </w:r>
      <w:r w:rsidR="00DF31EE" w:rsidRPr="00B837A0">
        <w:rPr>
          <w:rFonts w:ascii="Times New Roman" w:hAnsi="Times New Roman" w:cs="Times New Roman"/>
          <w:sz w:val="24"/>
          <w:szCs w:val="24"/>
        </w:rPr>
        <w:t>µ</w:t>
      </w:r>
      <w:r w:rsidR="00DF31EE">
        <w:rPr>
          <w:rFonts w:ascii="Times New Roman" w:hAnsi="Times New Roman" w:cs="Times New Roman"/>
          <w:sz w:val="24"/>
          <w:szCs w:val="24"/>
        </w:rPr>
        <w:t>m).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31E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B837A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F31E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837A0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Representative live-cell images at 96 h 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ADC treatment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 directed at different targets or isotype control ADC</w:t>
      </w:r>
      <w:r>
        <w:rPr>
          <w:rFonts w:ascii="Times New Roman" w:hAnsi="Times New Roman" w:cs="Times New Roman"/>
          <w:sz w:val="24"/>
          <w:szCs w:val="24"/>
        </w:rPr>
        <w:t>, as indicated, in normoxic and hypoxic (</w:t>
      </w:r>
      <w:r w:rsidR="00DF31EE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U3047MG, (</w:t>
      </w:r>
      <w:r w:rsidR="00DF31EE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U3017MG, or (</w:t>
      </w:r>
      <w:r w:rsidR="00DF31EE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U3034MG cells (scale bars</w:t>
      </w:r>
      <w:r>
        <w:rPr>
          <w:rFonts w:ascii="Times New Roman" w:hAnsi="Times New Roman" w:cs="Times New Roman"/>
          <w:sz w:val="24"/>
          <w:szCs w:val="24"/>
          <w:lang w:val="en-S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450</w:t>
      </w:r>
      <w:r w:rsidRPr="000A6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µm).</w:t>
      </w:r>
    </w:p>
    <w:p w14:paraId="4D6D0EC0" w14:textId="77777777" w:rsidR="00C420E7" w:rsidRPr="00C420E7" w:rsidRDefault="00C420E7">
      <w:pPr>
        <w:rPr>
          <w:rFonts w:ascii="Times New Roman" w:hAnsi="Times New Roman" w:cs="Times New Roman"/>
          <w:sz w:val="24"/>
          <w:szCs w:val="24"/>
        </w:rPr>
      </w:pPr>
    </w:p>
    <w:sectPr w:rsidR="00C420E7" w:rsidRPr="00C420E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35CF5" w14:textId="77777777" w:rsidR="00ED3E8C" w:rsidRDefault="00ED3E8C" w:rsidP="002547C3">
      <w:pPr>
        <w:spacing w:after="0" w:line="240" w:lineRule="auto"/>
      </w:pPr>
      <w:r>
        <w:separator/>
      </w:r>
    </w:p>
  </w:endnote>
  <w:endnote w:type="continuationSeparator" w:id="0">
    <w:p w14:paraId="04501B63" w14:textId="77777777" w:rsidR="00ED3E8C" w:rsidRDefault="00ED3E8C" w:rsidP="0025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58561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3E02C3" w14:textId="60663A08" w:rsidR="002547C3" w:rsidRPr="002547C3" w:rsidRDefault="002547C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547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47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547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7937" w:rsidRPr="00C37937">
          <w:rPr>
            <w:rFonts w:ascii="Times New Roman" w:hAnsi="Times New Roman" w:cs="Times New Roman"/>
            <w:noProof/>
            <w:sz w:val="24"/>
            <w:szCs w:val="24"/>
            <w:lang w:val="sv-SE"/>
          </w:rPr>
          <w:t>1</w:t>
        </w:r>
        <w:r w:rsidRPr="002547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FFCCB7A" w14:textId="77777777" w:rsidR="002547C3" w:rsidRDefault="002547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2838B" w14:textId="77777777" w:rsidR="00ED3E8C" w:rsidRDefault="00ED3E8C" w:rsidP="002547C3">
      <w:pPr>
        <w:spacing w:after="0" w:line="240" w:lineRule="auto"/>
      </w:pPr>
      <w:r>
        <w:separator/>
      </w:r>
    </w:p>
  </w:footnote>
  <w:footnote w:type="continuationSeparator" w:id="0">
    <w:p w14:paraId="79B934BA" w14:textId="77777777" w:rsidR="00ED3E8C" w:rsidRDefault="00ED3E8C" w:rsidP="00254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B13"/>
    <w:rsid w:val="00040DD6"/>
    <w:rsid w:val="000462C3"/>
    <w:rsid w:val="00072BB7"/>
    <w:rsid w:val="000C0DD3"/>
    <w:rsid w:val="001740BE"/>
    <w:rsid w:val="002547C3"/>
    <w:rsid w:val="002F3A5D"/>
    <w:rsid w:val="003226D6"/>
    <w:rsid w:val="0036260D"/>
    <w:rsid w:val="003B1448"/>
    <w:rsid w:val="0043195B"/>
    <w:rsid w:val="00446B80"/>
    <w:rsid w:val="004669C4"/>
    <w:rsid w:val="004B5164"/>
    <w:rsid w:val="004B5455"/>
    <w:rsid w:val="00585778"/>
    <w:rsid w:val="006E1D1A"/>
    <w:rsid w:val="00764BD8"/>
    <w:rsid w:val="0077253A"/>
    <w:rsid w:val="00775A33"/>
    <w:rsid w:val="0084197C"/>
    <w:rsid w:val="0090060C"/>
    <w:rsid w:val="00B976EB"/>
    <w:rsid w:val="00BD5871"/>
    <w:rsid w:val="00C37937"/>
    <w:rsid w:val="00C420E7"/>
    <w:rsid w:val="00C77A9E"/>
    <w:rsid w:val="00CA62A4"/>
    <w:rsid w:val="00D03318"/>
    <w:rsid w:val="00D06B13"/>
    <w:rsid w:val="00DD6000"/>
    <w:rsid w:val="00DF31EE"/>
    <w:rsid w:val="00E239EB"/>
    <w:rsid w:val="00E94D76"/>
    <w:rsid w:val="00ED3E8C"/>
    <w:rsid w:val="00EF3140"/>
    <w:rsid w:val="00F15D66"/>
    <w:rsid w:val="00F507B1"/>
    <w:rsid w:val="00F5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350C8A2"/>
  <w15:chartTrackingRefBased/>
  <w15:docId w15:val="{732E3519-EAF9-454C-8961-264AAB98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B1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7C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54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7C3"/>
    <w:rPr>
      <w:lang w:val="en-US"/>
    </w:rPr>
  </w:style>
  <w:style w:type="paragraph" w:styleId="Revision">
    <w:name w:val="Revision"/>
    <w:hidden/>
    <w:uiPriority w:val="99"/>
    <w:semiHidden/>
    <w:rsid w:val="0077253A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72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2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53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53A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0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901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Belting</dc:creator>
  <cp:keywords/>
  <dc:description/>
  <cp:lastModifiedBy>Mattias Belting</cp:lastModifiedBy>
  <cp:revision>2</cp:revision>
  <dcterms:created xsi:type="dcterms:W3CDTF">2024-02-08T09:57:00Z</dcterms:created>
  <dcterms:modified xsi:type="dcterms:W3CDTF">2024-02-08T09:57:00Z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7858b372caabd7f9e3ab87c9499450b6e3f6ba82006063afdf2daa2342adf323</vt:lpwstr>
  </property>
</Properties>
</file>