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083C" w14:textId="1D98313A" w:rsidR="00FA0EBF" w:rsidRDefault="006708C7" w:rsidP="00FA0EBF">
      <w:pPr>
        <w:rPr>
          <w:rFonts w:ascii="Arial" w:hAnsi="Arial" w:cs="Arial"/>
          <w:lang w:val="en-US"/>
        </w:rPr>
      </w:pPr>
      <w:r w:rsidRPr="00C95F6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Supplementary </w:t>
      </w:r>
      <w:r w:rsidR="00496624">
        <w:rPr>
          <w:rFonts w:ascii="Arial" w:hAnsi="Arial" w:cs="Arial"/>
          <w:b/>
          <w:bCs/>
          <w:color w:val="000000" w:themeColor="text1"/>
          <w:sz w:val="28"/>
          <w:szCs w:val="28"/>
        </w:rPr>
        <w:t>T</w:t>
      </w:r>
      <w:r w:rsidR="001C6325" w:rsidRPr="00C95F68">
        <w:rPr>
          <w:rFonts w:ascii="Arial" w:hAnsi="Arial" w:cs="Arial"/>
          <w:b/>
          <w:bCs/>
          <w:color w:val="000000" w:themeColor="text1"/>
          <w:sz w:val="28"/>
          <w:szCs w:val="28"/>
        </w:rPr>
        <w:t>able</w:t>
      </w:r>
      <w:r w:rsidR="00AF0039" w:rsidRPr="00C95F6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C95F68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="00057664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C95F68" w:rsidRPr="00C95F6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="00C95F68" w:rsidRPr="00C95F68">
        <w:rPr>
          <w:rFonts w:ascii="Arial" w:hAnsi="Arial" w:cs="Arial"/>
          <w:lang w:val="en-US"/>
        </w:rPr>
        <w:t>Univariable and multivariable Cox analyses of IHC data</w:t>
      </w:r>
    </w:p>
    <w:p w14:paraId="010517CF" w14:textId="3B6F0211" w:rsidR="00C95F68" w:rsidRDefault="00C95F68" w:rsidP="00FA0EBF">
      <w:pPr>
        <w:rPr>
          <w:rFonts w:ascii="Arial" w:hAnsi="Arial" w:cs="Arial"/>
          <w:lang w:val="en-US"/>
        </w:rPr>
      </w:pPr>
    </w:p>
    <w:p w14:paraId="2CAF23EA" w14:textId="77777777" w:rsidR="00C95F68" w:rsidRPr="00C95F68" w:rsidRDefault="00C95F68" w:rsidP="00FA0EBF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5550646" w14:textId="29DE4BCD" w:rsidR="001C6325" w:rsidRDefault="001C6325" w:rsidP="00FA0EBF"/>
    <w:tbl>
      <w:tblPr>
        <w:tblStyle w:val="TableGrid"/>
        <w:tblpPr w:leftFromText="180" w:rightFromText="180" w:vertAnchor="page" w:horzAnchor="margin" w:tblpY="1993"/>
        <w:tblW w:w="9580" w:type="dxa"/>
        <w:tblLook w:val="04A0" w:firstRow="1" w:lastRow="0" w:firstColumn="1" w:lastColumn="0" w:noHBand="0" w:noVBand="1"/>
      </w:tblPr>
      <w:tblGrid>
        <w:gridCol w:w="1705"/>
        <w:gridCol w:w="1805"/>
        <w:gridCol w:w="1771"/>
        <w:gridCol w:w="1260"/>
        <w:gridCol w:w="1800"/>
        <w:gridCol w:w="1239"/>
      </w:tblGrid>
      <w:tr w:rsidR="00AF0039" w:rsidRPr="00AF0039" w14:paraId="010E593C" w14:textId="77777777" w:rsidTr="004B0049">
        <w:trPr>
          <w:trHeight w:val="664"/>
        </w:trPr>
        <w:tc>
          <w:tcPr>
            <w:tcW w:w="3510" w:type="dxa"/>
            <w:gridSpan w:val="2"/>
            <w:vMerge w:val="restart"/>
            <w:hideMark/>
          </w:tcPr>
          <w:p w14:paraId="76F66DF2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3031" w:type="dxa"/>
            <w:gridSpan w:val="2"/>
            <w:hideMark/>
          </w:tcPr>
          <w:p w14:paraId="66E4D0D3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Univariable</w:t>
            </w:r>
          </w:p>
        </w:tc>
        <w:tc>
          <w:tcPr>
            <w:tcW w:w="3039" w:type="dxa"/>
            <w:gridSpan w:val="2"/>
            <w:hideMark/>
          </w:tcPr>
          <w:p w14:paraId="732C2EDA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Multivariable</w:t>
            </w:r>
          </w:p>
        </w:tc>
      </w:tr>
      <w:tr w:rsidR="00AF0039" w:rsidRPr="00AF0039" w14:paraId="5FFDD624" w14:textId="77777777" w:rsidTr="004B0049">
        <w:trPr>
          <w:trHeight w:val="332"/>
        </w:trPr>
        <w:tc>
          <w:tcPr>
            <w:tcW w:w="3510" w:type="dxa"/>
            <w:gridSpan w:val="2"/>
            <w:vMerge/>
            <w:hideMark/>
          </w:tcPr>
          <w:p w14:paraId="1E8205FA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1" w:type="dxa"/>
            <w:hideMark/>
          </w:tcPr>
          <w:p w14:paraId="7D2BFD9E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1260" w:type="dxa"/>
            <w:hideMark/>
          </w:tcPr>
          <w:p w14:paraId="1BAD8BC7" w14:textId="73E6A46A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F0039"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800" w:type="dxa"/>
            <w:hideMark/>
          </w:tcPr>
          <w:p w14:paraId="6BD8066A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1239" w:type="dxa"/>
            <w:hideMark/>
          </w:tcPr>
          <w:p w14:paraId="597B0864" w14:textId="2B2870B5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F0039"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AF0039" w:rsidRPr="00AF0039" w14:paraId="1A8DF8A6" w14:textId="77777777" w:rsidTr="004B0049">
        <w:trPr>
          <w:trHeight w:val="332"/>
        </w:trPr>
        <w:tc>
          <w:tcPr>
            <w:tcW w:w="9580" w:type="dxa"/>
            <w:gridSpan w:val="6"/>
          </w:tcPr>
          <w:p w14:paraId="280D1FE9" w14:textId="3EDD142D" w:rsidR="004B0049" w:rsidRPr="00AF0039" w:rsidRDefault="004B0049" w:rsidP="004B004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Progression-Free Interval</w:t>
            </w:r>
          </w:p>
        </w:tc>
      </w:tr>
      <w:tr w:rsidR="00AF0039" w:rsidRPr="00AF0039" w14:paraId="67C64FCD" w14:textId="77777777" w:rsidTr="0061793D">
        <w:trPr>
          <w:trHeight w:val="332"/>
        </w:trPr>
        <w:tc>
          <w:tcPr>
            <w:tcW w:w="1705" w:type="dxa"/>
            <w:hideMark/>
          </w:tcPr>
          <w:p w14:paraId="5388CB53" w14:textId="71886DE3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PLA2R</w:t>
            </w:r>
            <w:r w:rsidR="007935E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% positivity</w:t>
            </w:r>
          </w:p>
        </w:tc>
        <w:tc>
          <w:tcPr>
            <w:tcW w:w="1805" w:type="dxa"/>
            <w:hideMark/>
          </w:tcPr>
          <w:p w14:paraId="41ED12E2" w14:textId="5E695074" w:rsidR="004B0049" w:rsidRPr="00AF0039" w:rsidRDefault="0061793D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Upper </w:t>
            </w:r>
            <w:proofErr w:type="spellStart"/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tertile</w:t>
            </w:r>
            <w:proofErr w:type="spellEnd"/>
            <w:r w:rsidR="004B0049"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vs. </w:t>
            </w: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lower </w:t>
            </w:r>
            <w:proofErr w:type="spellStart"/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tertiles</w:t>
            </w:r>
            <w:proofErr w:type="spellEnd"/>
          </w:p>
        </w:tc>
        <w:tc>
          <w:tcPr>
            <w:tcW w:w="1771" w:type="dxa"/>
          </w:tcPr>
          <w:p w14:paraId="3EFA38E0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5.2 (1.5–17.5)</w:t>
            </w:r>
          </w:p>
        </w:tc>
        <w:tc>
          <w:tcPr>
            <w:tcW w:w="1260" w:type="dxa"/>
          </w:tcPr>
          <w:p w14:paraId="2064BBE0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0.0078</w:t>
            </w:r>
          </w:p>
        </w:tc>
        <w:tc>
          <w:tcPr>
            <w:tcW w:w="1800" w:type="dxa"/>
          </w:tcPr>
          <w:p w14:paraId="53883353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7.8 (1.8–32.7)</w:t>
            </w:r>
          </w:p>
        </w:tc>
        <w:tc>
          <w:tcPr>
            <w:tcW w:w="1239" w:type="dxa"/>
          </w:tcPr>
          <w:p w14:paraId="2B25E4C6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0.0052</w:t>
            </w:r>
          </w:p>
        </w:tc>
      </w:tr>
      <w:tr w:rsidR="00AF0039" w:rsidRPr="00AF0039" w14:paraId="03447ECC" w14:textId="77777777" w:rsidTr="0061793D">
        <w:trPr>
          <w:trHeight w:val="332"/>
        </w:trPr>
        <w:tc>
          <w:tcPr>
            <w:tcW w:w="1705" w:type="dxa"/>
            <w:hideMark/>
          </w:tcPr>
          <w:p w14:paraId="3DF05D70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Extent of resection</w:t>
            </w:r>
          </w:p>
        </w:tc>
        <w:tc>
          <w:tcPr>
            <w:tcW w:w="1805" w:type="dxa"/>
            <w:hideMark/>
          </w:tcPr>
          <w:p w14:paraId="493D7617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STR vs. GTR</w:t>
            </w:r>
          </w:p>
        </w:tc>
        <w:tc>
          <w:tcPr>
            <w:tcW w:w="1771" w:type="dxa"/>
          </w:tcPr>
          <w:p w14:paraId="55E8397B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3.1 (0.8–11.5)</w:t>
            </w:r>
          </w:p>
        </w:tc>
        <w:tc>
          <w:tcPr>
            <w:tcW w:w="1260" w:type="dxa"/>
          </w:tcPr>
          <w:p w14:paraId="48F1F774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0.0894</w:t>
            </w:r>
          </w:p>
        </w:tc>
        <w:tc>
          <w:tcPr>
            <w:tcW w:w="1800" w:type="dxa"/>
          </w:tcPr>
          <w:p w14:paraId="05AEF9D5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5.6 (1.3–25.0)</w:t>
            </w:r>
          </w:p>
        </w:tc>
        <w:tc>
          <w:tcPr>
            <w:tcW w:w="1239" w:type="dxa"/>
          </w:tcPr>
          <w:p w14:paraId="24B307F1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0.0228</w:t>
            </w:r>
          </w:p>
        </w:tc>
      </w:tr>
      <w:tr w:rsidR="00AF0039" w:rsidRPr="00AF0039" w14:paraId="354D493C" w14:textId="77777777" w:rsidTr="0061793D">
        <w:trPr>
          <w:trHeight w:val="332"/>
        </w:trPr>
        <w:tc>
          <w:tcPr>
            <w:tcW w:w="1705" w:type="dxa"/>
            <w:hideMark/>
          </w:tcPr>
          <w:p w14:paraId="75C10E34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Adjuvant radiotherapy</w:t>
            </w:r>
          </w:p>
        </w:tc>
        <w:tc>
          <w:tcPr>
            <w:tcW w:w="1805" w:type="dxa"/>
            <w:hideMark/>
          </w:tcPr>
          <w:p w14:paraId="0A4AE6A5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No vs. Yes</w:t>
            </w:r>
          </w:p>
        </w:tc>
        <w:tc>
          <w:tcPr>
            <w:tcW w:w="1771" w:type="dxa"/>
          </w:tcPr>
          <w:p w14:paraId="767EF4D2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1.7 (0.6–5.1)</w:t>
            </w:r>
          </w:p>
        </w:tc>
        <w:tc>
          <w:tcPr>
            <w:tcW w:w="1260" w:type="dxa"/>
          </w:tcPr>
          <w:p w14:paraId="7F8314EC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0.3185</w:t>
            </w:r>
          </w:p>
        </w:tc>
        <w:tc>
          <w:tcPr>
            <w:tcW w:w="1800" w:type="dxa"/>
          </w:tcPr>
          <w:p w14:paraId="62C68CA8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3.2 (0.8–12.6)</w:t>
            </w:r>
          </w:p>
        </w:tc>
        <w:tc>
          <w:tcPr>
            <w:tcW w:w="1239" w:type="dxa"/>
          </w:tcPr>
          <w:p w14:paraId="760EEAA9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0.0921</w:t>
            </w:r>
          </w:p>
        </w:tc>
      </w:tr>
      <w:tr w:rsidR="00AF0039" w:rsidRPr="00AF0039" w14:paraId="0E8936CA" w14:textId="77777777" w:rsidTr="004B0049">
        <w:trPr>
          <w:trHeight w:val="332"/>
        </w:trPr>
        <w:tc>
          <w:tcPr>
            <w:tcW w:w="9580" w:type="dxa"/>
            <w:gridSpan w:val="6"/>
          </w:tcPr>
          <w:p w14:paraId="70FF55BD" w14:textId="0F50458C" w:rsidR="004B0049" w:rsidRPr="00AF0039" w:rsidRDefault="004B0049" w:rsidP="004B004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Overall Survival</w:t>
            </w:r>
          </w:p>
        </w:tc>
      </w:tr>
      <w:tr w:rsidR="00AF0039" w:rsidRPr="00AF0039" w14:paraId="1B3F79D9" w14:textId="77777777" w:rsidTr="0061793D">
        <w:trPr>
          <w:trHeight w:val="332"/>
        </w:trPr>
        <w:tc>
          <w:tcPr>
            <w:tcW w:w="1705" w:type="dxa"/>
          </w:tcPr>
          <w:p w14:paraId="41079210" w14:textId="19EC9D72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PLA2R</w:t>
            </w:r>
            <w:r w:rsidR="007935E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% positivity</w:t>
            </w:r>
          </w:p>
        </w:tc>
        <w:tc>
          <w:tcPr>
            <w:tcW w:w="1805" w:type="dxa"/>
          </w:tcPr>
          <w:p w14:paraId="5A7B4FDF" w14:textId="4F2C1A0C" w:rsidR="004B0049" w:rsidRPr="00AF0039" w:rsidRDefault="0061793D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Upper </w:t>
            </w:r>
            <w:proofErr w:type="spellStart"/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tertile</w:t>
            </w:r>
            <w:proofErr w:type="spellEnd"/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vs. lower </w:t>
            </w:r>
            <w:proofErr w:type="spellStart"/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tertiles</w:t>
            </w:r>
            <w:proofErr w:type="spellEnd"/>
          </w:p>
        </w:tc>
        <w:tc>
          <w:tcPr>
            <w:tcW w:w="1771" w:type="dxa"/>
          </w:tcPr>
          <w:p w14:paraId="47B3F29B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6.7 (1.7–27.0)</w:t>
            </w:r>
          </w:p>
        </w:tc>
        <w:tc>
          <w:tcPr>
            <w:tcW w:w="1260" w:type="dxa"/>
          </w:tcPr>
          <w:p w14:paraId="5D6F00EB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0.0076</w:t>
            </w:r>
          </w:p>
        </w:tc>
        <w:tc>
          <w:tcPr>
            <w:tcW w:w="1800" w:type="dxa"/>
          </w:tcPr>
          <w:p w14:paraId="068324B2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11.5 (1.6–80.7)</w:t>
            </w:r>
          </w:p>
        </w:tc>
        <w:tc>
          <w:tcPr>
            <w:tcW w:w="1239" w:type="dxa"/>
          </w:tcPr>
          <w:p w14:paraId="702374A9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0.0144</w:t>
            </w:r>
          </w:p>
        </w:tc>
      </w:tr>
      <w:tr w:rsidR="00AF0039" w:rsidRPr="00AF0039" w14:paraId="407837CE" w14:textId="77777777" w:rsidTr="0061793D">
        <w:trPr>
          <w:trHeight w:val="332"/>
        </w:trPr>
        <w:tc>
          <w:tcPr>
            <w:tcW w:w="1705" w:type="dxa"/>
          </w:tcPr>
          <w:p w14:paraId="6D323672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Extent of resection</w:t>
            </w:r>
          </w:p>
        </w:tc>
        <w:tc>
          <w:tcPr>
            <w:tcW w:w="1805" w:type="dxa"/>
          </w:tcPr>
          <w:p w14:paraId="3A5FB198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STR vs. GTR</w:t>
            </w:r>
          </w:p>
        </w:tc>
        <w:tc>
          <w:tcPr>
            <w:tcW w:w="1771" w:type="dxa"/>
          </w:tcPr>
          <w:p w14:paraId="042CE991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0.9 (0.2–3.7)</w:t>
            </w:r>
          </w:p>
        </w:tc>
        <w:tc>
          <w:tcPr>
            <w:tcW w:w="1260" w:type="dxa"/>
          </w:tcPr>
          <w:p w14:paraId="4A090EE1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0.8999</w:t>
            </w:r>
          </w:p>
        </w:tc>
        <w:tc>
          <w:tcPr>
            <w:tcW w:w="1800" w:type="dxa"/>
          </w:tcPr>
          <w:p w14:paraId="588CB836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0.5 (0.1–2.4)</w:t>
            </w:r>
          </w:p>
        </w:tc>
        <w:tc>
          <w:tcPr>
            <w:tcW w:w="1239" w:type="dxa"/>
          </w:tcPr>
          <w:p w14:paraId="2983CDBB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0.3934</w:t>
            </w:r>
          </w:p>
        </w:tc>
      </w:tr>
      <w:tr w:rsidR="00AF0039" w:rsidRPr="00AF0039" w14:paraId="5D43597B" w14:textId="77777777" w:rsidTr="0061793D">
        <w:trPr>
          <w:trHeight w:val="332"/>
        </w:trPr>
        <w:tc>
          <w:tcPr>
            <w:tcW w:w="1705" w:type="dxa"/>
          </w:tcPr>
          <w:p w14:paraId="5F01AE81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Adjuvant radiotherapy</w:t>
            </w:r>
          </w:p>
        </w:tc>
        <w:tc>
          <w:tcPr>
            <w:tcW w:w="1805" w:type="dxa"/>
          </w:tcPr>
          <w:p w14:paraId="5E906E71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No vs. Yes</w:t>
            </w:r>
          </w:p>
        </w:tc>
        <w:tc>
          <w:tcPr>
            <w:tcW w:w="1771" w:type="dxa"/>
          </w:tcPr>
          <w:p w14:paraId="65E9CE40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2.6 (0.7–9.7)</w:t>
            </w:r>
          </w:p>
        </w:tc>
        <w:tc>
          <w:tcPr>
            <w:tcW w:w="1260" w:type="dxa"/>
          </w:tcPr>
          <w:p w14:paraId="559A47FD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0.1590</w:t>
            </w:r>
          </w:p>
        </w:tc>
        <w:tc>
          <w:tcPr>
            <w:tcW w:w="1800" w:type="dxa"/>
          </w:tcPr>
          <w:p w14:paraId="1AC88D7A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0.4 (0.1–2.9)</w:t>
            </w:r>
          </w:p>
        </w:tc>
        <w:tc>
          <w:tcPr>
            <w:tcW w:w="1239" w:type="dxa"/>
          </w:tcPr>
          <w:p w14:paraId="1AE84F9F" w14:textId="77777777" w:rsidR="004B0049" w:rsidRPr="00AF0039" w:rsidRDefault="004B0049" w:rsidP="004B004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0039">
              <w:rPr>
                <w:rFonts w:ascii="Arial" w:hAnsi="Arial" w:cs="Arial"/>
                <w:color w:val="000000" w:themeColor="text1"/>
                <w:sz w:val="20"/>
                <w:szCs w:val="20"/>
              </w:rPr>
              <w:t>0.3933</w:t>
            </w:r>
          </w:p>
        </w:tc>
      </w:tr>
    </w:tbl>
    <w:p w14:paraId="074FFEDF" w14:textId="78DDA241" w:rsidR="004B0049" w:rsidRPr="007C607D" w:rsidRDefault="004B0049" w:rsidP="00FA0EBF"/>
    <w:sectPr w:rsidR="004B0049" w:rsidRPr="007C607D" w:rsidSect="00F135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33"/>
    <w:rsid w:val="000049E1"/>
    <w:rsid w:val="00006F02"/>
    <w:rsid w:val="00011055"/>
    <w:rsid w:val="00012016"/>
    <w:rsid w:val="0001563E"/>
    <w:rsid w:val="00026466"/>
    <w:rsid w:val="000435C8"/>
    <w:rsid w:val="00056933"/>
    <w:rsid w:val="00057664"/>
    <w:rsid w:val="000638C8"/>
    <w:rsid w:val="0006676D"/>
    <w:rsid w:val="00070ADB"/>
    <w:rsid w:val="00076448"/>
    <w:rsid w:val="00085C48"/>
    <w:rsid w:val="00090260"/>
    <w:rsid w:val="000A44AA"/>
    <w:rsid w:val="000D4F82"/>
    <w:rsid w:val="000F2856"/>
    <w:rsid w:val="000F4025"/>
    <w:rsid w:val="001046F9"/>
    <w:rsid w:val="001071F2"/>
    <w:rsid w:val="00122176"/>
    <w:rsid w:val="001224B7"/>
    <w:rsid w:val="00125A1A"/>
    <w:rsid w:val="00132F8C"/>
    <w:rsid w:val="00133EDB"/>
    <w:rsid w:val="00135CC9"/>
    <w:rsid w:val="0014187A"/>
    <w:rsid w:val="001451FE"/>
    <w:rsid w:val="00150E68"/>
    <w:rsid w:val="00157EFB"/>
    <w:rsid w:val="001652F7"/>
    <w:rsid w:val="001757D4"/>
    <w:rsid w:val="00177AA7"/>
    <w:rsid w:val="00180F71"/>
    <w:rsid w:val="00196B52"/>
    <w:rsid w:val="001A7373"/>
    <w:rsid w:val="001B0B4B"/>
    <w:rsid w:val="001B55FA"/>
    <w:rsid w:val="001C5982"/>
    <w:rsid w:val="001C6325"/>
    <w:rsid w:val="001C6B57"/>
    <w:rsid w:val="001D6BD6"/>
    <w:rsid w:val="001E75F8"/>
    <w:rsid w:val="00205523"/>
    <w:rsid w:val="00210651"/>
    <w:rsid w:val="00242BF5"/>
    <w:rsid w:val="002447B4"/>
    <w:rsid w:val="00255D93"/>
    <w:rsid w:val="00282C22"/>
    <w:rsid w:val="00286D2F"/>
    <w:rsid w:val="002B45CA"/>
    <w:rsid w:val="002B6019"/>
    <w:rsid w:val="002C3B55"/>
    <w:rsid w:val="002C64CD"/>
    <w:rsid w:val="002F40E8"/>
    <w:rsid w:val="002F4899"/>
    <w:rsid w:val="00303995"/>
    <w:rsid w:val="0031123E"/>
    <w:rsid w:val="00317D37"/>
    <w:rsid w:val="003218B5"/>
    <w:rsid w:val="00330436"/>
    <w:rsid w:val="00331F6E"/>
    <w:rsid w:val="003345E6"/>
    <w:rsid w:val="003737E3"/>
    <w:rsid w:val="00374EB6"/>
    <w:rsid w:val="0037623B"/>
    <w:rsid w:val="00377AEA"/>
    <w:rsid w:val="0039289D"/>
    <w:rsid w:val="00395ADF"/>
    <w:rsid w:val="003A16C7"/>
    <w:rsid w:val="003B0BCC"/>
    <w:rsid w:val="003B6E48"/>
    <w:rsid w:val="003C56F4"/>
    <w:rsid w:val="003D0A60"/>
    <w:rsid w:val="003E61D9"/>
    <w:rsid w:val="003E636C"/>
    <w:rsid w:val="003F0AC9"/>
    <w:rsid w:val="00403F9B"/>
    <w:rsid w:val="00403FBD"/>
    <w:rsid w:val="004144AF"/>
    <w:rsid w:val="00436916"/>
    <w:rsid w:val="004379E9"/>
    <w:rsid w:val="00440187"/>
    <w:rsid w:val="0044043C"/>
    <w:rsid w:val="00442CD7"/>
    <w:rsid w:val="00445DFD"/>
    <w:rsid w:val="00457ECC"/>
    <w:rsid w:val="00470994"/>
    <w:rsid w:val="00484684"/>
    <w:rsid w:val="00496624"/>
    <w:rsid w:val="004B0049"/>
    <w:rsid w:val="004B0101"/>
    <w:rsid w:val="004B32D1"/>
    <w:rsid w:val="004C01E4"/>
    <w:rsid w:val="004C0441"/>
    <w:rsid w:val="004D2723"/>
    <w:rsid w:val="004D2A8D"/>
    <w:rsid w:val="00501D15"/>
    <w:rsid w:val="005044FB"/>
    <w:rsid w:val="00517266"/>
    <w:rsid w:val="00520699"/>
    <w:rsid w:val="00520CDD"/>
    <w:rsid w:val="00571C43"/>
    <w:rsid w:val="005721BB"/>
    <w:rsid w:val="00572DE1"/>
    <w:rsid w:val="00594599"/>
    <w:rsid w:val="005A013B"/>
    <w:rsid w:val="005A1A2A"/>
    <w:rsid w:val="005E0768"/>
    <w:rsid w:val="00605BCD"/>
    <w:rsid w:val="0061793D"/>
    <w:rsid w:val="006225AF"/>
    <w:rsid w:val="006229A0"/>
    <w:rsid w:val="00634C59"/>
    <w:rsid w:val="00641359"/>
    <w:rsid w:val="0065003A"/>
    <w:rsid w:val="006538FF"/>
    <w:rsid w:val="00655382"/>
    <w:rsid w:val="006708C7"/>
    <w:rsid w:val="00672F74"/>
    <w:rsid w:val="00673DFF"/>
    <w:rsid w:val="0068298A"/>
    <w:rsid w:val="00684C97"/>
    <w:rsid w:val="00685BBB"/>
    <w:rsid w:val="00696FC4"/>
    <w:rsid w:val="006A1978"/>
    <w:rsid w:val="006A32C2"/>
    <w:rsid w:val="006B362B"/>
    <w:rsid w:val="006E0422"/>
    <w:rsid w:val="006E269E"/>
    <w:rsid w:val="006F2A06"/>
    <w:rsid w:val="00711D15"/>
    <w:rsid w:val="00713326"/>
    <w:rsid w:val="0071353A"/>
    <w:rsid w:val="00724A32"/>
    <w:rsid w:val="00736371"/>
    <w:rsid w:val="00737A45"/>
    <w:rsid w:val="007648AC"/>
    <w:rsid w:val="00765894"/>
    <w:rsid w:val="00767113"/>
    <w:rsid w:val="00770F5A"/>
    <w:rsid w:val="0077155D"/>
    <w:rsid w:val="00777099"/>
    <w:rsid w:val="007860A0"/>
    <w:rsid w:val="00786DA3"/>
    <w:rsid w:val="007935E7"/>
    <w:rsid w:val="00793DCC"/>
    <w:rsid w:val="0079496E"/>
    <w:rsid w:val="00794C06"/>
    <w:rsid w:val="007A397C"/>
    <w:rsid w:val="007A6970"/>
    <w:rsid w:val="007B0802"/>
    <w:rsid w:val="007B598D"/>
    <w:rsid w:val="007C607D"/>
    <w:rsid w:val="007D4BC5"/>
    <w:rsid w:val="007E75FC"/>
    <w:rsid w:val="007E7A9F"/>
    <w:rsid w:val="00800A16"/>
    <w:rsid w:val="008056F0"/>
    <w:rsid w:val="00837C13"/>
    <w:rsid w:val="00844DAC"/>
    <w:rsid w:val="00851977"/>
    <w:rsid w:val="00856B90"/>
    <w:rsid w:val="00862BC5"/>
    <w:rsid w:val="00864FF5"/>
    <w:rsid w:val="00876045"/>
    <w:rsid w:val="00881625"/>
    <w:rsid w:val="00882F86"/>
    <w:rsid w:val="00884984"/>
    <w:rsid w:val="00885C85"/>
    <w:rsid w:val="00887DF2"/>
    <w:rsid w:val="008A53B9"/>
    <w:rsid w:val="008C3E73"/>
    <w:rsid w:val="008D3918"/>
    <w:rsid w:val="008E0E39"/>
    <w:rsid w:val="00901A20"/>
    <w:rsid w:val="009069B4"/>
    <w:rsid w:val="0091428F"/>
    <w:rsid w:val="00922FFF"/>
    <w:rsid w:val="0093774C"/>
    <w:rsid w:val="0096242A"/>
    <w:rsid w:val="009717EC"/>
    <w:rsid w:val="00977291"/>
    <w:rsid w:val="009810D2"/>
    <w:rsid w:val="00985F02"/>
    <w:rsid w:val="009A0DA7"/>
    <w:rsid w:val="009A66EA"/>
    <w:rsid w:val="009B1C77"/>
    <w:rsid w:val="009C04A5"/>
    <w:rsid w:val="009C5150"/>
    <w:rsid w:val="009D49C1"/>
    <w:rsid w:val="009D6E6C"/>
    <w:rsid w:val="00A125E4"/>
    <w:rsid w:val="00A14BFB"/>
    <w:rsid w:val="00A160F2"/>
    <w:rsid w:val="00A2164D"/>
    <w:rsid w:val="00A33B76"/>
    <w:rsid w:val="00A34869"/>
    <w:rsid w:val="00A359D1"/>
    <w:rsid w:val="00A415AF"/>
    <w:rsid w:val="00A467F4"/>
    <w:rsid w:val="00A5181F"/>
    <w:rsid w:val="00A71BEA"/>
    <w:rsid w:val="00A74E00"/>
    <w:rsid w:val="00A75BB5"/>
    <w:rsid w:val="00A761E3"/>
    <w:rsid w:val="00A76809"/>
    <w:rsid w:val="00A80037"/>
    <w:rsid w:val="00A94C1D"/>
    <w:rsid w:val="00AB56DE"/>
    <w:rsid w:val="00AC1AFC"/>
    <w:rsid w:val="00AF0039"/>
    <w:rsid w:val="00AF376D"/>
    <w:rsid w:val="00AF3869"/>
    <w:rsid w:val="00AF4855"/>
    <w:rsid w:val="00B0167F"/>
    <w:rsid w:val="00B03E7B"/>
    <w:rsid w:val="00B07CD3"/>
    <w:rsid w:val="00B1232F"/>
    <w:rsid w:val="00B144C3"/>
    <w:rsid w:val="00B22455"/>
    <w:rsid w:val="00B3539D"/>
    <w:rsid w:val="00B36BED"/>
    <w:rsid w:val="00B378EA"/>
    <w:rsid w:val="00B447FE"/>
    <w:rsid w:val="00B547CA"/>
    <w:rsid w:val="00B5643D"/>
    <w:rsid w:val="00B565AA"/>
    <w:rsid w:val="00B671CE"/>
    <w:rsid w:val="00B70455"/>
    <w:rsid w:val="00B70ECE"/>
    <w:rsid w:val="00B81243"/>
    <w:rsid w:val="00B91350"/>
    <w:rsid w:val="00B93265"/>
    <w:rsid w:val="00BA4620"/>
    <w:rsid w:val="00BB674B"/>
    <w:rsid w:val="00BC2B7E"/>
    <w:rsid w:val="00BC4AFA"/>
    <w:rsid w:val="00BD0584"/>
    <w:rsid w:val="00BD7238"/>
    <w:rsid w:val="00C02F48"/>
    <w:rsid w:val="00C03270"/>
    <w:rsid w:val="00C26FE9"/>
    <w:rsid w:val="00C320E3"/>
    <w:rsid w:val="00C41EEF"/>
    <w:rsid w:val="00C52EC9"/>
    <w:rsid w:val="00C6134F"/>
    <w:rsid w:val="00C77F89"/>
    <w:rsid w:val="00C86E49"/>
    <w:rsid w:val="00C8705F"/>
    <w:rsid w:val="00C91885"/>
    <w:rsid w:val="00C95F68"/>
    <w:rsid w:val="00CA2759"/>
    <w:rsid w:val="00CB5772"/>
    <w:rsid w:val="00CE3F9C"/>
    <w:rsid w:val="00CF5A12"/>
    <w:rsid w:val="00D01435"/>
    <w:rsid w:val="00D05D53"/>
    <w:rsid w:val="00D1316F"/>
    <w:rsid w:val="00D27294"/>
    <w:rsid w:val="00D419EB"/>
    <w:rsid w:val="00D41EA8"/>
    <w:rsid w:val="00D6193A"/>
    <w:rsid w:val="00D645B7"/>
    <w:rsid w:val="00D66EA9"/>
    <w:rsid w:val="00D673BC"/>
    <w:rsid w:val="00D80897"/>
    <w:rsid w:val="00D874B3"/>
    <w:rsid w:val="00DA1F86"/>
    <w:rsid w:val="00DA2D04"/>
    <w:rsid w:val="00DB4869"/>
    <w:rsid w:val="00DB5034"/>
    <w:rsid w:val="00DB7137"/>
    <w:rsid w:val="00DB78FB"/>
    <w:rsid w:val="00DC3AD6"/>
    <w:rsid w:val="00DD48AC"/>
    <w:rsid w:val="00DE51C4"/>
    <w:rsid w:val="00DF2395"/>
    <w:rsid w:val="00E43425"/>
    <w:rsid w:val="00E460A4"/>
    <w:rsid w:val="00E46911"/>
    <w:rsid w:val="00E6578B"/>
    <w:rsid w:val="00E715D6"/>
    <w:rsid w:val="00E80B2D"/>
    <w:rsid w:val="00E8384F"/>
    <w:rsid w:val="00E91010"/>
    <w:rsid w:val="00EB126E"/>
    <w:rsid w:val="00EB1554"/>
    <w:rsid w:val="00ED2685"/>
    <w:rsid w:val="00EE114F"/>
    <w:rsid w:val="00EE6E13"/>
    <w:rsid w:val="00F06E2D"/>
    <w:rsid w:val="00F135CE"/>
    <w:rsid w:val="00F13D2A"/>
    <w:rsid w:val="00F147A7"/>
    <w:rsid w:val="00F36E92"/>
    <w:rsid w:val="00F415C9"/>
    <w:rsid w:val="00F5535F"/>
    <w:rsid w:val="00F61B81"/>
    <w:rsid w:val="00F70FE0"/>
    <w:rsid w:val="00F74736"/>
    <w:rsid w:val="00F868C3"/>
    <w:rsid w:val="00F8724C"/>
    <w:rsid w:val="00F87D2F"/>
    <w:rsid w:val="00F93137"/>
    <w:rsid w:val="00F97E2F"/>
    <w:rsid w:val="00FA0EBF"/>
    <w:rsid w:val="00FB79C2"/>
    <w:rsid w:val="00FC53E5"/>
    <w:rsid w:val="00FC7645"/>
    <w:rsid w:val="00FD480B"/>
    <w:rsid w:val="00FD56F8"/>
    <w:rsid w:val="00FD5EA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11D9D"/>
  <w15:chartTrackingRefBased/>
  <w15:docId w15:val="{8ABC821A-550C-0C48-93A3-FBD680B5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0569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1C632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1C632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1C6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Zuccato</dc:creator>
  <cp:keywords/>
  <dc:description/>
  <cp:lastModifiedBy>Thomas Kislinger</cp:lastModifiedBy>
  <cp:revision>7</cp:revision>
  <dcterms:created xsi:type="dcterms:W3CDTF">2022-04-04T18:30:00Z</dcterms:created>
  <dcterms:modified xsi:type="dcterms:W3CDTF">2024-02-17T16:45:00Z</dcterms:modified>
</cp:coreProperties>
</file>