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D52" w:rsidRPr="007F4AB7" w:rsidRDefault="00ED4D52" w:rsidP="00ED4D52">
      <w:pPr>
        <w:spacing w:line="480" w:lineRule="auto"/>
        <w:jc w:val="both"/>
        <w:rPr>
          <w:b/>
          <w:bCs/>
          <w:color w:val="000000" w:themeColor="text1"/>
        </w:rPr>
      </w:pPr>
      <w:r w:rsidRPr="007F4AB7">
        <w:rPr>
          <w:b/>
          <w:bCs/>
          <w:color w:val="000000" w:themeColor="text1"/>
        </w:rPr>
        <w:t>Supplementary Table 3</w:t>
      </w:r>
    </w:p>
    <w:p w:rsidR="00ED4D52" w:rsidRPr="00ED4D52" w:rsidRDefault="00CD26F4" w:rsidP="00CD26F4">
      <w:pPr>
        <w:rPr>
          <w:color w:val="000000" w:themeColor="text1"/>
        </w:rPr>
      </w:pPr>
      <w:r>
        <w:rPr>
          <w:rStyle w:val="ui-provider"/>
          <w:rFonts w:eastAsiaTheme="majorEastAsia"/>
        </w:rPr>
        <w:t xml:space="preserve">Variant calls are described for select genes. For H3f3a, H3f3b, Idh1, Idh2, and </w:t>
      </w:r>
      <w:proofErr w:type="spellStart"/>
      <w:r>
        <w:rPr>
          <w:rStyle w:val="ui-provider"/>
          <w:rFonts w:eastAsiaTheme="majorEastAsia"/>
        </w:rPr>
        <w:t>Tert</w:t>
      </w:r>
      <w:proofErr w:type="spellEnd"/>
      <w:r>
        <w:rPr>
          <w:rStyle w:val="ui-provider"/>
          <w:rFonts w:eastAsiaTheme="majorEastAsia"/>
        </w:rPr>
        <w:t xml:space="preserve"> genes, variants called included only those that render a coding change but no amino acid change. Given this, the S635 glioma cell line can be characterized as IDH wild type. For </w:t>
      </w:r>
      <w:proofErr w:type="spellStart"/>
      <w:r>
        <w:rPr>
          <w:rStyle w:val="ui-provider"/>
          <w:rFonts w:eastAsiaTheme="majorEastAsia"/>
        </w:rPr>
        <w:t>Atrx</w:t>
      </w:r>
      <w:proofErr w:type="spellEnd"/>
      <w:r>
        <w:rPr>
          <w:rStyle w:val="ui-provider"/>
          <w:rFonts w:eastAsiaTheme="majorEastAsia"/>
        </w:rPr>
        <w:t xml:space="preserve">, </w:t>
      </w:r>
      <w:proofErr w:type="spellStart"/>
      <w:r>
        <w:rPr>
          <w:rStyle w:val="ui-provider"/>
          <w:rFonts w:eastAsiaTheme="majorEastAsia"/>
        </w:rPr>
        <w:t>Egfr</w:t>
      </w:r>
      <w:proofErr w:type="spellEnd"/>
      <w:r>
        <w:rPr>
          <w:rStyle w:val="ui-provider"/>
          <w:rFonts w:eastAsiaTheme="majorEastAsia"/>
        </w:rPr>
        <w:t xml:space="preserve">, and Tp53 genes, variants called included those that render both a coding change and a non-synonymous amino acid change. For </w:t>
      </w:r>
      <w:proofErr w:type="spellStart"/>
      <w:r>
        <w:rPr>
          <w:rStyle w:val="ui-provider"/>
          <w:rFonts w:eastAsiaTheme="majorEastAsia"/>
        </w:rPr>
        <w:t>Atrx</w:t>
      </w:r>
      <w:proofErr w:type="spellEnd"/>
      <w:r>
        <w:rPr>
          <w:rStyle w:val="ui-provider"/>
          <w:rFonts w:eastAsiaTheme="majorEastAsia"/>
        </w:rPr>
        <w:t>, four single nucleotide variants were called (X:c.70901795:G&gt;T:5.71%; X:c.70930985:G&gt;T,7.41%; X:c.70931078:T&gt;C,20.83%; X:c.70931082:G&gt;C,10.53%) resulting in a non-synonymous impact for multiple transcripts (ENSRNOP00000070457:p.Ser1573Ile, ENSRNOP00000087612:p.Ser1584Ile,</w:t>
      </w:r>
      <w:r>
        <w:rPr>
          <w:rStyle w:val="ui-provider"/>
          <w:rFonts w:eastAsiaTheme="majorEastAsia"/>
        </w:rPr>
        <w:t xml:space="preserve"> </w:t>
      </w:r>
      <w:r>
        <w:rPr>
          <w:rStyle w:val="ui-provider"/>
          <w:rFonts w:eastAsiaTheme="majorEastAsia"/>
        </w:rPr>
        <w:t xml:space="preserve">ENSRNOP00000087702:p.Ser1546Ile; ENSRNOP00000070457:p.Gly873Cys, ENSRNOP00000087612:p.Gly884Cys, ENSRNOP00000087702:p.Gly846Cys; ENSRNOP00000070457:p.Ser842Pro, ENSRNOP00000087612:p.Ser853Pro, ENSRNOP00000087702:p.Ser815Pro; ENSRNOP00000070457:p.Arg840Ser, ENSRNOP00000087612:p.Arg851Ser, ENSRNOP00000087702:p.Arg813Ser). For </w:t>
      </w:r>
      <w:proofErr w:type="spellStart"/>
      <w:r>
        <w:rPr>
          <w:rStyle w:val="ui-provider"/>
          <w:rFonts w:eastAsiaTheme="majorEastAsia"/>
        </w:rPr>
        <w:t>Egfr</w:t>
      </w:r>
      <w:proofErr w:type="spellEnd"/>
      <w:r>
        <w:rPr>
          <w:rStyle w:val="ui-provider"/>
          <w:rFonts w:eastAsiaTheme="majorEastAsia"/>
        </w:rPr>
        <w:t>, two single nucleotide variants were called (14:c.91288218:A&gt;G:15.38%; c.14:91341469:A&gt;C) resulting in a non-synonymous impact for multiple transcripts</w:t>
      </w:r>
      <w:r w:rsidR="007F4AB7">
        <w:rPr>
          <w:rStyle w:val="ui-provider"/>
          <w:rFonts w:eastAsiaTheme="majorEastAsia"/>
        </w:rPr>
        <w:t xml:space="preserve"> </w:t>
      </w:r>
      <w:r>
        <w:rPr>
          <w:rStyle w:val="ui-provider"/>
          <w:rFonts w:eastAsiaTheme="majorEastAsia"/>
        </w:rPr>
        <w:t>(ENSRNOP00000006087:p.Arg132Gly, ENSRNOP00000078445:p.Arg106Gly, ENSRNOP00000080460:p.Arg106Gly; ENSRNOP00000080460:p.Lys940Thr) along with one insertion (14:91287423^91287424:-&gt;T:100%) that possibly impacts splicing for multiple transcripts (ENSRNOT00000006087:c.234+1dupT, ENSRNOT00000097681:c.159+28dupT, ENSRNOT00000111139:c.159+28dupT). For Tp53, two single nucleotide variants were called (10:c.54309391:C&gt;A:6.90%, 10:c.54309411:C&gt;A:8%) resulting in a non-synonymous impact for multiple transcripts (ENSRNOP00000047840:p.Ser313Tyr, ENSRNOP00000074031:p.Ser307Tyr, ENSRNOP00000075724:p.Ser313Tyr, ENSRNOP00000080907:p.Ser286Tyr, ENSRNOP00000089020:p.Ser321Tyr, ENSRNOP00000092831:p.Ser328Tyr; ENSRNOP00000047840:p.Pro320Thr, ENSRNOP00000074031:p.Pro314Thr, ENSRNOP00000075724:p.Pro320Thr, ENSRNOP00000080907:p.Pro293Thr, ENSRNOP00000089020:p.Pro328Thr, ENSRNOP00000092831:p.Pro335Thr).</w:t>
      </w:r>
    </w:p>
    <w:p w:rsidR="00D649AB" w:rsidRPr="00ED4D52" w:rsidRDefault="00D649AB" w:rsidP="00CD26F4"/>
    <w:sectPr w:rsidR="00D649AB" w:rsidRPr="00ED4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52"/>
    <w:rsid w:val="00016698"/>
    <w:rsid w:val="000347B4"/>
    <w:rsid w:val="00070322"/>
    <w:rsid w:val="00072526"/>
    <w:rsid w:val="00083EB7"/>
    <w:rsid w:val="000A028B"/>
    <w:rsid w:val="000A78C1"/>
    <w:rsid w:val="000E0CDF"/>
    <w:rsid w:val="000E69E8"/>
    <w:rsid w:val="001976CF"/>
    <w:rsid w:val="001C2C90"/>
    <w:rsid w:val="001D06AE"/>
    <w:rsid w:val="0021076B"/>
    <w:rsid w:val="00231B7E"/>
    <w:rsid w:val="002831A4"/>
    <w:rsid w:val="002A207E"/>
    <w:rsid w:val="002D45C0"/>
    <w:rsid w:val="0030368B"/>
    <w:rsid w:val="003178A1"/>
    <w:rsid w:val="003509E1"/>
    <w:rsid w:val="003E484E"/>
    <w:rsid w:val="00444799"/>
    <w:rsid w:val="00586BD3"/>
    <w:rsid w:val="005C3D16"/>
    <w:rsid w:val="00681DE4"/>
    <w:rsid w:val="00732F7F"/>
    <w:rsid w:val="007857F6"/>
    <w:rsid w:val="007F4AB7"/>
    <w:rsid w:val="008152D9"/>
    <w:rsid w:val="00885D12"/>
    <w:rsid w:val="00915028"/>
    <w:rsid w:val="009F4D9C"/>
    <w:rsid w:val="00C47286"/>
    <w:rsid w:val="00C552B6"/>
    <w:rsid w:val="00CA7179"/>
    <w:rsid w:val="00CD26F4"/>
    <w:rsid w:val="00D16502"/>
    <w:rsid w:val="00D649AB"/>
    <w:rsid w:val="00DF57E6"/>
    <w:rsid w:val="00E921C9"/>
    <w:rsid w:val="00EA0E3A"/>
    <w:rsid w:val="00EA44CF"/>
    <w:rsid w:val="00EB40D5"/>
    <w:rsid w:val="00ED4D52"/>
    <w:rsid w:val="00F7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F6F71E"/>
  <w15:chartTrackingRefBased/>
  <w15:docId w15:val="{389DA37A-1D36-094B-A9C3-8A8A6C65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5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D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D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D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D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D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D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D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4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D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4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D5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4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D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4D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D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D52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efaultParagraphFont"/>
    <w:rsid w:val="00ED4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Sadhana (NIH/NINDS) [E]</dc:creator>
  <cp:keywords/>
  <dc:description/>
  <cp:lastModifiedBy>Jackson, Sadhana (NIH/NINDS) [E]</cp:lastModifiedBy>
  <cp:revision>1</cp:revision>
  <dcterms:created xsi:type="dcterms:W3CDTF">2024-03-13T15:58:00Z</dcterms:created>
  <dcterms:modified xsi:type="dcterms:W3CDTF">2024-03-13T17:57:00Z</dcterms:modified>
</cp:coreProperties>
</file>