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CE0" w:rsidRPr="007B2CE0" w:rsidRDefault="007B2CE0" w:rsidP="007B2CE0">
      <w:pPr>
        <w:spacing w:after="0" w:line="360" w:lineRule="auto"/>
        <w:rPr>
          <w:rFonts w:asciiTheme="minorHAnsi" w:hAnsiTheme="minorHAnsi" w:cstheme="minorHAnsi"/>
          <w:b/>
          <w:i/>
          <w:sz w:val="24"/>
          <w:lang w:val="en-US"/>
        </w:rPr>
      </w:pPr>
      <w:r w:rsidRPr="007B2CE0">
        <w:rPr>
          <w:rFonts w:asciiTheme="minorHAnsi" w:hAnsiTheme="minorHAnsi" w:cstheme="minorHAnsi"/>
          <w:b/>
          <w:i/>
          <w:sz w:val="24"/>
          <w:lang w:val="en-US"/>
        </w:rPr>
        <w:t>Acta Neuropathologica Communications</w:t>
      </w:r>
    </w:p>
    <w:p w:rsidR="007B2CE0" w:rsidRPr="007B2CE0" w:rsidRDefault="007B2CE0" w:rsidP="007B2CE0">
      <w:pPr>
        <w:spacing w:after="0" w:line="360" w:lineRule="auto"/>
        <w:jc w:val="both"/>
        <w:rPr>
          <w:rFonts w:asciiTheme="minorHAnsi" w:hAnsiTheme="minorHAnsi" w:cstheme="minorHAnsi"/>
          <w:b/>
          <w:sz w:val="36"/>
          <w:lang w:val="en-US"/>
        </w:rPr>
      </w:pPr>
    </w:p>
    <w:p w:rsidR="007B2CE0" w:rsidRPr="007B2CE0" w:rsidRDefault="007B2CE0" w:rsidP="007B2CE0">
      <w:pPr>
        <w:pStyle w:val="Titel"/>
        <w:spacing w:line="360" w:lineRule="auto"/>
        <w:rPr>
          <w:rFonts w:asciiTheme="minorHAnsi" w:hAnsiTheme="minorHAnsi" w:cstheme="minorHAnsi"/>
          <w:sz w:val="32"/>
        </w:rPr>
      </w:pPr>
      <w:r w:rsidRPr="007B2CE0">
        <w:rPr>
          <w:rFonts w:asciiTheme="minorHAnsi" w:hAnsiTheme="minorHAnsi" w:cstheme="minorHAnsi"/>
          <w:sz w:val="32"/>
        </w:rPr>
        <w:t xml:space="preserve">Human post-mortem </w:t>
      </w:r>
      <w:r w:rsidRPr="007B2CE0">
        <w:rPr>
          <w:rFonts w:asciiTheme="minorHAnsi" w:hAnsiTheme="minorHAnsi" w:cstheme="minorHAnsi"/>
          <w:sz w:val="32"/>
        </w:rPr>
        <w:t xml:space="preserve">organotypic </w:t>
      </w:r>
      <w:r w:rsidRPr="007B2CE0">
        <w:rPr>
          <w:rFonts w:asciiTheme="minorHAnsi" w:hAnsiTheme="minorHAnsi" w:cstheme="minorHAnsi"/>
          <w:sz w:val="32"/>
        </w:rPr>
        <w:t>brain slice cultures: a tool to study pathomechanisms and test therapies</w:t>
      </w:r>
    </w:p>
    <w:p w:rsidR="007B2CE0" w:rsidRPr="007B2CE0" w:rsidRDefault="007B2CE0" w:rsidP="007B2CE0">
      <w:pPr>
        <w:spacing w:line="360" w:lineRule="auto"/>
        <w:jc w:val="both"/>
        <w:rPr>
          <w:rFonts w:asciiTheme="minorHAnsi" w:hAnsiTheme="minorHAnsi" w:cstheme="minorHAnsi"/>
          <w:lang w:val="en-CA"/>
        </w:rPr>
      </w:pPr>
    </w:p>
    <w:p w:rsidR="007B2CE0" w:rsidRPr="007B2CE0" w:rsidRDefault="007B2CE0" w:rsidP="007B2CE0">
      <w:pPr>
        <w:spacing w:line="360" w:lineRule="auto"/>
        <w:rPr>
          <w:rFonts w:asciiTheme="minorHAnsi" w:hAnsiTheme="minorHAnsi" w:cstheme="minorHAnsi"/>
          <w:b/>
          <w:lang w:val="en-CA"/>
        </w:rPr>
      </w:pPr>
      <w:r w:rsidRPr="007B2CE0">
        <w:rPr>
          <w:rFonts w:asciiTheme="minorHAnsi" w:hAnsiTheme="minorHAnsi" w:cstheme="minorHAnsi"/>
          <w:lang w:val="en-CA"/>
        </w:rPr>
        <w:t>Bonnie C. Plug</w:t>
      </w:r>
      <w:r w:rsidRPr="007B2CE0">
        <w:rPr>
          <w:rFonts w:asciiTheme="minorHAnsi" w:hAnsiTheme="minorHAnsi" w:cstheme="minorHAnsi"/>
          <w:vertAlign w:val="superscript"/>
          <w:lang w:val="en-CA"/>
        </w:rPr>
        <w:t>1,2</w:t>
      </w:r>
      <w:r w:rsidRPr="007B2CE0">
        <w:rPr>
          <w:rFonts w:asciiTheme="minorHAnsi" w:hAnsiTheme="minorHAnsi" w:cstheme="minorHAnsi"/>
          <w:lang w:val="en-CA"/>
        </w:rPr>
        <w:t>, Ilma M. Revers</w:t>
      </w:r>
      <w:r w:rsidRPr="007B2CE0">
        <w:rPr>
          <w:rFonts w:asciiTheme="minorHAnsi" w:hAnsiTheme="minorHAnsi" w:cstheme="minorHAnsi"/>
          <w:vertAlign w:val="superscript"/>
          <w:lang w:val="en-CA"/>
        </w:rPr>
        <w:t>1,2,†</w:t>
      </w:r>
      <w:r w:rsidRPr="007B2CE0">
        <w:rPr>
          <w:rFonts w:asciiTheme="minorHAnsi" w:hAnsiTheme="minorHAnsi" w:cstheme="minorHAnsi"/>
          <w:lang w:val="en-CA"/>
        </w:rPr>
        <w:t>, Marjolein Breur</w:t>
      </w:r>
      <w:r w:rsidRPr="007B2CE0">
        <w:rPr>
          <w:rFonts w:asciiTheme="minorHAnsi" w:hAnsiTheme="minorHAnsi" w:cstheme="minorHAnsi"/>
          <w:vertAlign w:val="superscript"/>
          <w:lang w:val="en-CA"/>
        </w:rPr>
        <w:t>1,2,†</w:t>
      </w:r>
      <w:r w:rsidRPr="007B2CE0">
        <w:rPr>
          <w:rFonts w:asciiTheme="minorHAnsi" w:hAnsiTheme="minorHAnsi" w:cstheme="minorHAnsi"/>
          <w:lang w:val="en-CA"/>
        </w:rPr>
        <w:t xml:space="preserve">, </w:t>
      </w:r>
      <w:bookmarkStart w:id="0" w:name="_GoBack"/>
      <w:bookmarkEnd w:id="0"/>
      <w:r w:rsidRPr="007B2CE0">
        <w:rPr>
          <w:rFonts w:asciiTheme="minorHAnsi" w:hAnsiTheme="minorHAnsi" w:cstheme="minorHAnsi"/>
          <w:lang w:val="en-CA"/>
        </w:rPr>
        <w:t>Gema Muñoz González</w:t>
      </w:r>
      <w:r w:rsidRPr="007B2CE0">
        <w:rPr>
          <w:rFonts w:asciiTheme="minorHAnsi" w:hAnsiTheme="minorHAnsi" w:cstheme="minorHAnsi"/>
          <w:vertAlign w:val="superscript"/>
          <w:lang w:val="en-CA"/>
        </w:rPr>
        <w:t>3</w:t>
      </w:r>
      <w:r w:rsidRPr="007B2CE0">
        <w:rPr>
          <w:rFonts w:asciiTheme="minorHAnsi" w:hAnsiTheme="minorHAnsi" w:cstheme="minorHAnsi"/>
          <w:lang w:val="en-CA"/>
        </w:rPr>
        <w:t>, Jaap A. Timmerman</w:t>
      </w:r>
      <w:r w:rsidRPr="007B2CE0">
        <w:rPr>
          <w:rFonts w:asciiTheme="minorHAnsi" w:hAnsiTheme="minorHAnsi" w:cstheme="minorHAnsi"/>
          <w:vertAlign w:val="superscript"/>
          <w:lang w:val="en-CA"/>
        </w:rPr>
        <w:t>4</w:t>
      </w:r>
      <w:r w:rsidRPr="007B2CE0">
        <w:rPr>
          <w:rFonts w:asciiTheme="minorHAnsi" w:hAnsiTheme="minorHAnsi" w:cstheme="minorHAnsi"/>
          <w:lang w:val="en-CA"/>
        </w:rPr>
        <w:t>, Niels R.C. Meijns</w:t>
      </w:r>
      <w:r w:rsidRPr="007B2CE0">
        <w:rPr>
          <w:rFonts w:asciiTheme="minorHAnsi" w:hAnsiTheme="minorHAnsi" w:cstheme="minorHAnsi"/>
          <w:vertAlign w:val="superscript"/>
          <w:lang w:val="en-CA"/>
        </w:rPr>
        <w:t>3</w:t>
      </w:r>
      <w:r w:rsidRPr="007B2CE0">
        <w:rPr>
          <w:rFonts w:asciiTheme="minorHAnsi" w:hAnsiTheme="minorHAnsi" w:cstheme="minorHAnsi"/>
          <w:lang w:val="en-CA"/>
        </w:rPr>
        <w:t>, Daniek Hamberg</w:t>
      </w:r>
      <w:r w:rsidRPr="007B2CE0">
        <w:rPr>
          <w:rFonts w:asciiTheme="minorHAnsi" w:hAnsiTheme="minorHAnsi" w:cstheme="minorHAnsi"/>
          <w:vertAlign w:val="superscript"/>
          <w:lang w:val="en-CA"/>
        </w:rPr>
        <w:t>1,2</w:t>
      </w:r>
      <w:r w:rsidRPr="007B2CE0">
        <w:rPr>
          <w:rFonts w:asciiTheme="minorHAnsi" w:hAnsiTheme="minorHAnsi" w:cstheme="minorHAnsi"/>
          <w:lang w:val="en-CA"/>
        </w:rPr>
        <w:t>, Jikke Wagendorp</w:t>
      </w:r>
      <w:r w:rsidRPr="007B2CE0">
        <w:rPr>
          <w:rFonts w:asciiTheme="minorHAnsi" w:hAnsiTheme="minorHAnsi" w:cstheme="minorHAnsi"/>
          <w:vertAlign w:val="superscript"/>
          <w:lang w:val="en-CA"/>
        </w:rPr>
        <w:t>1,2</w:t>
      </w:r>
      <w:r w:rsidRPr="007B2CE0">
        <w:rPr>
          <w:rFonts w:asciiTheme="minorHAnsi" w:hAnsiTheme="minorHAnsi" w:cstheme="minorHAnsi"/>
          <w:lang w:val="en-CA"/>
        </w:rPr>
        <w:t>, Erik Nutma</w:t>
      </w:r>
      <w:r w:rsidRPr="007B2CE0">
        <w:rPr>
          <w:rFonts w:asciiTheme="minorHAnsi" w:hAnsiTheme="minorHAnsi" w:cstheme="minorHAnsi"/>
          <w:vertAlign w:val="superscript"/>
          <w:lang w:val="en-CA"/>
        </w:rPr>
        <w:t>5</w:t>
      </w:r>
      <w:r w:rsidRPr="007B2CE0">
        <w:rPr>
          <w:rFonts w:asciiTheme="minorHAnsi" w:hAnsiTheme="minorHAnsi" w:cstheme="minorHAnsi"/>
          <w:lang w:val="en-CA"/>
        </w:rPr>
        <w:t>, Nicole I. Wolf</w:t>
      </w:r>
      <w:r w:rsidRPr="007B2CE0">
        <w:rPr>
          <w:rFonts w:asciiTheme="minorHAnsi" w:hAnsiTheme="minorHAnsi" w:cstheme="minorHAnsi"/>
          <w:vertAlign w:val="superscript"/>
          <w:lang w:val="en-CA"/>
        </w:rPr>
        <w:t>1,2</w:t>
      </w:r>
      <w:r w:rsidRPr="007B2CE0">
        <w:rPr>
          <w:rFonts w:asciiTheme="minorHAnsi" w:hAnsiTheme="minorHAnsi" w:cstheme="minorHAnsi"/>
          <w:lang w:val="en-CA"/>
        </w:rPr>
        <w:t>, Antonio Luchicchi</w:t>
      </w:r>
      <w:r w:rsidRPr="007B2CE0">
        <w:rPr>
          <w:rFonts w:asciiTheme="minorHAnsi" w:hAnsiTheme="minorHAnsi" w:cstheme="minorHAnsi"/>
          <w:vertAlign w:val="superscript"/>
          <w:lang w:val="en-CA"/>
        </w:rPr>
        <w:t>3</w:t>
      </w:r>
      <w:r w:rsidRPr="007B2CE0">
        <w:rPr>
          <w:rFonts w:asciiTheme="minorHAnsi" w:hAnsiTheme="minorHAnsi" w:cstheme="minorHAnsi"/>
          <w:lang w:val="en-CA"/>
        </w:rPr>
        <w:t>, Huibert D. Mansvelder</w:t>
      </w:r>
      <w:r w:rsidRPr="007B2CE0">
        <w:rPr>
          <w:rFonts w:asciiTheme="minorHAnsi" w:hAnsiTheme="minorHAnsi" w:cstheme="minorHAnsi"/>
          <w:vertAlign w:val="superscript"/>
          <w:lang w:val="en-CA"/>
        </w:rPr>
        <w:t>4</w:t>
      </w:r>
      <w:r w:rsidRPr="007B2CE0">
        <w:rPr>
          <w:rFonts w:asciiTheme="minorHAnsi" w:hAnsiTheme="minorHAnsi" w:cstheme="minorHAnsi"/>
          <w:lang w:val="en-CA"/>
        </w:rPr>
        <w:t>, Niek P. van Til</w:t>
      </w:r>
      <w:r w:rsidRPr="007B2CE0">
        <w:rPr>
          <w:rFonts w:asciiTheme="minorHAnsi" w:hAnsiTheme="minorHAnsi" w:cstheme="minorHAnsi"/>
          <w:vertAlign w:val="superscript"/>
          <w:lang w:val="en-CA"/>
        </w:rPr>
        <w:t>1,2</w:t>
      </w:r>
      <w:r w:rsidRPr="007B2CE0">
        <w:rPr>
          <w:rFonts w:asciiTheme="minorHAnsi" w:hAnsiTheme="minorHAnsi" w:cstheme="minorHAnsi"/>
          <w:lang w:val="en-CA"/>
        </w:rPr>
        <w:t>, Marjo S. van der Knaap</w:t>
      </w:r>
      <w:r w:rsidRPr="007B2CE0">
        <w:rPr>
          <w:rFonts w:asciiTheme="minorHAnsi" w:hAnsiTheme="minorHAnsi" w:cstheme="minorHAnsi"/>
          <w:vertAlign w:val="superscript"/>
          <w:lang w:val="en-CA"/>
        </w:rPr>
        <w:t>1,2,4</w:t>
      </w:r>
      <w:r w:rsidRPr="007B2CE0">
        <w:rPr>
          <w:rFonts w:asciiTheme="minorHAnsi" w:hAnsiTheme="minorHAnsi" w:cstheme="minorHAnsi"/>
          <w:lang w:val="en-CA"/>
        </w:rPr>
        <w:t xml:space="preserve"> &amp; Marianna Bugiani</w:t>
      </w:r>
      <w:r w:rsidRPr="007B2CE0">
        <w:rPr>
          <w:rFonts w:asciiTheme="minorHAnsi" w:hAnsiTheme="minorHAnsi" w:cstheme="minorHAnsi"/>
          <w:vertAlign w:val="superscript"/>
          <w:lang w:val="en-CA"/>
        </w:rPr>
        <w:t>1,2,5</w:t>
      </w:r>
    </w:p>
    <w:p w:rsidR="007B2CE0" w:rsidRPr="007B2CE0" w:rsidRDefault="007B2CE0" w:rsidP="007B2CE0">
      <w:pPr>
        <w:spacing w:after="0" w:line="360" w:lineRule="auto"/>
        <w:jc w:val="both"/>
        <w:rPr>
          <w:rFonts w:asciiTheme="minorHAnsi" w:eastAsia="Calibri" w:hAnsiTheme="minorHAnsi" w:cstheme="minorHAnsi"/>
          <w:lang w:val="en-CA"/>
        </w:rPr>
      </w:pPr>
      <w:r w:rsidRPr="007B2CE0">
        <w:rPr>
          <w:rFonts w:asciiTheme="minorHAnsi" w:eastAsia="Calibri" w:hAnsiTheme="minorHAnsi" w:cstheme="minorHAnsi"/>
          <w:vertAlign w:val="superscript"/>
          <w:lang w:val="en-CA"/>
        </w:rPr>
        <w:t>1</w:t>
      </w:r>
      <w:r w:rsidRPr="007B2CE0">
        <w:rPr>
          <w:rFonts w:asciiTheme="minorHAnsi" w:eastAsia="Calibri" w:hAnsiTheme="minorHAnsi" w:cstheme="minorHAnsi"/>
          <w:lang w:val="en-CA"/>
        </w:rPr>
        <w:t>Department of Paediatrics and Child Neurology, Emma Children’s Hospital, Amsterdam University Medical Centres, Amsterdam Neuroscience, Cellular &amp; Molecular Mechanisms, Meibergdreef 9, 1100 DD Amsterdam, The Netherlands</w:t>
      </w:r>
    </w:p>
    <w:p w:rsidR="007B2CE0" w:rsidRPr="007B2CE0" w:rsidRDefault="007B2CE0" w:rsidP="007B2CE0">
      <w:pPr>
        <w:spacing w:after="0" w:line="360" w:lineRule="auto"/>
        <w:jc w:val="both"/>
        <w:rPr>
          <w:rFonts w:asciiTheme="minorHAnsi" w:eastAsia="Calibri" w:hAnsiTheme="minorHAnsi" w:cstheme="minorHAnsi"/>
          <w:lang w:val="en-CA"/>
        </w:rPr>
      </w:pPr>
      <w:r w:rsidRPr="007B2CE0">
        <w:rPr>
          <w:rFonts w:asciiTheme="minorHAnsi" w:eastAsia="Calibri" w:hAnsiTheme="minorHAnsi" w:cstheme="minorHAnsi"/>
          <w:vertAlign w:val="superscript"/>
          <w:lang w:val="en-CA"/>
        </w:rPr>
        <w:t>2</w:t>
      </w:r>
      <w:r w:rsidRPr="007B2CE0">
        <w:rPr>
          <w:rFonts w:asciiTheme="minorHAnsi" w:eastAsia="Calibri" w:hAnsiTheme="minorHAnsi" w:cstheme="minorHAnsi"/>
          <w:lang w:val="en-CA"/>
        </w:rPr>
        <w:t>Amsterdam Leukodystrophy Center, Emma Children’s Hospital, Amsterdam University Medical Centers, Amsterdam Neuroscience, Cellular &amp; Molecular Mechanisms, Meibergdreef 9, 1100 DD Amsterdam, The Netherlands</w:t>
      </w:r>
    </w:p>
    <w:p w:rsidR="007B2CE0" w:rsidRPr="007B2CE0" w:rsidRDefault="007B2CE0" w:rsidP="007B2CE0">
      <w:pPr>
        <w:spacing w:after="0" w:line="360" w:lineRule="auto"/>
        <w:jc w:val="both"/>
        <w:rPr>
          <w:rFonts w:asciiTheme="minorHAnsi" w:eastAsia="Calibri" w:hAnsiTheme="minorHAnsi" w:cstheme="minorHAnsi"/>
          <w:lang w:val="en-CA"/>
        </w:rPr>
      </w:pPr>
      <w:r w:rsidRPr="007B2CE0">
        <w:rPr>
          <w:rFonts w:asciiTheme="minorHAnsi" w:eastAsia="Calibri" w:hAnsiTheme="minorHAnsi" w:cstheme="minorHAnsi"/>
          <w:vertAlign w:val="superscript"/>
          <w:lang w:val="en-CA"/>
        </w:rPr>
        <w:t>3</w:t>
      </w:r>
      <w:r w:rsidRPr="007B2CE0">
        <w:rPr>
          <w:rFonts w:asciiTheme="minorHAnsi" w:eastAsia="Calibri" w:hAnsiTheme="minorHAnsi" w:cstheme="minorHAnsi"/>
          <w:lang w:val="en-CA"/>
        </w:rPr>
        <w:t>Department of Anatomy and Neurosciences, MS Center Amsterdam, Amsterdam University Medical Centres, VU University, Amsterdam Neuroscience, De Boelelaan 1108, 1081 HZ Amsterdam, The Netherlands</w:t>
      </w:r>
    </w:p>
    <w:p w:rsidR="007B2CE0" w:rsidRPr="007B2CE0" w:rsidRDefault="007B2CE0" w:rsidP="007B2CE0">
      <w:pPr>
        <w:spacing w:after="0" w:line="360" w:lineRule="auto"/>
        <w:jc w:val="both"/>
        <w:rPr>
          <w:rFonts w:asciiTheme="minorHAnsi" w:eastAsia="Calibri" w:hAnsiTheme="minorHAnsi" w:cstheme="minorHAnsi"/>
          <w:lang w:val="en-CA"/>
        </w:rPr>
      </w:pPr>
      <w:r w:rsidRPr="007B2CE0">
        <w:rPr>
          <w:rFonts w:asciiTheme="minorHAnsi" w:eastAsia="Calibri" w:hAnsiTheme="minorHAnsi" w:cstheme="minorHAnsi"/>
          <w:vertAlign w:val="superscript"/>
          <w:lang w:val="en-CA"/>
        </w:rPr>
        <w:t>4</w:t>
      </w:r>
      <w:r w:rsidRPr="007B2CE0">
        <w:rPr>
          <w:rFonts w:asciiTheme="minorHAnsi" w:eastAsia="Calibri" w:hAnsiTheme="minorHAnsi" w:cstheme="minorHAnsi"/>
          <w:lang w:val="en-CA"/>
        </w:rPr>
        <w:t>Department of Integrative Neurophysiology, Center for Neurogenomics and Cognitive Research, VU University, Amsterdam Neuroscience, De Boelelaan 1085, 1081 HV Amsterdam, The Netherlands</w:t>
      </w:r>
    </w:p>
    <w:p w:rsidR="007B2CE0" w:rsidRPr="007B2CE0" w:rsidRDefault="007B2CE0" w:rsidP="007B2CE0">
      <w:pPr>
        <w:spacing w:after="0" w:line="360" w:lineRule="auto"/>
        <w:jc w:val="both"/>
        <w:rPr>
          <w:rFonts w:asciiTheme="minorHAnsi" w:eastAsia="Calibri" w:hAnsiTheme="minorHAnsi" w:cstheme="minorHAnsi"/>
          <w:lang w:val="en-CA"/>
        </w:rPr>
      </w:pPr>
      <w:r w:rsidRPr="007B2CE0">
        <w:rPr>
          <w:rFonts w:asciiTheme="minorHAnsi" w:eastAsia="Calibri" w:hAnsiTheme="minorHAnsi" w:cstheme="minorHAnsi"/>
          <w:vertAlign w:val="superscript"/>
          <w:lang w:val="en-CA"/>
        </w:rPr>
        <w:t>5</w:t>
      </w:r>
      <w:r w:rsidRPr="007B2CE0">
        <w:rPr>
          <w:rFonts w:asciiTheme="minorHAnsi" w:eastAsia="Calibri" w:hAnsiTheme="minorHAnsi" w:cstheme="minorHAnsi"/>
          <w:lang w:val="en-CA"/>
        </w:rPr>
        <w:t>Department of Pathology, Amsterdam University Medical Centres, Amsterdam Neuroscience, Meibergdreef 9, 1100 DD Amsterdam, The Netherlands</w:t>
      </w:r>
    </w:p>
    <w:p w:rsidR="007B2CE0" w:rsidRPr="007B2CE0" w:rsidRDefault="007B2CE0" w:rsidP="007B2CE0">
      <w:pPr>
        <w:spacing w:line="360" w:lineRule="auto"/>
        <w:rPr>
          <w:rFonts w:asciiTheme="minorHAnsi" w:hAnsiTheme="minorHAnsi" w:cstheme="minorHAnsi"/>
          <w:b/>
          <w:lang w:val="en-US"/>
        </w:rPr>
      </w:pPr>
      <w:r w:rsidRPr="007B2CE0">
        <w:rPr>
          <w:rFonts w:asciiTheme="minorHAnsi" w:hAnsiTheme="minorHAnsi" w:cstheme="minorHAnsi"/>
          <w:b/>
          <w:vertAlign w:val="superscript"/>
          <w:lang w:val="en-US"/>
        </w:rPr>
        <w:t>†</w:t>
      </w:r>
      <w:r w:rsidRPr="007B2CE0">
        <w:rPr>
          <w:rFonts w:asciiTheme="minorHAnsi" w:hAnsiTheme="minorHAnsi" w:cstheme="minorHAnsi"/>
          <w:b/>
          <w:lang w:val="en-US"/>
        </w:rPr>
        <w:t xml:space="preserve">These authors contributed equally to this work. </w:t>
      </w:r>
    </w:p>
    <w:p w:rsidR="007B2CE0" w:rsidRPr="007B2CE0" w:rsidRDefault="007B2CE0" w:rsidP="007B2CE0">
      <w:pPr>
        <w:spacing w:after="0" w:line="360" w:lineRule="auto"/>
        <w:jc w:val="both"/>
        <w:rPr>
          <w:rFonts w:asciiTheme="minorHAnsi" w:eastAsia="Calibri" w:hAnsiTheme="minorHAnsi" w:cstheme="minorHAnsi"/>
          <w:lang w:val="en-US"/>
        </w:rPr>
      </w:pPr>
    </w:p>
    <w:p w:rsidR="007B2CE0" w:rsidRPr="007B2CE0" w:rsidRDefault="007B2CE0" w:rsidP="007B2CE0">
      <w:pPr>
        <w:spacing w:after="0" w:line="360" w:lineRule="auto"/>
        <w:jc w:val="both"/>
        <w:rPr>
          <w:rFonts w:asciiTheme="minorHAnsi" w:eastAsia="Calibri" w:hAnsiTheme="minorHAnsi" w:cstheme="minorHAnsi"/>
          <w:lang w:val="en-CA"/>
        </w:rPr>
      </w:pPr>
      <w:r w:rsidRPr="007B2CE0">
        <w:rPr>
          <w:rFonts w:asciiTheme="minorHAnsi" w:eastAsia="Calibri" w:hAnsiTheme="minorHAnsi" w:cstheme="minorHAnsi"/>
          <w:b/>
          <w:lang w:val="en-CA"/>
        </w:rPr>
        <w:t>Corresponding author</w:t>
      </w:r>
      <w:r w:rsidRPr="007B2CE0">
        <w:rPr>
          <w:rFonts w:asciiTheme="minorHAnsi" w:eastAsia="Calibri" w:hAnsiTheme="minorHAnsi" w:cstheme="minorHAnsi"/>
          <w:lang w:val="en-CA"/>
        </w:rPr>
        <w:t>: Marianna Bugiani, m.bugiani@amsterdamumc.nl</w:t>
      </w:r>
    </w:p>
    <w:p w:rsidR="007B2CE0" w:rsidRPr="007B2CE0" w:rsidRDefault="007B2CE0" w:rsidP="007B2CE0">
      <w:pPr>
        <w:spacing w:after="0" w:line="360" w:lineRule="auto"/>
        <w:jc w:val="both"/>
        <w:rPr>
          <w:rFonts w:asciiTheme="minorHAnsi" w:eastAsia="Calibri" w:hAnsiTheme="minorHAnsi" w:cstheme="minorHAnsi"/>
          <w:b/>
          <w:lang w:val="en-GB"/>
        </w:rPr>
      </w:pPr>
    </w:p>
    <w:p w:rsidR="007B2CE0" w:rsidRPr="007B2CE0" w:rsidRDefault="007B2CE0" w:rsidP="007B2CE0">
      <w:pPr>
        <w:spacing w:after="0" w:line="360" w:lineRule="auto"/>
        <w:jc w:val="both"/>
        <w:rPr>
          <w:rFonts w:asciiTheme="minorHAnsi" w:eastAsia="Calibri" w:hAnsiTheme="minorHAnsi" w:cstheme="minorHAnsi"/>
          <w:lang w:val="en-US"/>
        </w:rPr>
      </w:pPr>
    </w:p>
    <w:p w:rsidR="007B2CE0" w:rsidRPr="007B2CE0" w:rsidRDefault="007B2CE0" w:rsidP="007B2CE0">
      <w:pPr>
        <w:spacing w:after="0" w:line="360" w:lineRule="auto"/>
        <w:jc w:val="both"/>
        <w:rPr>
          <w:rFonts w:asciiTheme="minorHAnsi" w:eastAsia="Calibri" w:hAnsiTheme="minorHAnsi" w:cstheme="minorHAnsi"/>
          <w:sz w:val="24"/>
          <w:lang w:val="en-US"/>
        </w:rPr>
      </w:pPr>
    </w:p>
    <w:p w:rsidR="007B2CE0" w:rsidRPr="007B2CE0" w:rsidRDefault="007B2CE0" w:rsidP="007B2CE0">
      <w:pPr>
        <w:spacing w:after="0" w:line="360" w:lineRule="auto"/>
        <w:rPr>
          <w:rFonts w:asciiTheme="minorHAnsi" w:hAnsiTheme="minorHAnsi" w:cstheme="minorHAnsi"/>
          <w:lang w:val="en-US"/>
        </w:rPr>
      </w:pPr>
    </w:p>
    <w:p w:rsidR="003B1EA2" w:rsidRDefault="003B1EA2">
      <w:pPr>
        <w:spacing w:after="160" w:line="259" w:lineRule="auto"/>
        <w:rPr>
          <w:rFonts w:asciiTheme="minorHAnsi" w:eastAsiaTheme="majorEastAsia" w:hAnsiTheme="minorHAnsi" w:cstheme="minorHAnsi"/>
          <w:b/>
          <w:sz w:val="28"/>
          <w:szCs w:val="28"/>
          <w:lang w:val="en-US"/>
        </w:rPr>
      </w:pPr>
      <w:r>
        <w:rPr>
          <w:rFonts w:asciiTheme="minorHAnsi" w:hAnsiTheme="minorHAnsi" w:cstheme="minorHAnsi"/>
          <w:sz w:val="28"/>
          <w:szCs w:val="28"/>
        </w:rPr>
        <w:br w:type="page"/>
      </w:r>
    </w:p>
    <w:p w:rsidR="007B2CE0" w:rsidRPr="007B2CE0" w:rsidRDefault="007B2CE0" w:rsidP="007B2CE0">
      <w:pPr>
        <w:pStyle w:val="Light-h2"/>
        <w:spacing w:line="360" w:lineRule="auto"/>
        <w:rPr>
          <w:rFonts w:asciiTheme="minorHAnsi" w:hAnsiTheme="minorHAnsi" w:cstheme="minorHAnsi"/>
          <w:color w:val="auto"/>
          <w:sz w:val="28"/>
          <w:szCs w:val="28"/>
        </w:rPr>
      </w:pPr>
      <w:r w:rsidRPr="007B2CE0">
        <w:rPr>
          <w:rFonts w:asciiTheme="minorHAnsi" w:hAnsiTheme="minorHAnsi" w:cstheme="minorHAnsi"/>
          <w:color w:val="auto"/>
          <w:sz w:val="28"/>
          <w:szCs w:val="28"/>
        </w:rPr>
        <w:lastRenderedPageBreak/>
        <w:t xml:space="preserve">Supplementary Method </w:t>
      </w:r>
    </w:p>
    <w:p w:rsidR="007B2CE0" w:rsidRPr="007B2CE0" w:rsidRDefault="007B2CE0" w:rsidP="007B2CE0">
      <w:pPr>
        <w:spacing w:after="0" w:line="360" w:lineRule="auto"/>
        <w:rPr>
          <w:lang w:val="en-US"/>
        </w:rPr>
      </w:pPr>
    </w:p>
    <w:p w:rsidR="007B2CE0" w:rsidRPr="007B2CE0" w:rsidRDefault="007B2CE0" w:rsidP="007B2CE0">
      <w:pPr>
        <w:pStyle w:val="Light-h2"/>
        <w:spacing w:line="360" w:lineRule="auto"/>
        <w:rPr>
          <w:rFonts w:asciiTheme="minorHAnsi" w:hAnsiTheme="minorHAnsi" w:cstheme="minorHAnsi"/>
          <w:color w:val="auto"/>
        </w:rPr>
      </w:pPr>
      <w:r w:rsidRPr="007B2CE0">
        <w:rPr>
          <w:rFonts w:asciiTheme="minorHAnsi" w:hAnsiTheme="minorHAnsi" w:cstheme="minorHAnsi"/>
          <w:color w:val="auto"/>
        </w:rPr>
        <w:t xml:space="preserve">Human post-mortem organotypic brain slice cultures </w:t>
      </w:r>
    </w:p>
    <w:p w:rsidR="007B2CE0" w:rsidRPr="007B2CE0" w:rsidRDefault="007B2CE0" w:rsidP="007B2CE0">
      <w:pPr>
        <w:pStyle w:val="Geenafstand"/>
        <w:spacing w:line="360" w:lineRule="auto"/>
        <w:rPr>
          <w:rFonts w:asciiTheme="minorHAnsi" w:hAnsiTheme="minorHAnsi" w:cstheme="minorHAnsi"/>
          <w:lang w:val="en-US"/>
        </w:rPr>
      </w:pPr>
    </w:p>
    <w:p w:rsidR="007B2CE0" w:rsidRPr="007B2CE0" w:rsidRDefault="007B2CE0" w:rsidP="007B2CE0">
      <w:pPr>
        <w:pStyle w:val="Light-h3"/>
        <w:spacing w:line="360" w:lineRule="auto"/>
        <w:rPr>
          <w:rFonts w:asciiTheme="minorHAnsi" w:hAnsiTheme="minorHAnsi" w:cstheme="minorHAnsi"/>
          <w:color w:val="auto"/>
        </w:rPr>
      </w:pPr>
      <w:r w:rsidRPr="007B2CE0">
        <w:rPr>
          <w:rFonts w:asciiTheme="minorHAnsi" w:hAnsiTheme="minorHAnsi" w:cstheme="minorHAnsi"/>
          <w:color w:val="auto"/>
        </w:rPr>
        <w:t>Materials</w:t>
      </w:r>
    </w:p>
    <w:p w:rsidR="007B2CE0" w:rsidRPr="003B1EA2" w:rsidRDefault="007B2CE0" w:rsidP="007B2CE0">
      <w:pPr>
        <w:pStyle w:val="Light-h4"/>
        <w:spacing w:line="360" w:lineRule="auto"/>
        <w:rPr>
          <w:rFonts w:asciiTheme="minorHAnsi" w:hAnsiTheme="minorHAnsi" w:cstheme="minorHAnsi"/>
          <w:color w:val="auto"/>
          <w:sz w:val="22"/>
        </w:rPr>
      </w:pPr>
      <w:r w:rsidRPr="003B1EA2">
        <w:rPr>
          <w:rFonts w:asciiTheme="minorHAnsi" w:hAnsiTheme="minorHAnsi" w:cstheme="minorHAnsi"/>
          <w:color w:val="auto"/>
          <w:sz w:val="22"/>
        </w:rPr>
        <w:t>Required items for slicing and culturing</w:t>
      </w:r>
    </w:p>
    <w:p w:rsidR="007B2CE0" w:rsidRPr="007B2CE0" w:rsidRDefault="007B2CE0" w:rsidP="007B2CE0">
      <w:pPr>
        <w:pStyle w:val="Lijstalinea"/>
        <w:numPr>
          <w:ilvl w:val="0"/>
          <w:numId w:val="3"/>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Post-mortem human brain tissue specimen (see </w:t>
      </w:r>
      <w:r w:rsidRPr="007B2CE0">
        <w:rPr>
          <w:rFonts w:asciiTheme="minorHAnsi" w:hAnsiTheme="minorHAnsi" w:cstheme="minorHAnsi"/>
          <w:b/>
          <w:lang w:val="en-US"/>
        </w:rPr>
        <w:t>Note 1</w:t>
      </w:r>
      <w:r w:rsidRPr="007B2CE0">
        <w:rPr>
          <w:rFonts w:asciiTheme="minorHAnsi" w:hAnsiTheme="minorHAnsi" w:cstheme="minorHAnsi"/>
          <w:lang w:val="en-US"/>
        </w:rPr>
        <w:t>)</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GB"/>
        </w:rPr>
        <w:t xml:space="preserve">Thermo Fisher </w:t>
      </w:r>
      <w:r w:rsidRPr="007B2CE0">
        <w:rPr>
          <w:rFonts w:asciiTheme="minorHAnsi" w:hAnsiTheme="minorHAnsi" w:cstheme="minorHAnsi"/>
          <w:szCs w:val="16"/>
          <w:lang w:val="en-US"/>
        </w:rPr>
        <w:t>Microm HM 650V</w:t>
      </w:r>
      <w:r w:rsidRPr="007B2CE0">
        <w:rPr>
          <w:rFonts w:asciiTheme="minorHAnsi" w:hAnsiTheme="minorHAnsi" w:cstheme="minorHAnsi"/>
          <w:lang w:val="en-GB"/>
        </w:rPr>
        <w:t xml:space="preserve"> (store </w:t>
      </w:r>
      <w:r w:rsidRPr="007B2CE0">
        <w:rPr>
          <w:rFonts w:asciiTheme="minorHAnsi" w:hAnsiTheme="minorHAnsi" w:cstheme="minorHAnsi"/>
          <w:lang w:val="en-US"/>
        </w:rPr>
        <w:t>the vibratome tissue platform and cooling element at -20</w:t>
      </w:r>
      <w:r w:rsidRPr="007B2CE0">
        <w:rPr>
          <w:rFonts w:asciiTheme="minorHAnsi" w:hAnsiTheme="minorHAnsi" w:cstheme="minorHAnsi"/>
          <w:vertAlign w:val="superscript"/>
          <w:lang w:val="en-US"/>
        </w:rPr>
        <w:t>o</w:t>
      </w:r>
      <w:r w:rsidRPr="007B2CE0">
        <w:rPr>
          <w:rFonts w:asciiTheme="minorHAnsi" w:hAnsiTheme="minorHAnsi" w:cstheme="minorHAnsi"/>
          <w:lang w:val="en-US"/>
        </w:rPr>
        <w:t>C)</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GB"/>
        </w:rPr>
        <w:t>Stainless steel blades (</w:t>
      </w:r>
      <w:r w:rsidRPr="007B2CE0">
        <w:rPr>
          <w:rFonts w:asciiTheme="minorHAnsi" w:hAnsiTheme="minorHAnsi" w:cstheme="minorHAnsi"/>
          <w:lang w:val="en-US"/>
        </w:rPr>
        <w:t>Campden Instruments, 752-1-SS).</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Super glue (Bison)</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4% Agar gel (see </w:t>
      </w:r>
      <w:r w:rsidRPr="007B2CE0">
        <w:rPr>
          <w:rFonts w:asciiTheme="minorHAnsi" w:hAnsiTheme="minorHAnsi" w:cstheme="minorHAnsi"/>
          <w:b/>
          <w:lang w:val="en-US"/>
        </w:rPr>
        <w:t>Note 2</w:t>
      </w:r>
      <w:r w:rsidRPr="007B2CE0">
        <w:rPr>
          <w:rFonts w:asciiTheme="minorHAnsi" w:hAnsiTheme="minorHAnsi" w:cstheme="minorHAnsi"/>
          <w:lang w:val="en-US"/>
        </w:rPr>
        <w:t>)</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Styrofoam box with ice</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Sterile 50 mL tubes </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Sterile 50 mL syringe and BD® 20Gx3.5” spinal needle (for hCSF collection)</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Disposable scalpels</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Bent sanded spatula</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Forceps</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P200 Pipet and sterile pipet tips</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Sterile petri dishes</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70% EtOH</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Whatman filter paper </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Phosphate-buffered saline (PBS)</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4% paraformaldehyde (PFA) in PBS (for slice fixation)</w:t>
      </w:r>
    </w:p>
    <w:p w:rsidR="007B2CE0" w:rsidRPr="007B2CE0" w:rsidRDefault="007B2CE0" w:rsidP="007B2CE0">
      <w:pPr>
        <w:pStyle w:val="Lijstalinea"/>
        <w:numPr>
          <w:ilvl w:val="0"/>
          <w:numId w:val="3"/>
        </w:numPr>
        <w:spacing w:line="360" w:lineRule="auto"/>
        <w:rPr>
          <w:rFonts w:asciiTheme="minorHAnsi" w:hAnsiTheme="minorHAnsi" w:cstheme="minorHAnsi"/>
          <w:lang w:val="en-US"/>
        </w:rPr>
      </w:pPr>
      <w:r w:rsidRPr="007B2CE0">
        <w:rPr>
          <w:rFonts w:asciiTheme="minorHAnsi" w:hAnsiTheme="minorHAnsi" w:cstheme="minorHAnsi"/>
          <w:lang w:val="en-US"/>
        </w:rPr>
        <w:t>0.05% sodium azide in PBS (for slice storage after fixation)</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Sterile 6-well culture plates </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Millicell cell culture plate membrane insert (30 mm, 0.4 µm pore size; Merck Millipore, PICM0RG50)</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0.22 µm filtration unit</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Tissue culture laminar flow hood</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Humidified cell culture incubator (37</w:t>
      </w:r>
      <w:r w:rsidRPr="007B2CE0">
        <w:rPr>
          <w:rFonts w:asciiTheme="minorHAnsi" w:hAnsiTheme="minorHAnsi" w:cstheme="minorHAnsi"/>
          <w:vertAlign w:val="superscript"/>
          <w:lang w:val="en-US"/>
        </w:rPr>
        <w:t>o</w:t>
      </w:r>
      <w:r w:rsidRPr="007B2CE0">
        <w:rPr>
          <w:rFonts w:asciiTheme="minorHAnsi" w:hAnsiTheme="minorHAnsi" w:cstheme="minorHAnsi"/>
          <w:lang w:val="en-US"/>
        </w:rPr>
        <w:t>C, 5% CO</w:t>
      </w:r>
      <w:r w:rsidRPr="007B2CE0">
        <w:rPr>
          <w:rFonts w:asciiTheme="minorHAnsi" w:hAnsiTheme="minorHAnsi" w:cstheme="minorHAnsi"/>
          <w:vertAlign w:val="subscript"/>
          <w:lang w:val="en-US"/>
        </w:rPr>
        <w:t>2</w:t>
      </w:r>
      <w:r w:rsidRPr="007B2CE0">
        <w:rPr>
          <w:rFonts w:asciiTheme="minorHAnsi" w:hAnsiTheme="minorHAnsi" w:cstheme="minorHAnsi"/>
          <w:lang w:val="en-US"/>
        </w:rPr>
        <w:t>)</w:t>
      </w:r>
    </w:p>
    <w:p w:rsidR="007B2CE0" w:rsidRPr="007B2CE0" w:rsidRDefault="007B2CE0" w:rsidP="007B2CE0">
      <w:pPr>
        <w:pStyle w:val="Lijstalinea"/>
        <w:numPr>
          <w:ilvl w:val="0"/>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Face mask (optional)</w:t>
      </w:r>
    </w:p>
    <w:p w:rsidR="007B2CE0" w:rsidRPr="003B1EA2" w:rsidRDefault="007B2CE0" w:rsidP="007B2CE0">
      <w:pPr>
        <w:pStyle w:val="Light-h4"/>
        <w:spacing w:line="360" w:lineRule="auto"/>
        <w:rPr>
          <w:rFonts w:asciiTheme="minorHAnsi" w:hAnsiTheme="minorHAnsi" w:cstheme="minorHAnsi"/>
          <w:color w:val="auto"/>
          <w:sz w:val="22"/>
        </w:rPr>
      </w:pPr>
      <w:r w:rsidRPr="003B1EA2">
        <w:rPr>
          <w:rFonts w:asciiTheme="minorHAnsi" w:hAnsiTheme="minorHAnsi" w:cstheme="minorHAnsi"/>
          <w:color w:val="auto"/>
          <w:sz w:val="22"/>
        </w:rPr>
        <w:t>Dissection medium preparation</w:t>
      </w:r>
    </w:p>
    <w:p w:rsidR="007B2CE0" w:rsidRPr="007B2CE0" w:rsidRDefault="007B2CE0" w:rsidP="007B2CE0">
      <w:pPr>
        <w:pStyle w:val="Lijstalinea"/>
        <w:numPr>
          <w:ilvl w:val="0"/>
          <w:numId w:val="2"/>
        </w:numPr>
        <w:spacing w:line="360" w:lineRule="auto"/>
        <w:rPr>
          <w:rFonts w:asciiTheme="minorHAnsi" w:hAnsiTheme="minorHAnsi" w:cstheme="minorHAnsi"/>
        </w:rPr>
      </w:pPr>
      <w:r w:rsidRPr="007B2CE0">
        <w:rPr>
          <w:rFonts w:asciiTheme="minorHAnsi" w:hAnsiTheme="minorHAnsi" w:cstheme="minorHAnsi"/>
          <w:lang w:val="en-US"/>
        </w:rPr>
        <w:t>H</w:t>
      </w:r>
      <w:r w:rsidRPr="007B2CE0">
        <w:rPr>
          <w:rFonts w:asciiTheme="minorHAnsi" w:hAnsiTheme="minorHAnsi" w:cstheme="minorHAnsi"/>
        </w:rPr>
        <w:t xml:space="preserve">ibernate-A </w:t>
      </w:r>
      <w:r w:rsidRPr="007B2CE0">
        <w:rPr>
          <w:rFonts w:asciiTheme="minorHAnsi" w:hAnsiTheme="minorHAnsi" w:cstheme="minorHAnsi"/>
          <w:lang w:val="en-US"/>
        </w:rPr>
        <w:t>(Invitrogen, A12475-01)</w:t>
      </w:r>
    </w:p>
    <w:p w:rsidR="007B2CE0" w:rsidRPr="007B2CE0" w:rsidRDefault="007B2CE0" w:rsidP="007B2CE0">
      <w:pPr>
        <w:pStyle w:val="Lijstalinea"/>
        <w:numPr>
          <w:ilvl w:val="0"/>
          <w:numId w:val="2"/>
        </w:numPr>
        <w:spacing w:line="360" w:lineRule="auto"/>
        <w:rPr>
          <w:rFonts w:asciiTheme="minorHAnsi" w:hAnsiTheme="minorHAnsi" w:cstheme="minorHAnsi"/>
        </w:rPr>
      </w:pPr>
      <w:r w:rsidRPr="007B2CE0">
        <w:rPr>
          <w:rFonts w:asciiTheme="minorHAnsi" w:hAnsiTheme="minorHAnsi" w:cstheme="minorHAnsi"/>
          <w:lang w:val="en-US"/>
        </w:rPr>
        <w:lastRenderedPageBreak/>
        <w:t>Penicillin-streptomycin (Invitrogen, 15140-122)</w:t>
      </w:r>
    </w:p>
    <w:p w:rsidR="007B2CE0" w:rsidRPr="007B2CE0" w:rsidRDefault="007B2CE0" w:rsidP="007B2CE0">
      <w:pPr>
        <w:pStyle w:val="Lijstalinea"/>
        <w:spacing w:after="0" w:line="360" w:lineRule="auto"/>
        <w:jc w:val="both"/>
        <w:rPr>
          <w:rFonts w:asciiTheme="minorHAnsi" w:hAnsiTheme="minorHAnsi" w:cstheme="minorHAnsi"/>
          <w:lang w:val="en-US"/>
        </w:rPr>
      </w:pPr>
    </w:p>
    <w:p w:rsidR="007B2CE0" w:rsidRPr="003B1EA2" w:rsidRDefault="007B2CE0" w:rsidP="007B2CE0">
      <w:pPr>
        <w:pStyle w:val="Light-h4"/>
        <w:spacing w:line="360" w:lineRule="auto"/>
        <w:rPr>
          <w:rFonts w:asciiTheme="minorHAnsi" w:hAnsiTheme="minorHAnsi" w:cstheme="minorHAnsi"/>
          <w:color w:val="auto"/>
          <w:sz w:val="22"/>
        </w:rPr>
      </w:pPr>
      <w:r w:rsidRPr="003B1EA2">
        <w:rPr>
          <w:rFonts w:asciiTheme="minorHAnsi" w:hAnsiTheme="minorHAnsi" w:cstheme="minorHAnsi"/>
          <w:color w:val="auto"/>
          <w:sz w:val="22"/>
        </w:rPr>
        <w:t xml:space="preserve">Normal slice culture medium preparation </w:t>
      </w:r>
    </w:p>
    <w:p w:rsidR="007B2CE0" w:rsidRPr="007B2CE0" w:rsidRDefault="007B2CE0" w:rsidP="007B2CE0">
      <w:pPr>
        <w:pStyle w:val="Lijstalinea"/>
        <w:numPr>
          <w:ilvl w:val="0"/>
          <w:numId w:val="1"/>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Minimum essential medium (MEM, Thermo Fisher, 32360026)</w:t>
      </w:r>
    </w:p>
    <w:p w:rsidR="007B2CE0" w:rsidRPr="007B2CE0" w:rsidRDefault="007B2CE0" w:rsidP="007B2CE0">
      <w:pPr>
        <w:pStyle w:val="Lijstalinea"/>
        <w:numPr>
          <w:ilvl w:val="0"/>
          <w:numId w:val="1"/>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Earle’s Balanced Salt Solution (EBSS, Thermo Fisher, 24010043)</w:t>
      </w:r>
    </w:p>
    <w:p w:rsidR="007B2CE0" w:rsidRPr="007B2CE0" w:rsidRDefault="007B2CE0" w:rsidP="007B2CE0">
      <w:pPr>
        <w:pStyle w:val="Lijstalinea"/>
        <w:numPr>
          <w:ilvl w:val="0"/>
          <w:numId w:val="1"/>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Heat-inactivated horse serum (Thermo Fisher, 26050088)</w:t>
      </w:r>
    </w:p>
    <w:p w:rsidR="007B2CE0" w:rsidRPr="007B2CE0" w:rsidRDefault="007B2CE0" w:rsidP="007B2CE0">
      <w:pPr>
        <w:pStyle w:val="Lijstalinea"/>
        <w:numPr>
          <w:ilvl w:val="0"/>
          <w:numId w:val="1"/>
        </w:numPr>
        <w:spacing w:after="0" w:line="360" w:lineRule="auto"/>
        <w:jc w:val="both"/>
        <w:rPr>
          <w:rFonts w:asciiTheme="minorHAnsi" w:hAnsiTheme="minorHAnsi" w:cstheme="minorHAnsi"/>
        </w:rPr>
      </w:pPr>
      <w:r w:rsidRPr="007B2CE0">
        <w:rPr>
          <w:rFonts w:asciiTheme="minorHAnsi" w:hAnsiTheme="minorHAnsi" w:cstheme="minorHAnsi"/>
        </w:rPr>
        <w:t>45% D-Glucose (Sigma-Aldrich, G8769)</w:t>
      </w:r>
    </w:p>
    <w:p w:rsidR="007B2CE0" w:rsidRPr="007B2CE0" w:rsidRDefault="007B2CE0" w:rsidP="007B2CE0">
      <w:pPr>
        <w:pStyle w:val="Lijstalinea"/>
        <w:numPr>
          <w:ilvl w:val="0"/>
          <w:numId w:val="1"/>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GlutaMAX-I (100X) supplement (Thermo Fisher, 35050038)</w:t>
      </w:r>
    </w:p>
    <w:p w:rsidR="007B2CE0" w:rsidRPr="007B2CE0" w:rsidRDefault="007B2CE0" w:rsidP="007B2CE0">
      <w:pPr>
        <w:pStyle w:val="Lijstalinea"/>
        <w:numPr>
          <w:ilvl w:val="0"/>
          <w:numId w:val="1"/>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Penicillin-streptomycin (Thermo Fisher, 15140-122)</w:t>
      </w:r>
    </w:p>
    <w:p w:rsidR="007B2CE0" w:rsidRPr="007B2CE0" w:rsidRDefault="007B2CE0" w:rsidP="007B2CE0">
      <w:pPr>
        <w:pStyle w:val="Lijstalinea"/>
        <w:numPr>
          <w:ilvl w:val="0"/>
          <w:numId w:val="1"/>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Amphotericin B (Thermo Fisher, 15290018)</w:t>
      </w:r>
    </w:p>
    <w:p w:rsidR="007B2CE0" w:rsidRPr="007B2CE0" w:rsidRDefault="007B2CE0" w:rsidP="007B2CE0">
      <w:pPr>
        <w:pStyle w:val="Light-h4"/>
        <w:spacing w:line="360" w:lineRule="auto"/>
        <w:rPr>
          <w:rFonts w:asciiTheme="minorHAnsi" w:hAnsiTheme="minorHAnsi" w:cstheme="minorHAnsi"/>
          <w:color w:val="auto"/>
        </w:rPr>
      </w:pPr>
    </w:p>
    <w:p w:rsidR="007B2CE0" w:rsidRPr="007B2CE0" w:rsidRDefault="007B2CE0" w:rsidP="007B2CE0">
      <w:pPr>
        <w:pStyle w:val="Light-h3"/>
        <w:spacing w:line="360" w:lineRule="auto"/>
        <w:rPr>
          <w:rFonts w:asciiTheme="minorHAnsi" w:hAnsiTheme="minorHAnsi" w:cstheme="minorHAnsi"/>
          <w:color w:val="auto"/>
        </w:rPr>
      </w:pPr>
      <w:r w:rsidRPr="007B2CE0">
        <w:rPr>
          <w:rFonts w:asciiTheme="minorHAnsi" w:hAnsiTheme="minorHAnsi" w:cstheme="minorHAnsi"/>
          <w:color w:val="auto"/>
        </w:rPr>
        <w:t>Experimental procedure</w:t>
      </w:r>
    </w:p>
    <w:p w:rsidR="007B2CE0" w:rsidRPr="003B1EA2" w:rsidRDefault="007B2CE0" w:rsidP="007B2CE0">
      <w:pPr>
        <w:pStyle w:val="Light-h4"/>
        <w:spacing w:line="360" w:lineRule="auto"/>
        <w:rPr>
          <w:rFonts w:asciiTheme="minorHAnsi" w:hAnsiTheme="minorHAnsi" w:cstheme="minorHAnsi"/>
          <w:color w:val="auto"/>
          <w:sz w:val="22"/>
        </w:rPr>
      </w:pPr>
      <w:r w:rsidRPr="003B1EA2">
        <w:rPr>
          <w:rFonts w:asciiTheme="minorHAnsi" w:hAnsiTheme="minorHAnsi" w:cstheme="minorHAnsi"/>
          <w:color w:val="auto"/>
          <w:sz w:val="22"/>
        </w:rPr>
        <w:t>Part I. Prior to tissue collection</w:t>
      </w:r>
    </w:p>
    <w:p w:rsidR="007B2CE0" w:rsidRPr="007B2CE0" w:rsidRDefault="007B2CE0" w:rsidP="007B2CE0">
      <w:pPr>
        <w:pStyle w:val="Lijstalinea"/>
        <w:numPr>
          <w:ilvl w:val="0"/>
          <w:numId w:val="8"/>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Prepare normal slice culture medium (see </w:t>
      </w:r>
      <w:r w:rsidRPr="007B2CE0">
        <w:rPr>
          <w:rFonts w:asciiTheme="minorHAnsi" w:hAnsiTheme="minorHAnsi" w:cstheme="minorHAnsi"/>
          <w:b/>
          <w:lang w:val="en-US"/>
        </w:rPr>
        <w:t>Note 3</w:t>
      </w:r>
      <w:r w:rsidRPr="007B2CE0">
        <w:rPr>
          <w:rFonts w:asciiTheme="minorHAnsi" w:hAnsiTheme="minorHAnsi" w:cstheme="minorHAnsi"/>
          <w:lang w:val="en-US"/>
        </w:rPr>
        <w:t>) by combining 50% MEM, 25% EBSS and 25% horse serum supplemented with 1% GlutaMAX-I, 1% penicillin-streptomycin, 1.25 μg/ml Amphotericin B and 2.6 mg/ml D-Glucose. Filter sterilize with a 0.22 μm filtration unit. The medium can be stored up to 4 weeks at 4</w:t>
      </w:r>
      <w:r w:rsidRPr="007B2CE0">
        <w:rPr>
          <w:rFonts w:asciiTheme="minorHAnsi" w:hAnsiTheme="minorHAnsi" w:cstheme="minorHAnsi"/>
          <w:vertAlign w:val="superscript"/>
          <w:lang w:val="en-US"/>
        </w:rPr>
        <w:t>o</w:t>
      </w:r>
      <w:r w:rsidRPr="007B2CE0">
        <w:rPr>
          <w:rFonts w:asciiTheme="minorHAnsi" w:hAnsiTheme="minorHAnsi" w:cstheme="minorHAnsi"/>
          <w:lang w:val="en-US"/>
        </w:rPr>
        <w:t xml:space="preserve">C. </w:t>
      </w:r>
    </w:p>
    <w:p w:rsidR="007B2CE0" w:rsidRPr="007B2CE0" w:rsidRDefault="007B2CE0" w:rsidP="007B2CE0">
      <w:pPr>
        <w:pStyle w:val="Lijstalinea"/>
        <w:numPr>
          <w:ilvl w:val="0"/>
          <w:numId w:val="8"/>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Prepare dissection medium (see </w:t>
      </w:r>
      <w:r w:rsidRPr="007B2CE0">
        <w:rPr>
          <w:rFonts w:asciiTheme="minorHAnsi" w:hAnsiTheme="minorHAnsi" w:cstheme="minorHAnsi"/>
          <w:b/>
          <w:lang w:val="en-US"/>
        </w:rPr>
        <w:t>Note 3</w:t>
      </w:r>
      <w:r w:rsidRPr="007B2CE0">
        <w:rPr>
          <w:rFonts w:asciiTheme="minorHAnsi" w:hAnsiTheme="minorHAnsi" w:cstheme="minorHAnsi"/>
          <w:lang w:val="en-US"/>
        </w:rPr>
        <w:t>) by combining 100% Hibernate-A and 1% penicillin-streptomycin. The medium can be stored up to 4 weeks at 4</w:t>
      </w:r>
      <w:r w:rsidRPr="007B2CE0">
        <w:rPr>
          <w:rFonts w:asciiTheme="minorHAnsi" w:hAnsiTheme="minorHAnsi" w:cstheme="minorHAnsi"/>
          <w:vertAlign w:val="superscript"/>
          <w:lang w:val="en-US"/>
        </w:rPr>
        <w:t>o</w:t>
      </w:r>
      <w:r w:rsidRPr="007B2CE0">
        <w:rPr>
          <w:rFonts w:asciiTheme="minorHAnsi" w:hAnsiTheme="minorHAnsi" w:cstheme="minorHAnsi"/>
          <w:lang w:val="en-US"/>
        </w:rPr>
        <w:t xml:space="preserve">C. </w:t>
      </w:r>
    </w:p>
    <w:p w:rsidR="007B2CE0" w:rsidRPr="007B2CE0" w:rsidRDefault="007B2CE0" w:rsidP="007B2CE0">
      <w:pPr>
        <w:pStyle w:val="Lijstalinea"/>
        <w:numPr>
          <w:ilvl w:val="0"/>
          <w:numId w:val="8"/>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Collect 25 ml dissection medium in a sterile tube (for tissue collection) and an empty sterile tube (for hCSF collection) and keep on ice. </w:t>
      </w:r>
    </w:p>
    <w:p w:rsidR="007B2CE0" w:rsidRPr="007B2CE0" w:rsidRDefault="007B2CE0" w:rsidP="007B2CE0">
      <w:pPr>
        <w:pStyle w:val="Lijstalinea"/>
        <w:numPr>
          <w:ilvl w:val="0"/>
          <w:numId w:val="8"/>
        </w:numPr>
        <w:spacing w:line="360" w:lineRule="auto"/>
        <w:jc w:val="both"/>
        <w:rPr>
          <w:rFonts w:asciiTheme="minorHAnsi" w:hAnsiTheme="minorHAnsi" w:cstheme="minorHAnsi"/>
          <w:lang w:val="en-US"/>
        </w:rPr>
      </w:pPr>
      <w:r w:rsidRPr="007B2CE0">
        <w:rPr>
          <w:rFonts w:asciiTheme="minorHAnsi" w:hAnsiTheme="minorHAnsi" w:cstheme="minorHAnsi"/>
          <w:lang w:val="en-US"/>
        </w:rPr>
        <w:t>Prepare 6-well culture plates (number of plates depends on the amount of slices needed and/or the amount of tissue that can be obtained) in a tissue culture laminar flow hood; add 1 ml slice culture medium per well and use sterile forceps to transfer the membrane inserts to the wells. Incubate at 37</w:t>
      </w:r>
      <w:r w:rsidRPr="007B2CE0">
        <w:rPr>
          <w:rFonts w:asciiTheme="minorHAnsi" w:hAnsiTheme="minorHAnsi" w:cstheme="minorHAnsi"/>
          <w:vertAlign w:val="superscript"/>
          <w:lang w:val="en-US"/>
        </w:rPr>
        <w:t>o</w:t>
      </w:r>
      <w:r w:rsidRPr="007B2CE0">
        <w:rPr>
          <w:rFonts w:asciiTheme="minorHAnsi" w:hAnsiTheme="minorHAnsi" w:cstheme="minorHAnsi"/>
          <w:lang w:val="en-US"/>
        </w:rPr>
        <w:t xml:space="preserve">C until further use. </w:t>
      </w:r>
    </w:p>
    <w:p w:rsidR="007B2CE0" w:rsidRPr="007B2CE0" w:rsidRDefault="007B2CE0" w:rsidP="007B2CE0">
      <w:pPr>
        <w:pStyle w:val="Lijstalinea"/>
        <w:numPr>
          <w:ilvl w:val="0"/>
          <w:numId w:val="8"/>
        </w:numPr>
        <w:spacing w:line="360" w:lineRule="auto"/>
        <w:jc w:val="both"/>
        <w:rPr>
          <w:rFonts w:asciiTheme="minorHAnsi" w:hAnsiTheme="minorHAnsi" w:cstheme="minorHAnsi"/>
          <w:lang w:val="en-US"/>
        </w:rPr>
      </w:pPr>
      <w:r w:rsidRPr="007B2CE0">
        <w:rPr>
          <w:rFonts w:asciiTheme="minorHAnsi" w:hAnsiTheme="minorHAnsi" w:cstheme="minorHAnsi"/>
          <w:lang w:val="en-US"/>
        </w:rPr>
        <w:t>Shortly before slicing, keep about 300 ml dissection medium at -20</w:t>
      </w:r>
      <w:r w:rsidRPr="007B2CE0">
        <w:rPr>
          <w:rFonts w:asciiTheme="minorHAnsi" w:hAnsiTheme="minorHAnsi" w:cstheme="minorHAnsi"/>
          <w:vertAlign w:val="superscript"/>
          <w:lang w:val="en-US"/>
        </w:rPr>
        <w:t>o</w:t>
      </w:r>
      <w:r w:rsidRPr="007B2CE0">
        <w:rPr>
          <w:rFonts w:asciiTheme="minorHAnsi" w:hAnsiTheme="minorHAnsi" w:cstheme="minorHAnsi"/>
          <w:lang w:val="en-US"/>
        </w:rPr>
        <w:t xml:space="preserve">C (but avoid complete freezing). </w:t>
      </w:r>
    </w:p>
    <w:p w:rsidR="007B2CE0" w:rsidRPr="007B2CE0" w:rsidRDefault="007B2CE0" w:rsidP="007B2CE0">
      <w:pPr>
        <w:pStyle w:val="Lijstalinea"/>
        <w:numPr>
          <w:ilvl w:val="0"/>
          <w:numId w:val="8"/>
        </w:numPr>
        <w:spacing w:line="360" w:lineRule="auto"/>
        <w:jc w:val="both"/>
        <w:rPr>
          <w:rFonts w:asciiTheme="minorHAnsi" w:hAnsiTheme="minorHAnsi" w:cstheme="minorHAnsi"/>
          <w:lang w:val="en-US"/>
        </w:rPr>
      </w:pPr>
      <w:r w:rsidRPr="007B2CE0">
        <w:rPr>
          <w:rFonts w:asciiTheme="minorHAnsi" w:hAnsiTheme="minorHAnsi" w:cstheme="minorHAnsi"/>
          <w:lang w:val="en-US"/>
        </w:rPr>
        <w:t>Clean the dissection workspace, all vibratome parts, blade and tools with 70% EtOH.</w:t>
      </w:r>
    </w:p>
    <w:p w:rsidR="007B2CE0" w:rsidRPr="007B2CE0" w:rsidRDefault="007B2CE0" w:rsidP="007B2CE0">
      <w:pPr>
        <w:pStyle w:val="Lijstalinea"/>
        <w:numPr>
          <w:ilvl w:val="0"/>
          <w:numId w:val="8"/>
        </w:numPr>
        <w:spacing w:line="360" w:lineRule="auto"/>
        <w:jc w:val="both"/>
        <w:rPr>
          <w:rFonts w:asciiTheme="minorHAnsi" w:hAnsiTheme="minorHAnsi" w:cstheme="minorHAnsi"/>
          <w:lang w:val="en-US"/>
        </w:rPr>
      </w:pPr>
      <w:r w:rsidRPr="007B2CE0">
        <w:rPr>
          <w:rFonts w:asciiTheme="minorHAnsi" w:hAnsiTheme="minorHAnsi" w:cstheme="minorHAnsi"/>
          <w:lang w:val="en-US"/>
        </w:rPr>
        <w:t>Assemble the vibratome and secure the blade in place. Keep the vibratome tissue platform and cooling element stored at -20</w:t>
      </w:r>
      <w:r w:rsidRPr="007B2CE0">
        <w:rPr>
          <w:rFonts w:asciiTheme="minorHAnsi" w:hAnsiTheme="minorHAnsi" w:cstheme="minorHAnsi"/>
          <w:vertAlign w:val="superscript"/>
          <w:lang w:val="en-US"/>
        </w:rPr>
        <w:t>o</w:t>
      </w:r>
      <w:r w:rsidRPr="007B2CE0">
        <w:rPr>
          <w:rFonts w:asciiTheme="minorHAnsi" w:hAnsiTheme="minorHAnsi" w:cstheme="minorHAnsi"/>
          <w:lang w:val="en-US"/>
        </w:rPr>
        <w:t>C until slicing.</w:t>
      </w:r>
    </w:p>
    <w:p w:rsidR="007B2CE0" w:rsidRPr="007B2CE0" w:rsidRDefault="007B2CE0" w:rsidP="007B2CE0">
      <w:pPr>
        <w:pStyle w:val="Lijstalinea"/>
        <w:numPr>
          <w:ilvl w:val="0"/>
          <w:numId w:val="8"/>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Adjust the settings on the vibratome. For a </w:t>
      </w:r>
      <w:r w:rsidRPr="007B2CE0">
        <w:rPr>
          <w:rFonts w:asciiTheme="minorHAnsi" w:hAnsiTheme="minorHAnsi" w:cstheme="minorHAnsi"/>
          <w:lang w:val="en-GB"/>
        </w:rPr>
        <w:t>Thermo Fisher Microm HM 650V, the following settings are suggested:</w:t>
      </w:r>
    </w:p>
    <w:p w:rsidR="007B2CE0" w:rsidRPr="007B2CE0" w:rsidRDefault="007B2CE0" w:rsidP="007B2CE0">
      <w:pPr>
        <w:pStyle w:val="Lijstalinea"/>
        <w:numPr>
          <w:ilvl w:val="1"/>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Slice thickness = 300 µm </w:t>
      </w:r>
    </w:p>
    <w:p w:rsidR="007B2CE0" w:rsidRPr="007B2CE0" w:rsidRDefault="007B2CE0" w:rsidP="007B2CE0">
      <w:pPr>
        <w:pStyle w:val="Lijstalinea"/>
        <w:numPr>
          <w:ilvl w:val="1"/>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Velocity = V8</w:t>
      </w:r>
    </w:p>
    <w:p w:rsidR="007B2CE0" w:rsidRPr="007B2CE0" w:rsidRDefault="007B2CE0" w:rsidP="007B2CE0">
      <w:pPr>
        <w:pStyle w:val="Lijstalinea"/>
        <w:numPr>
          <w:ilvl w:val="1"/>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lastRenderedPageBreak/>
        <w:t>Frequency = 70 Hz</w:t>
      </w:r>
    </w:p>
    <w:p w:rsidR="007B2CE0" w:rsidRPr="007B2CE0" w:rsidRDefault="007B2CE0" w:rsidP="007B2CE0">
      <w:pPr>
        <w:pStyle w:val="Lijstalinea"/>
        <w:numPr>
          <w:ilvl w:val="1"/>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Amplitude = 1</w:t>
      </w:r>
    </w:p>
    <w:p w:rsidR="007B2CE0" w:rsidRPr="007B2CE0" w:rsidRDefault="007B2CE0" w:rsidP="007B2CE0">
      <w:pPr>
        <w:pStyle w:val="Lijstalinea"/>
        <w:numPr>
          <w:ilvl w:val="1"/>
          <w:numId w:val="3"/>
        </w:numPr>
        <w:spacing w:line="360" w:lineRule="auto"/>
        <w:jc w:val="both"/>
        <w:rPr>
          <w:rFonts w:asciiTheme="minorHAnsi" w:hAnsiTheme="minorHAnsi" w:cstheme="minorHAnsi"/>
          <w:lang w:val="en-US"/>
        </w:rPr>
      </w:pPr>
      <w:r w:rsidRPr="007B2CE0">
        <w:rPr>
          <w:rFonts w:asciiTheme="minorHAnsi" w:hAnsiTheme="minorHAnsi" w:cstheme="minorHAnsi"/>
          <w:lang w:val="en-US"/>
        </w:rPr>
        <w:t>Mode = single stroke</w:t>
      </w:r>
    </w:p>
    <w:p w:rsidR="007B2CE0" w:rsidRPr="003B1EA2" w:rsidRDefault="007B2CE0" w:rsidP="007B2CE0">
      <w:pPr>
        <w:pStyle w:val="Light-h4"/>
        <w:spacing w:line="360" w:lineRule="auto"/>
        <w:rPr>
          <w:rFonts w:asciiTheme="minorHAnsi" w:hAnsiTheme="minorHAnsi" w:cstheme="minorHAnsi"/>
          <w:color w:val="auto"/>
          <w:sz w:val="22"/>
        </w:rPr>
      </w:pPr>
      <w:r w:rsidRPr="003B1EA2">
        <w:rPr>
          <w:rFonts w:asciiTheme="minorHAnsi" w:hAnsiTheme="minorHAnsi" w:cstheme="minorHAnsi"/>
          <w:color w:val="auto"/>
          <w:sz w:val="22"/>
        </w:rPr>
        <w:t>Part II. Tissue collection and processing</w:t>
      </w:r>
    </w:p>
    <w:p w:rsidR="007B2CE0" w:rsidRPr="007B2CE0" w:rsidRDefault="007B2CE0" w:rsidP="007B2CE0">
      <w:pPr>
        <w:pStyle w:val="Lijstalinea"/>
        <w:numPr>
          <w:ilvl w:val="0"/>
          <w:numId w:val="4"/>
        </w:numPr>
        <w:spacing w:after="0" w:line="360" w:lineRule="auto"/>
        <w:jc w:val="both"/>
        <w:rPr>
          <w:rFonts w:asciiTheme="minorHAnsi" w:hAnsiTheme="minorHAnsi" w:cstheme="minorHAnsi"/>
          <w:lang w:val="en-US"/>
        </w:rPr>
      </w:pPr>
      <w:r w:rsidRPr="007B2CE0">
        <w:rPr>
          <w:rFonts w:asciiTheme="minorHAnsi" w:hAnsiTheme="minorHAnsi" w:cstheme="minorHAnsi"/>
          <w:i/>
          <w:lang w:val="en-US"/>
        </w:rPr>
        <w:t>Optional</w:t>
      </w:r>
      <w:r w:rsidRPr="007B2CE0">
        <w:rPr>
          <w:rFonts w:asciiTheme="minorHAnsi" w:hAnsiTheme="minorHAnsi" w:cstheme="minorHAnsi"/>
          <w:lang w:val="en-US"/>
        </w:rPr>
        <w:t>: Wear a face mask during tissue collection until slice culturing to increase sterility.</w:t>
      </w:r>
    </w:p>
    <w:p w:rsidR="007B2CE0" w:rsidRPr="007B2CE0" w:rsidRDefault="007B2CE0" w:rsidP="007B2CE0">
      <w:pPr>
        <w:pStyle w:val="Lijstalinea"/>
        <w:numPr>
          <w:ilvl w:val="0"/>
          <w:numId w:val="4"/>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Collect a tissue specimen (see </w:t>
      </w:r>
      <w:r w:rsidRPr="007B2CE0">
        <w:rPr>
          <w:rFonts w:asciiTheme="minorHAnsi" w:hAnsiTheme="minorHAnsi" w:cstheme="minorHAnsi"/>
          <w:b/>
          <w:lang w:val="en-US"/>
        </w:rPr>
        <w:t>Note 4</w:t>
      </w:r>
      <w:r w:rsidRPr="007B2CE0">
        <w:rPr>
          <w:rFonts w:asciiTheme="minorHAnsi" w:hAnsiTheme="minorHAnsi" w:cstheme="minorHAnsi"/>
          <w:lang w:val="en-US"/>
        </w:rPr>
        <w:t xml:space="preserve">) from the middle frontal gyrus (see </w:t>
      </w:r>
      <w:r w:rsidRPr="007B2CE0">
        <w:rPr>
          <w:rFonts w:asciiTheme="minorHAnsi" w:hAnsiTheme="minorHAnsi" w:cstheme="minorHAnsi"/>
          <w:b/>
          <w:lang w:val="en-US"/>
        </w:rPr>
        <w:t>Note 5</w:t>
      </w:r>
      <w:r w:rsidRPr="007B2CE0">
        <w:rPr>
          <w:rFonts w:asciiTheme="minorHAnsi" w:hAnsiTheme="minorHAnsi" w:cstheme="minorHAnsi"/>
          <w:lang w:val="en-US"/>
        </w:rPr>
        <w:t xml:space="preserve">) within 6h post-mortem (see </w:t>
      </w:r>
      <w:r w:rsidRPr="007B2CE0">
        <w:rPr>
          <w:rFonts w:asciiTheme="minorHAnsi" w:hAnsiTheme="minorHAnsi" w:cstheme="minorHAnsi"/>
          <w:b/>
          <w:lang w:val="en-US"/>
        </w:rPr>
        <w:t>Note 6</w:t>
      </w:r>
      <w:r w:rsidRPr="007B2CE0">
        <w:rPr>
          <w:rFonts w:asciiTheme="minorHAnsi" w:hAnsiTheme="minorHAnsi" w:cstheme="minorHAnsi"/>
          <w:lang w:val="en-US"/>
        </w:rPr>
        <w:t>) in about 25 ml ice-cold dissection (keep on ice throughout procedure).</w:t>
      </w:r>
    </w:p>
    <w:p w:rsidR="007B2CE0" w:rsidRPr="007B2CE0" w:rsidRDefault="007B2CE0" w:rsidP="007B2CE0">
      <w:pPr>
        <w:pStyle w:val="Lijstalinea"/>
        <w:numPr>
          <w:ilvl w:val="0"/>
          <w:numId w:val="4"/>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If required, collect human cerebrospinal fluid (hCSF) using a sterile syringe and needle from the lateral ventricles in a sterile tube (keep on ice throughout procedure). </w:t>
      </w:r>
    </w:p>
    <w:p w:rsidR="007B2CE0" w:rsidRPr="007B2CE0" w:rsidRDefault="007B2CE0" w:rsidP="007B2CE0">
      <w:pPr>
        <w:pStyle w:val="Lijstalinea"/>
        <w:numPr>
          <w:ilvl w:val="0"/>
          <w:numId w:val="4"/>
        </w:numPr>
        <w:spacing w:line="360" w:lineRule="auto"/>
        <w:jc w:val="both"/>
        <w:rPr>
          <w:rFonts w:asciiTheme="minorHAnsi" w:hAnsiTheme="minorHAnsi" w:cstheme="minorHAnsi"/>
          <w:lang w:val="en-US"/>
        </w:rPr>
      </w:pPr>
      <w:r w:rsidRPr="007B2CE0">
        <w:rPr>
          <w:rFonts w:asciiTheme="minorHAnsi" w:hAnsiTheme="minorHAnsi" w:cstheme="minorHAnsi"/>
          <w:lang w:val="en-US"/>
        </w:rPr>
        <w:t>Transport within minutes to the dissection workspace.</w:t>
      </w:r>
    </w:p>
    <w:p w:rsidR="007B2CE0" w:rsidRPr="007B2CE0" w:rsidRDefault="007B2CE0" w:rsidP="007B2CE0">
      <w:pPr>
        <w:pStyle w:val="Lijstalinea"/>
        <w:numPr>
          <w:ilvl w:val="0"/>
          <w:numId w:val="4"/>
        </w:numPr>
        <w:spacing w:line="360" w:lineRule="auto"/>
        <w:jc w:val="both"/>
        <w:rPr>
          <w:rFonts w:asciiTheme="minorHAnsi" w:hAnsiTheme="minorHAnsi" w:cstheme="minorHAnsi"/>
          <w:lang w:val="en-US"/>
        </w:rPr>
      </w:pPr>
      <w:r w:rsidRPr="007B2CE0">
        <w:rPr>
          <w:rFonts w:asciiTheme="minorHAnsi" w:hAnsiTheme="minorHAnsi" w:cstheme="minorHAnsi"/>
          <w:lang w:val="en-US"/>
        </w:rPr>
        <w:t>Transfer the tissue specimen and dissection medium to a petri dish on ice. Carefully remove meninges and blood vessels using forceps.</w:t>
      </w:r>
    </w:p>
    <w:p w:rsidR="007B2CE0" w:rsidRPr="007B2CE0" w:rsidRDefault="007B2CE0" w:rsidP="007B2CE0">
      <w:pPr>
        <w:pStyle w:val="Lijstalinea"/>
        <w:spacing w:line="360" w:lineRule="auto"/>
        <w:jc w:val="both"/>
        <w:rPr>
          <w:rFonts w:asciiTheme="minorHAnsi" w:hAnsiTheme="minorHAnsi" w:cstheme="minorHAnsi"/>
          <w:lang w:val="en-US"/>
        </w:rPr>
      </w:pPr>
      <w:r w:rsidRPr="007B2CE0">
        <w:rPr>
          <w:rFonts w:asciiTheme="minorHAnsi" w:hAnsiTheme="minorHAnsi" w:cstheme="minorHAnsi"/>
          <w:i/>
          <w:lang w:val="en-US"/>
        </w:rPr>
        <w:t>Optional</w:t>
      </w:r>
      <w:r w:rsidRPr="007B2CE0">
        <w:rPr>
          <w:rFonts w:asciiTheme="minorHAnsi" w:hAnsiTheme="minorHAnsi" w:cstheme="minorHAnsi"/>
          <w:lang w:val="en-US"/>
        </w:rPr>
        <w:t xml:space="preserve">: Tissue processing can be performed in a flow hood for increased sterility. </w:t>
      </w:r>
    </w:p>
    <w:p w:rsidR="007B2CE0" w:rsidRPr="007B2CE0" w:rsidRDefault="007B2CE0" w:rsidP="007B2CE0">
      <w:pPr>
        <w:pStyle w:val="Lijstalinea"/>
        <w:numPr>
          <w:ilvl w:val="0"/>
          <w:numId w:val="4"/>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Use sterile scalpels to cut out a tissue block of approximately 1.5x1.5cm containing about 40% cortex and 60% white matter. Keep the tissue block submerged in dissection medium on ice. </w:t>
      </w:r>
    </w:p>
    <w:p w:rsidR="007B2CE0" w:rsidRPr="003B1EA2" w:rsidRDefault="007B2CE0" w:rsidP="007B2CE0">
      <w:pPr>
        <w:pStyle w:val="Light-h4"/>
        <w:spacing w:line="360" w:lineRule="auto"/>
        <w:rPr>
          <w:rFonts w:asciiTheme="minorHAnsi" w:hAnsiTheme="minorHAnsi" w:cstheme="minorHAnsi"/>
          <w:color w:val="auto"/>
          <w:sz w:val="22"/>
        </w:rPr>
      </w:pPr>
      <w:r w:rsidRPr="003B1EA2">
        <w:rPr>
          <w:rFonts w:asciiTheme="minorHAnsi" w:hAnsiTheme="minorHAnsi" w:cstheme="minorHAnsi"/>
          <w:color w:val="auto"/>
          <w:sz w:val="22"/>
        </w:rPr>
        <w:t>Part III. Tissue slicing</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Collect the vibratome tissue platform and cooling element (stored at -20</w:t>
      </w:r>
      <w:r w:rsidRPr="007B2CE0">
        <w:rPr>
          <w:rFonts w:asciiTheme="minorHAnsi" w:hAnsiTheme="minorHAnsi" w:cstheme="minorHAnsi"/>
          <w:vertAlign w:val="superscript"/>
          <w:lang w:val="en-US"/>
        </w:rPr>
        <w:t>o</w:t>
      </w:r>
      <w:r w:rsidRPr="007B2CE0">
        <w:rPr>
          <w:rFonts w:asciiTheme="minorHAnsi" w:hAnsiTheme="minorHAnsi" w:cstheme="minorHAnsi"/>
          <w:lang w:val="en-US"/>
        </w:rPr>
        <w:t>C) and clean with 70% EtOH. Keep the tissue platform on ice and add the cooling element to the vibratome reservoir.</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Use superglue to fix the 4% agar gel block on the tissue platform (see </w:t>
      </w:r>
      <w:r w:rsidRPr="007B2CE0">
        <w:rPr>
          <w:rFonts w:asciiTheme="minorHAnsi" w:hAnsiTheme="minorHAnsi" w:cstheme="minorHAnsi"/>
          <w:b/>
          <w:lang w:val="en-US"/>
        </w:rPr>
        <w:t>Note 2</w:t>
      </w:r>
      <w:r w:rsidRPr="007B2CE0">
        <w:rPr>
          <w:rFonts w:asciiTheme="minorHAnsi" w:hAnsiTheme="minorHAnsi" w:cstheme="minorHAnsi"/>
          <w:lang w:val="en-US"/>
        </w:rPr>
        <w:t>).</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Use a sterile spatula and the blunt end of the scalpel (for support only) to collect the tissue block and remove excess medium using Whatman filter paper. </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Glue the tissue block to the platform with the cortical surface facing the blade. Position the tissue platform in the vibratome reservoir.</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Add ice-cold dissection medium to the reservoir to completely submerge the tissue (approx. 250 ml required).</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Cut 300 µm-thick slices using the vibratome settings described above. </w:t>
      </w:r>
    </w:p>
    <w:p w:rsidR="007B2CE0" w:rsidRPr="007B2CE0" w:rsidRDefault="007B2CE0" w:rsidP="007B2CE0">
      <w:pPr>
        <w:pStyle w:val="Lijstalinea"/>
        <w:spacing w:line="360" w:lineRule="auto"/>
        <w:jc w:val="both"/>
        <w:rPr>
          <w:rFonts w:asciiTheme="minorHAnsi" w:hAnsiTheme="minorHAnsi" w:cstheme="minorHAnsi"/>
          <w:lang w:val="en-US"/>
        </w:rPr>
      </w:pPr>
      <w:r w:rsidRPr="007B2CE0">
        <w:rPr>
          <w:rFonts w:asciiTheme="minorHAnsi" w:hAnsiTheme="minorHAnsi" w:cstheme="minorHAnsi"/>
          <w:i/>
          <w:lang w:val="en-US"/>
        </w:rPr>
        <w:t>Optional</w:t>
      </w:r>
      <w:r w:rsidRPr="007B2CE0">
        <w:rPr>
          <w:rFonts w:asciiTheme="minorHAnsi" w:hAnsiTheme="minorHAnsi" w:cstheme="minorHAnsi"/>
          <w:lang w:val="en-US"/>
        </w:rPr>
        <w:t xml:space="preserve">: Following slice preparation, immediately fix several slices in 4% PFA to be used as a reference. </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Transfer individual slices onto Millicell membrane culture inserts (see </w:t>
      </w:r>
      <w:r w:rsidRPr="007B2CE0">
        <w:rPr>
          <w:rFonts w:asciiTheme="minorHAnsi" w:hAnsiTheme="minorHAnsi" w:cstheme="minorHAnsi"/>
          <w:b/>
          <w:lang w:val="en-US"/>
        </w:rPr>
        <w:t>Note 4</w:t>
      </w:r>
      <w:r w:rsidRPr="007B2CE0">
        <w:rPr>
          <w:rFonts w:asciiTheme="minorHAnsi" w:hAnsiTheme="minorHAnsi" w:cstheme="minorHAnsi"/>
          <w:lang w:val="en-US"/>
        </w:rPr>
        <w:t xml:space="preserve">) in a culture plate using a spatula and the blunt end of the scalpel (for support only). </w:t>
      </w:r>
    </w:p>
    <w:p w:rsidR="007B2CE0" w:rsidRPr="007B2CE0" w:rsidRDefault="007B2CE0" w:rsidP="007B2CE0">
      <w:pPr>
        <w:pStyle w:val="Lijstalinea"/>
        <w:spacing w:line="360" w:lineRule="auto"/>
        <w:jc w:val="both"/>
        <w:rPr>
          <w:rFonts w:asciiTheme="minorHAnsi" w:hAnsiTheme="minorHAnsi" w:cstheme="minorHAnsi"/>
          <w:lang w:val="en-US"/>
        </w:rPr>
      </w:pPr>
      <w:r w:rsidRPr="007B2CE0">
        <w:rPr>
          <w:rFonts w:asciiTheme="minorHAnsi" w:hAnsiTheme="minorHAnsi" w:cstheme="minorHAnsi"/>
          <w:i/>
          <w:lang w:val="en-US"/>
        </w:rPr>
        <w:t>Important</w:t>
      </w:r>
      <w:r w:rsidRPr="007B2CE0">
        <w:rPr>
          <w:rFonts w:asciiTheme="minorHAnsi" w:hAnsiTheme="minorHAnsi" w:cstheme="minorHAnsi"/>
          <w:lang w:val="en-US"/>
        </w:rPr>
        <w:t>: make sure the slices do not touch the inner ring of the membrane insert.</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lastRenderedPageBreak/>
        <w:t>Remove excess medium from the top of the inserts using a P200 pipet and sterile pipet tips. The inserts should be as dry as possible.</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Incubate the slices at 37°C and 5% CO</w:t>
      </w:r>
      <w:r w:rsidRPr="007B2CE0">
        <w:rPr>
          <w:rFonts w:asciiTheme="minorHAnsi" w:hAnsiTheme="minorHAnsi" w:cstheme="minorHAnsi"/>
          <w:vertAlign w:val="subscript"/>
          <w:lang w:val="en-US"/>
        </w:rPr>
        <w:t>2</w:t>
      </w:r>
      <w:r w:rsidRPr="007B2CE0">
        <w:rPr>
          <w:rFonts w:asciiTheme="minorHAnsi" w:hAnsiTheme="minorHAnsi" w:cstheme="minorHAnsi"/>
          <w:lang w:val="en-US"/>
        </w:rPr>
        <w:t xml:space="preserve">. </w:t>
      </w:r>
    </w:p>
    <w:p w:rsidR="007B2CE0" w:rsidRPr="007B2CE0" w:rsidRDefault="007B2CE0" w:rsidP="007B2CE0">
      <w:pPr>
        <w:pStyle w:val="Lijstalinea"/>
        <w:spacing w:line="360" w:lineRule="auto"/>
        <w:jc w:val="both"/>
        <w:rPr>
          <w:rFonts w:asciiTheme="minorHAnsi" w:hAnsiTheme="minorHAnsi" w:cstheme="minorHAnsi"/>
          <w:lang w:val="en-US"/>
        </w:rPr>
      </w:pPr>
      <w:r w:rsidRPr="007B2CE0">
        <w:rPr>
          <w:rFonts w:asciiTheme="minorHAnsi" w:hAnsiTheme="minorHAnsi" w:cstheme="minorHAnsi"/>
          <w:i/>
          <w:lang w:val="en-US"/>
        </w:rPr>
        <w:t>Important</w:t>
      </w:r>
      <w:r w:rsidRPr="007B2CE0">
        <w:rPr>
          <w:rFonts w:asciiTheme="minorHAnsi" w:hAnsiTheme="minorHAnsi" w:cstheme="minorHAnsi"/>
          <w:lang w:val="en-US"/>
        </w:rPr>
        <w:t>: keep the culture plates in the incubator as much as possible throughout the slicing process.</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In case of more tissue remaining and/or more slices desired, cut another tissue block of appropriate size and repeat tissue slicing steps 1 till 9. </w:t>
      </w:r>
    </w:p>
    <w:p w:rsidR="007B2CE0" w:rsidRPr="007B2CE0" w:rsidRDefault="007B2CE0" w:rsidP="007B2CE0">
      <w:pPr>
        <w:pStyle w:val="Lijstalinea"/>
        <w:numPr>
          <w:ilvl w:val="0"/>
          <w:numId w:val="6"/>
        </w:numPr>
        <w:spacing w:line="360" w:lineRule="auto"/>
        <w:jc w:val="both"/>
        <w:rPr>
          <w:rFonts w:asciiTheme="minorHAnsi" w:hAnsiTheme="minorHAnsi" w:cstheme="minorHAnsi"/>
          <w:lang w:val="en-US"/>
        </w:rPr>
      </w:pPr>
      <w:r w:rsidRPr="007B2CE0">
        <w:rPr>
          <w:rFonts w:asciiTheme="minorHAnsi" w:hAnsiTheme="minorHAnsi" w:cstheme="minorHAnsi"/>
          <w:lang w:val="en-US"/>
        </w:rPr>
        <w:t xml:space="preserve">If hCSF has been obtained, spin hCSF down for 5 min at 2200 rpm at RT and transfer the supernatant to a sterile tube. Depending on the volume of hCSF obtained, determine the amount of slices to be cultured with addition of hCSF. Prepare hCSF slice culture medium by adding appropriate volumes of hCSF to enriched slice culture medium in 1:1 dilution (v/v) (see </w:t>
      </w:r>
      <w:r w:rsidRPr="007B2CE0">
        <w:rPr>
          <w:rFonts w:asciiTheme="minorHAnsi" w:hAnsiTheme="minorHAnsi" w:cstheme="minorHAnsi"/>
          <w:b/>
          <w:lang w:val="en-US"/>
        </w:rPr>
        <w:t>Note 7</w:t>
      </w:r>
      <w:r w:rsidRPr="007B2CE0">
        <w:rPr>
          <w:rFonts w:asciiTheme="minorHAnsi" w:hAnsiTheme="minorHAnsi" w:cstheme="minorHAnsi"/>
          <w:lang w:val="en-US"/>
        </w:rPr>
        <w:t>). Replace the normal slice culture medium with 1 ml per well of the hCSF slice culture medium for the designated slices. Aliquot the remaining pure hCSF and store at -80</w:t>
      </w:r>
      <w:r w:rsidRPr="007B2CE0">
        <w:rPr>
          <w:rFonts w:asciiTheme="minorHAnsi" w:hAnsiTheme="minorHAnsi" w:cstheme="minorHAnsi"/>
          <w:vertAlign w:val="superscript"/>
          <w:lang w:val="en-US"/>
        </w:rPr>
        <w:t>o</w:t>
      </w:r>
      <w:r w:rsidRPr="007B2CE0">
        <w:rPr>
          <w:rFonts w:asciiTheme="minorHAnsi" w:hAnsiTheme="minorHAnsi" w:cstheme="minorHAnsi"/>
          <w:lang w:val="en-US"/>
        </w:rPr>
        <w:t xml:space="preserve">C until use. </w:t>
      </w:r>
    </w:p>
    <w:p w:rsidR="007B2CE0" w:rsidRPr="003B1EA2" w:rsidRDefault="007B2CE0" w:rsidP="007B2CE0">
      <w:pPr>
        <w:pStyle w:val="Light-h4"/>
        <w:spacing w:line="360" w:lineRule="auto"/>
        <w:rPr>
          <w:rFonts w:asciiTheme="minorHAnsi" w:hAnsiTheme="minorHAnsi" w:cstheme="minorHAnsi"/>
          <w:color w:val="auto"/>
          <w:sz w:val="22"/>
        </w:rPr>
      </w:pPr>
      <w:r w:rsidRPr="003B1EA2">
        <w:rPr>
          <w:rFonts w:asciiTheme="minorHAnsi" w:hAnsiTheme="minorHAnsi" w:cstheme="minorHAnsi"/>
          <w:color w:val="auto"/>
          <w:sz w:val="22"/>
        </w:rPr>
        <w:t>Part IV. Slice culturing</w:t>
      </w:r>
    </w:p>
    <w:p w:rsidR="007B2CE0" w:rsidRPr="007B2CE0" w:rsidRDefault="007B2CE0" w:rsidP="007B2CE0">
      <w:pPr>
        <w:pStyle w:val="Lijstalinea"/>
        <w:numPr>
          <w:ilvl w:val="0"/>
          <w:numId w:val="7"/>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Incubate the slices at 37</w:t>
      </w:r>
      <w:r w:rsidRPr="007B2CE0">
        <w:rPr>
          <w:rFonts w:asciiTheme="minorHAnsi" w:hAnsiTheme="minorHAnsi" w:cstheme="minorHAnsi"/>
          <w:vertAlign w:val="superscript"/>
          <w:lang w:val="en-US"/>
        </w:rPr>
        <w:t>o</w:t>
      </w:r>
      <w:r w:rsidRPr="007B2CE0">
        <w:rPr>
          <w:rFonts w:asciiTheme="minorHAnsi" w:hAnsiTheme="minorHAnsi" w:cstheme="minorHAnsi"/>
          <w:lang w:val="en-US"/>
        </w:rPr>
        <w:t>C and 5% CO</w:t>
      </w:r>
      <w:r w:rsidRPr="007B2CE0">
        <w:rPr>
          <w:rFonts w:asciiTheme="minorHAnsi" w:hAnsiTheme="minorHAnsi" w:cstheme="minorHAnsi"/>
          <w:vertAlign w:val="subscript"/>
          <w:lang w:val="en-US"/>
        </w:rPr>
        <w:t>2</w:t>
      </w:r>
      <w:r w:rsidRPr="007B2CE0">
        <w:rPr>
          <w:rFonts w:asciiTheme="minorHAnsi" w:hAnsiTheme="minorHAnsi" w:cstheme="minorHAnsi"/>
          <w:lang w:val="en-US"/>
        </w:rPr>
        <w:t xml:space="preserve"> up till 42 days </w:t>
      </w:r>
      <w:r w:rsidRPr="007B2CE0">
        <w:rPr>
          <w:rFonts w:asciiTheme="minorHAnsi" w:hAnsiTheme="minorHAnsi" w:cstheme="minorHAnsi"/>
          <w:i/>
          <w:lang w:val="en-US"/>
        </w:rPr>
        <w:t>in vitro</w:t>
      </w:r>
      <w:r w:rsidRPr="007B2CE0">
        <w:rPr>
          <w:rFonts w:asciiTheme="minorHAnsi" w:hAnsiTheme="minorHAnsi" w:cstheme="minorHAnsi"/>
          <w:lang w:val="en-US"/>
        </w:rPr>
        <w:t xml:space="preserve"> (DIV) (see </w:t>
      </w:r>
      <w:r w:rsidRPr="007B2CE0">
        <w:rPr>
          <w:rFonts w:asciiTheme="minorHAnsi" w:hAnsiTheme="minorHAnsi" w:cstheme="minorHAnsi"/>
          <w:b/>
          <w:lang w:val="en-US"/>
        </w:rPr>
        <w:t>Note 8</w:t>
      </w:r>
      <w:r w:rsidRPr="007B2CE0">
        <w:rPr>
          <w:rFonts w:asciiTheme="minorHAnsi" w:hAnsiTheme="minorHAnsi" w:cstheme="minorHAnsi"/>
          <w:lang w:val="en-US"/>
        </w:rPr>
        <w:t xml:space="preserve">). </w:t>
      </w:r>
    </w:p>
    <w:p w:rsidR="007B2CE0" w:rsidRPr="007B2CE0" w:rsidRDefault="007B2CE0" w:rsidP="007B2CE0">
      <w:pPr>
        <w:pStyle w:val="Lijstalinea"/>
        <w:numPr>
          <w:ilvl w:val="0"/>
          <w:numId w:val="7"/>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Change culture medium at 1 DIV and then three times a week at a regular interval; replace with 1 ml per well of either normal slice culture medium or hCSF slice culture medium. </w:t>
      </w:r>
    </w:p>
    <w:p w:rsidR="007B2CE0" w:rsidRPr="007B2CE0" w:rsidRDefault="007B2CE0" w:rsidP="007B2CE0">
      <w:pPr>
        <w:pStyle w:val="Lijstalinea"/>
        <w:spacing w:line="360" w:lineRule="auto"/>
        <w:jc w:val="both"/>
        <w:rPr>
          <w:rFonts w:asciiTheme="minorHAnsi" w:hAnsiTheme="minorHAnsi" w:cstheme="minorHAnsi"/>
          <w:lang w:val="en-US"/>
        </w:rPr>
      </w:pPr>
      <w:r w:rsidRPr="007B2CE0">
        <w:rPr>
          <w:rFonts w:asciiTheme="minorHAnsi" w:hAnsiTheme="minorHAnsi" w:cstheme="minorHAnsi"/>
          <w:i/>
          <w:lang w:val="en-US"/>
        </w:rPr>
        <w:t>Important</w:t>
      </w:r>
      <w:r w:rsidRPr="007B2CE0">
        <w:rPr>
          <w:rFonts w:asciiTheme="minorHAnsi" w:hAnsiTheme="minorHAnsi" w:cstheme="minorHAnsi"/>
          <w:lang w:val="en-US"/>
        </w:rPr>
        <w:t xml:space="preserve">: always freshly prepare hCSF slice culture medium at times of medium changes. </w:t>
      </w:r>
    </w:p>
    <w:p w:rsidR="007B2CE0" w:rsidRPr="007B2CE0" w:rsidRDefault="007B2CE0" w:rsidP="007B2CE0">
      <w:pPr>
        <w:pStyle w:val="Lijstalinea"/>
        <w:numPr>
          <w:ilvl w:val="0"/>
          <w:numId w:val="7"/>
        </w:numPr>
        <w:spacing w:after="0" w:line="360" w:lineRule="auto"/>
        <w:jc w:val="both"/>
        <w:rPr>
          <w:rFonts w:asciiTheme="minorHAnsi" w:hAnsiTheme="minorHAnsi" w:cstheme="minorHAnsi"/>
          <w:lang w:val="en-US"/>
        </w:rPr>
      </w:pPr>
      <w:r w:rsidRPr="007B2CE0">
        <w:rPr>
          <w:rFonts w:asciiTheme="minorHAnsi" w:hAnsiTheme="minorHAnsi" w:cstheme="minorHAnsi"/>
          <w:i/>
          <w:lang w:val="en-US"/>
        </w:rPr>
        <w:t>Optional</w:t>
      </w:r>
      <w:r w:rsidRPr="007B2CE0">
        <w:rPr>
          <w:rFonts w:asciiTheme="minorHAnsi" w:hAnsiTheme="minorHAnsi" w:cstheme="minorHAnsi"/>
          <w:lang w:val="en-US"/>
        </w:rPr>
        <w:t>: collect slice-conditioned culture medium at set time points in sterile 1.5 ml Eppendorf tubes. Store at -80</w:t>
      </w:r>
      <w:r w:rsidRPr="007B2CE0">
        <w:rPr>
          <w:rFonts w:asciiTheme="minorHAnsi" w:hAnsiTheme="minorHAnsi" w:cstheme="minorHAnsi"/>
          <w:vertAlign w:val="superscript"/>
          <w:lang w:val="en-US"/>
        </w:rPr>
        <w:t>o</w:t>
      </w:r>
      <w:r w:rsidRPr="007B2CE0">
        <w:rPr>
          <w:rFonts w:asciiTheme="minorHAnsi" w:hAnsiTheme="minorHAnsi" w:cstheme="minorHAnsi"/>
          <w:lang w:val="en-US"/>
        </w:rPr>
        <w:t>C until further use.</w:t>
      </w:r>
    </w:p>
    <w:p w:rsidR="007B2CE0" w:rsidRPr="007B2CE0" w:rsidRDefault="007B2CE0" w:rsidP="007B2CE0">
      <w:pPr>
        <w:pStyle w:val="Lijstalinea"/>
        <w:numPr>
          <w:ilvl w:val="0"/>
          <w:numId w:val="7"/>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At endpoint, aspirate the culture medium (or collect if desired)  and rinse membrane insert in 1 ml PBS. Fix slices in 2 ml 4% PFA in PBS (1 ml on top and 1 ml below membrane insert) for 1h at RT. Rinse 3x in 2 ml PBS. If required, store in 0.05% sodium azide in PBS until further use.</w:t>
      </w:r>
    </w:p>
    <w:p w:rsidR="007B2CE0" w:rsidRPr="007B2CE0" w:rsidRDefault="007B2CE0" w:rsidP="007B2CE0">
      <w:pPr>
        <w:spacing w:after="0" w:line="360" w:lineRule="auto"/>
        <w:jc w:val="both"/>
        <w:rPr>
          <w:rFonts w:asciiTheme="minorHAnsi" w:hAnsiTheme="minorHAnsi" w:cstheme="minorHAnsi"/>
          <w:lang w:val="en-US"/>
        </w:rPr>
      </w:pPr>
    </w:p>
    <w:p w:rsidR="007B2CE0" w:rsidRPr="007B2CE0" w:rsidRDefault="007B2CE0" w:rsidP="007B2CE0">
      <w:pPr>
        <w:pStyle w:val="Light-h3"/>
        <w:spacing w:line="360" w:lineRule="auto"/>
        <w:rPr>
          <w:rFonts w:asciiTheme="minorHAnsi" w:hAnsiTheme="minorHAnsi" w:cstheme="minorHAnsi"/>
          <w:color w:val="auto"/>
        </w:rPr>
      </w:pPr>
      <w:r w:rsidRPr="007B2CE0">
        <w:rPr>
          <w:rFonts w:asciiTheme="minorHAnsi" w:hAnsiTheme="minorHAnsi" w:cstheme="minorHAnsi"/>
          <w:color w:val="auto"/>
        </w:rPr>
        <w:t>Notes</w:t>
      </w:r>
    </w:p>
    <w:p w:rsidR="007B2CE0" w:rsidRPr="007B2CE0" w:rsidRDefault="007B2CE0" w:rsidP="007B2CE0">
      <w:pPr>
        <w:pStyle w:val="Lijstalinea"/>
        <w:numPr>
          <w:ilvl w:val="0"/>
          <w:numId w:val="5"/>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For the purpose of preparing human organotypic slice cultures, post-mortem human brain tissue can be obtained from donors with various clinical and genetic backgrounds (patients or controls) and of different ages, depending on the research question. </w:t>
      </w:r>
    </w:p>
    <w:p w:rsidR="007B2CE0" w:rsidRPr="007B2CE0" w:rsidRDefault="007B2CE0" w:rsidP="007B2CE0">
      <w:pPr>
        <w:pStyle w:val="Lijstalinea"/>
        <w:numPr>
          <w:ilvl w:val="0"/>
          <w:numId w:val="5"/>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Prepare the 4% (w/v) agar gel by dissolving agar powder in boiling ultrapure water and pouring the solution in a petri dish to cool and form a gel. At the time of slicing, cut out an agar block of at least the same length as the tissue block and about 1 cm wide. Glue the agar block to the vibratome tissue platform to support the tissue specimen while slicing. This ensures the tissue </w:t>
      </w:r>
      <w:r w:rsidRPr="007B2CE0">
        <w:rPr>
          <w:rFonts w:asciiTheme="minorHAnsi" w:hAnsiTheme="minorHAnsi" w:cstheme="minorHAnsi"/>
          <w:lang w:val="en-US"/>
        </w:rPr>
        <w:lastRenderedPageBreak/>
        <w:t xml:space="preserve">is kept in place and hence improves the steadiness during slicing and consistency in thickness of slices. </w:t>
      </w:r>
    </w:p>
    <w:p w:rsidR="007B2CE0" w:rsidRPr="007B2CE0" w:rsidRDefault="007B2CE0" w:rsidP="007B2CE0">
      <w:pPr>
        <w:pStyle w:val="Lijstalinea"/>
        <w:numPr>
          <w:ilvl w:val="0"/>
          <w:numId w:val="5"/>
        </w:numPr>
        <w:spacing w:line="360" w:lineRule="auto"/>
        <w:jc w:val="both"/>
        <w:rPr>
          <w:rFonts w:asciiTheme="minorHAnsi" w:hAnsiTheme="minorHAnsi" w:cstheme="minorHAnsi"/>
          <w:lang w:val="en-US"/>
        </w:rPr>
      </w:pPr>
      <w:r w:rsidRPr="007B2CE0">
        <w:rPr>
          <w:rFonts w:asciiTheme="minorHAnsi" w:hAnsiTheme="minorHAnsi" w:cstheme="minorHAnsi"/>
          <w:lang w:val="en-US"/>
        </w:rPr>
        <w:t>Normal slice culture medium and dissection medium should be prepared in advance and ready at any given time.</w:t>
      </w:r>
    </w:p>
    <w:p w:rsidR="007B2CE0" w:rsidRPr="007B2CE0" w:rsidRDefault="007B2CE0" w:rsidP="007B2CE0">
      <w:pPr>
        <w:pStyle w:val="Lijstalinea"/>
        <w:numPr>
          <w:ilvl w:val="0"/>
          <w:numId w:val="5"/>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Human post-mortem brain tissue specimens should be collected by dissecting perpendicular to the cortical surface. Tissue specimens should contain part of the cerebral cortex and subcortical white matter, with at least the same volume of white matter relative to cortex. Tissue specimens can be further dissected into tissue blocks of the desired size for processing with the vibratome. One membrane insert (Merck Millipore, PICM0RG50) fits one human organotypic slice with a maximum size of 1.5x1.5cm. This is roughly the average size of the slices cultured in the present study. If required, one membrane insert can fit multiple smaller sized-slices. The size of the dissected tissue specimen should be chosen depending on the required slice size and slice number. </w:t>
      </w:r>
    </w:p>
    <w:p w:rsidR="007B2CE0" w:rsidRPr="007B2CE0" w:rsidRDefault="007B2CE0" w:rsidP="007B2CE0">
      <w:pPr>
        <w:pStyle w:val="Lijstalinea"/>
        <w:numPr>
          <w:ilvl w:val="0"/>
          <w:numId w:val="5"/>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Preparing and culturing slices from tissue specimens obtained from other brain regions than the middle frontal gyrus has not been tested in the current study. If abovementioned tissue specimen collection guidelines are followed, we expect similar outcomes when dissecting tissue specimens from other cortical areas of the brain. </w:t>
      </w:r>
    </w:p>
    <w:p w:rsidR="007B2CE0" w:rsidRPr="007B2CE0" w:rsidRDefault="007B2CE0" w:rsidP="007B2CE0">
      <w:pPr>
        <w:pStyle w:val="Lijstalinea"/>
        <w:numPr>
          <w:ilvl w:val="0"/>
          <w:numId w:val="5"/>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Human post-mortem brain tissue collection should be performed within 6h post-mortem. Tissue quality and viability cannot be guaranteed at longer post-mortem delays. </w:t>
      </w:r>
    </w:p>
    <w:p w:rsidR="007B2CE0" w:rsidRPr="007B2CE0" w:rsidRDefault="007B2CE0" w:rsidP="007B2CE0">
      <w:pPr>
        <w:pStyle w:val="Lijstalinea"/>
        <w:numPr>
          <w:ilvl w:val="0"/>
          <w:numId w:val="5"/>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hCSF was added to enriched slice culture medium in 1:1 dilution (v/v). Enriched slice culture medium consists of 100% normal slice culture medium supplemented with an additional 2.6 mg/ml of 45% D-Glucose, 1% GlutaMAX-I, 1% penicillin-streptomycin and 1.25 μg/ml Amphotericin B. hCSF was added to post-mortem human organotypic brain slice cultures derived from the same donor. </w:t>
      </w:r>
    </w:p>
    <w:p w:rsidR="007B2CE0" w:rsidRPr="007B2CE0" w:rsidRDefault="007B2CE0" w:rsidP="007B2CE0">
      <w:pPr>
        <w:pStyle w:val="Lijstalinea"/>
        <w:numPr>
          <w:ilvl w:val="0"/>
          <w:numId w:val="5"/>
        </w:numPr>
        <w:spacing w:after="0" w:line="360" w:lineRule="auto"/>
        <w:jc w:val="both"/>
        <w:rPr>
          <w:rFonts w:asciiTheme="minorHAnsi" w:hAnsiTheme="minorHAnsi" w:cstheme="minorHAnsi"/>
          <w:lang w:val="en-US"/>
        </w:rPr>
      </w:pPr>
      <w:r w:rsidRPr="007B2CE0">
        <w:rPr>
          <w:rFonts w:asciiTheme="minorHAnsi" w:hAnsiTheme="minorHAnsi" w:cstheme="minorHAnsi"/>
          <w:lang w:val="en-US"/>
        </w:rPr>
        <w:t xml:space="preserve">The developed human post-mortem organotypic slice culture method has been tested up till 42 days </w:t>
      </w:r>
      <w:r w:rsidRPr="007B2CE0">
        <w:rPr>
          <w:rFonts w:asciiTheme="minorHAnsi" w:hAnsiTheme="minorHAnsi" w:cstheme="minorHAnsi"/>
          <w:i/>
          <w:lang w:val="en-US"/>
        </w:rPr>
        <w:t>ex vivo</w:t>
      </w:r>
      <w:r w:rsidRPr="007B2CE0">
        <w:rPr>
          <w:rFonts w:asciiTheme="minorHAnsi" w:hAnsiTheme="minorHAnsi" w:cstheme="minorHAnsi"/>
          <w:lang w:val="en-US"/>
        </w:rPr>
        <w:t xml:space="preserve">. For this six week culture period, proof of viability has been supplied. This protocol might be applied for longer culture periods, in which case tissue quality and viability should be carefully characterized. </w:t>
      </w:r>
      <w:r w:rsidRPr="007B2CE0">
        <w:rPr>
          <w:rFonts w:asciiTheme="minorHAnsi" w:eastAsia="Calibri" w:hAnsiTheme="minorHAnsi" w:cstheme="minorHAnsi"/>
          <w:noProof/>
          <w:sz w:val="18"/>
          <w:lang w:val="en-US" w:eastAsia="nl-NL"/>
        </w:rPr>
        <w:t xml:space="preserve">        </w:t>
      </w:r>
    </w:p>
    <w:p w:rsidR="00E754D6" w:rsidRPr="007B2CE0" w:rsidRDefault="00E754D6" w:rsidP="007B2CE0">
      <w:pPr>
        <w:rPr>
          <w:lang w:val="en-US"/>
        </w:rPr>
      </w:pPr>
    </w:p>
    <w:sectPr w:rsidR="00E754D6" w:rsidRPr="007B2CE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7D7" w:rsidRDefault="006D17D7" w:rsidP="006D17D7">
      <w:pPr>
        <w:spacing w:after="0" w:line="240" w:lineRule="auto"/>
      </w:pPr>
      <w:r>
        <w:separator/>
      </w:r>
    </w:p>
  </w:endnote>
  <w:endnote w:type="continuationSeparator" w:id="0">
    <w:p w:rsidR="006D17D7" w:rsidRDefault="006D17D7" w:rsidP="006D1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903181"/>
      <w:docPartObj>
        <w:docPartGallery w:val="Page Numbers (Bottom of Page)"/>
        <w:docPartUnique/>
      </w:docPartObj>
    </w:sdtPr>
    <w:sdtEndPr/>
    <w:sdtContent>
      <w:p w:rsidR="006D17D7" w:rsidRDefault="006D17D7">
        <w:pPr>
          <w:pStyle w:val="Voettekst"/>
          <w:jc w:val="center"/>
        </w:pPr>
        <w:r>
          <w:fldChar w:fldCharType="begin"/>
        </w:r>
        <w:r>
          <w:instrText>PAGE   \* MERGEFORMAT</w:instrText>
        </w:r>
        <w:r>
          <w:fldChar w:fldCharType="separate"/>
        </w:r>
        <w:r w:rsidR="00260DDF">
          <w:rPr>
            <w:noProof/>
          </w:rPr>
          <w:t>1</w:t>
        </w:r>
        <w:r>
          <w:fldChar w:fldCharType="end"/>
        </w:r>
      </w:p>
    </w:sdtContent>
  </w:sdt>
  <w:p w:rsidR="006D17D7" w:rsidRDefault="006D17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7D7" w:rsidRDefault="006D17D7" w:rsidP="006D17D7">
      <w:pPr>
        <w:spacing w:after="0" w:line="240" w:lineRule="auto"/>
      </w:pPr>
      <w:r>
        <w:separator/>
      </w:r>
    </w:p>
  </w:footnote>
  <w:footnote w:type="continuationSeparator" w:id="0">
    <w:p w:rsidR="006D17D7" w:rsidRDefault="006D17D7" w:rsidP="006D1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B2D62"/>
    <w:multiLevelType w:val="hybridMultilevel"/>
    <w:tmpl w:val="57245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637D33"/>
    <w:multiLevelType w:val="hybridMultilevel"/>
    <w:tmpl w:val="6E368EF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A22509"/>
    <w:multiLevelType w:val="hybridMultilevel"/>
    <w:tmpl w:val="AD6CA4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F57B74"/>
    <w:multiLevelType w:val="hybridMultilevel"/>
    <w:tmpl w:val="00F04A7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AB4AF9"/>
    <w:multiLevelType w:val="hybridMultilevel"/>
    <w:tmpl w:val="D6C847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575B72"/>
    <w:multiLevelType w:val="hybridMultilevel"/>
    <w:tmpl w:val="FECA1C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2BE68F2"/>
    <w:multiLevelType w:val="hybridMultilevel"/>
    <w:tmpl w:val="952C1DB4"/>
    <w:lvl w:ilvl="0" w:tplc="0413000F">
      <w:start w:val="1"/>
      <w:numFmt w:val="decimal"/>
      <w:lvlText w:val="%1."/>
      <w:lvlJc w:val="left"/>
      <w:pPr>
        <w:ind w:left="644"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BEB44FC"/>
    <w:multiLevelType w:val="hybridMultilevel"/>
    <w:tmpl w:val="60587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1"/>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E0"/>
    <w:rsid w:val="00260DDF"/>
    <w:rsid w:val="002B0627"/>
    <w:rsid w:val="003B1EA2"/>
    <w:rsid w:val="006D17D7"/>
    <w:rsid w:val="007B2CE0"/>
    <w:rsid w:val="00A263E2"/>
    <w:rsid w:val="00E754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4DFDE-5B5E-4BFA-B61F-EE260011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2CE0"/>
    <w:pPr>
      <w:spacing w:after="200" w:line="276" w:lineRule="auto"/>
    </w:pPr>
    <w:rPr>
      <w:rFonts w:ascii="Calibri Light" w:hAnsi="Calibri Light"/>
    </w:rPr>
  </w:style>
  <w:style w:type="paragraph" w:styleId="Kop1">
    <w:name w:val="heading 1"/>
    <w:basedOn w:val="Standaard"/>
    <w:next w:val="Standaard"/>
    <w:link w:val="Kop1Char"/>
    <w:uiPriority w:val="9"/>
    <w:qFormat/>
    <w:rsid w:val="007B2C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7B2C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7B2C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2CE0"/>
    <w:pPr>
      <w:ind w:left="720"/>
      <w:contextualSpacing/>
    </w:pPr>
  </w:style>
  <w:style w:type="paragraph" w:customStyle="1" w:styleId="Light-h2">
    <w:name w:val="Light-h2"/>
    <w:basedOn w:val="Kop2"/>
    <w:link w:val="Light-h2Char"/>
    <w:qFormat/>
    <w:rsid w:val="007B2CE0"/>
    <w:pPr>
      <w:spacing w:before="0"/>
    </w:pPr>
    <w:rPr>
      <w:rFonts w:ascii="Calibri Light" w:hAnsi="Calibri Light"/>
      <w:b/>
      <w:sz w:val="24"/>
      <w:lang w:val="en-US"/>
    </w:rPr>
  </w:style>
  <w:style w:type="character" w:customStyle="1" w:styleId="Light-h2Char">
    <w:name w:val="Light-h2 Char"/>
    <w:basedOn w:val="Kop2Char"/>
    <w:link w:val="Light-h2"/>
    <w:rsid w:val="007B2CE0"/>
    <w:rPr>
      <w:rFonts w:ascii="Calibri Light" w:eastAsiaTheme="majorEastAsia" w:hAnsi="Calibri Light" w:cstheme="majorBidi"/>
      <w:b/>
      <w:color w:val="2E74B5" w:themeColor="accent1" w:themeShade="BF"/>
      <w:sz w:val="24"/>
      <w:szCs w:val="26"/>
      <w:lang w:val="en-US"/>
    </w:rPr>
  </w:style>
  <w:style w:type="paragraph" w:customStyle="1" w:styleId="Light-h3">
    <w:name w:val="Light-h3"/>
    <w:basedOn w:val="Kop3"/>
    <w:link w:val="Light-h3Char"/>
    <w:qFormat/>
    <w:rsid w:val="007B2CE0"/>
    <w:pPr>
      <w:spacing w:before="0"/>
    </w:pPr>
    <w:rPr>
      <w:rFonts w:ascii="Calibri Light" w:hAnsi="Calibri Light"/>
      <w:b/>
      <w:i/>
      <w:lang w:val="en-US"/>
    </w:rPr>
  </w:style>
  <w:style w:type="character" w:customStyle="1" w:styleId="Light-h3Char">
    <w:name w:val="Light-h3 Char"/>
    <w:basedOn w:val="Kop3Char"/>
    <w:link w:val="Light-h3"/>
    <w:rsid w:val="007B2CE0"/>
    <w:rPr>
      <w:rFonts w:ascii="Calibri Light" w:eastAsiaTheme="majorEastAsia" w:hAnsi="Calibri Light" w:cstheme="majorBidi"/>
      <w:b/>
      <w:i/>
      <w:color w:val="1F4D78" w:themeColor="accent1" w:themeShade="7F"/>
      <w:sz w:val="24"/>
      <w:szCs w:val="24"/>
      <w:lang w:val="en-US"/>
    </w:rPr>
  </w:style>
  <w:style w:type="paragraph" w:customStyle="1" w:styleId="Light-h4">
    <w:name w:val="Light-h4"/>
    <w:basedOn w:val="Light-h3"/>
    <w:link w:val="Light-h4Char"/>
    <w:qFormat/>
    <w:rsid w:val="007B2CE0"/>
    <w:rPr>
      <w:b w:val="0"/>
    </w:rPr>
  </w:style>
  <w:style w:type="character" w:customStyle="1" w:styleId="Light-h4Char">
    <w:name w:val="Light-h4 Char"/>
    <w:basedOn w:val="Light-h3Char"/>
    <w:link w:val="Light-h4"/>
    <w:rsid w:val="007B2CE0"/>
    <w:rPr>
      <w:rFonts w:ascii="Calibri Light" w:eastAsiaTheme="majorEastAsia" w:hAnsi="Calibri Light" w:cstheme="majorBidi"/>
      <w:b w:val="0"/>
      <w:i/>
      <w:color w:val="1F4D78" w:themeColor="accent1" w:themeShade="7F"/>
      <w:sz w:val="24"/>
      <w:szCs w:val="24"/>
      <w:lang w:val="en-US"/>
    </w:rPr>
  </w:style>
  <w:style w:type="paragraph" w:customStyle="1" w:styleId="Light-h1">
    <w:name w:val="Light-h1"/>
    <w:basedOn w:val="Kop1"/>
    <w:link w:val="Light-h1Char"/>
    <w:qFormat/>
    <w:rsid w:val="007B2CE0"/>
    <w:pPr>
      <w:spacing w:after="240"/>
    </w:pPr>
    <w:rPr>
      <w:rFonts w:ascii="Calibri Light" w:hAnsi="Calibri Light"/>
      <w:b/>
      <w:lang w:val="en-US"/>
    </w:rPr>
  </w:style>
  <w:style w:type="character" w:customStyle="1" w:styleId="Light-h1Char">
    <w:name w:val="Light-h1 Char"/>
    <w:basedOn w:val="Kop1Char"/>
    <w:link w:val="Light-h1"/>
    <w:rsid w:val="007B2CE0"/>
    <w:rPr>
      <w:rFonts w:ascii="Calibri Light" w:eastAsiaTheme="majorEastAsia" w:hAnsi="Calibri Light" w:cstheme="majorBidi"/>
      <w:b/>
      <w:color w:val="2E74B5" w:themeColor="accent1" w:themeShade="BF"/>
      <w:sz w:val="32"/>
      <w:szCs w:val="32"/>
      <w:lang w:val="en-US"/>
    </w:rPr>
  </w:style>
  <w:style w:type="paragraph" w:styleId="Geenafstand">
    <w:name w:val="No Spacing"/>
    <w:uiPriority w:val="1"/>
    <w:qFormat/>
    <w:rsid w:val="007B2CE0"/>
    <w:pPr>
      <w:spacing w:after="0" w:line="240" w:lineRule="auto"/>
    </w:pPr>
    <w:rPr>
      <w:rFonts w:ascii="Calibri Light" w:hAnsi="Calibri Light"/>
    </w:rPr>
  </w:style>
  <w:style w:type="paragraph" w:styleId="Titel">
    <w:name w:val="Title"/>
    <w:basedOn w:val="Standaard"/>
    <w:next w:val="Standaard"/>
    <w:link w:val="TitelChar"/>
    <w:uiPriority w:val="10"/>
    <w:qFormat/>
    <w:rsid w:val="007B2CE0"/>
    <w:pPr>
      <w:spacing w:after="0" w:line="480" w:lineRule="auto"/>
      <w:contextualSpacing/>
      <w:jc w:val="center"/>
    </w:pPr>
    <w:rPr>
      <w:rFonts w:ascii="Times New Roman" w:eastAsiaTheme="majorEastAsia" w:hAnsi="Times New Roman" w:cstheme="majorBidi"/>
      <w:b/>
      <w:spacing w:val="-10"/>
      <w:kern w:val="28"/>
      <w:sz w:val="36"/>
      <w:szCs w:val="56"/>
      <w:lang w:val="en-CA"/>
    </w:rPr>
  </w:style>
  <w:style w:type="character" w:customStyle="1" w:styleId="TitelChar">
    <w:name w:val="Titel Char"/>
    <w:basedOn w:val="Standaardalinea-lettertype"/>
    <w:link w:val="Titel"/>
    <w:uiPriority w:val="10"/>
    <w:rsid w:val="007B2CE0"/>
    <w:rPr>
      <w:rFonts w:ascii="Times New Roman" w:eastAsiaTheme="majorEastAsia" w:hAnsi="Times New Roman" w:cstheme="majorBidi"/>
      <w:b/>
      <w:spacing w:val="-10"/>
      <w:kern w:val="28"/>
      <w:sz w:val="36"/>
      <w:szCs w:val="56"/>
      <w:lang w:val="en-CA"/>
    </w:rPr>
  </w:style>
  <w:style w:type="character" w:customStyle="1" w:styleId="Kop2Char">
    <w:name w:val="Kop 2 Char"/>
    <w:basedOn w:val="Standaardalinea-lettertype"/>
    <w:link w:val="Kop2"/>
    <w:uiPriority w:val="9"/>
    <w:semiHidden/>
    <w:rsid w:val="007B2CE0"/>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7B2CE0"/>
    <w:rPr>
      <w:rFonts w:asciiTheme="majorHAnsi" w:eastAsiaTheme="majorEastAsia" w:hAnsiTheme="majorHAnsi" w:cstheme="majorBidi"/>
      <w:color w:val="1F4D78" w:themeColor="accent1" w:themeShade="7F"/>
      <w:sz w:val="24"/>
      <w:szCs w:val="24"/>
    </w:rPr>
  </w:style>
  <w:style w:type="character" w:customStyle="1" w:styleId="Kop1Char">
    <w:name w:val="Kop 1 Char"/>
    <w:basedOn w:val="Standaardalinea-lettertype"/>
    <w:link w:val="Kop1"/>
    <w:uiPriority w:val="9"/>
    <w:rsid w:val="007B2CE0"/>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6D17D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D17D7"/>
    <w:rPr>
      <w:rFonts w:ascii="Calibri Light" w:hAnsi="Calibri Light"/>
    </w:rPr>
  </w:style>
  <w:style w:type="paragraph" w:styleId="Voettekst">
    <w:name w:val="footer"/>
    <w:basedOn w:val="Standaard"/>
    <w:link w:val="VoettekstChar"/>
    <w:uiPriority w:val="99"/>
    <w:unhideWhenUsed/>
    <w:rsid w:val="006D17D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D17D7"/>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1734</Words>
  <Characters>9541</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Plug, B. (Bonnie)</dc:creator>
  <cp:keywords/>
  <dc:description/>
  <cp:lastModifiedBy>Plug, B. (Bonnie)</cp:lastModifiedBy>
  <cp:revision>5</cp:revision>
  <dcterms:created xsi:type="dcterms:W3CDTF">2024-02-09T12:41:00Z</dcterms:created>
  <dcterms:modified xsi:type="dcterms:W3CDTF">2024-02-12T16:46:00Z</dcterms:modified>
</cp:coreProperties>
</file>