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A99" w:rsidRPr="00366AA0" w:rsidRDefault="00366AA0">
      <w:pPr>
        <w:rPr>
          <w:rFonts w:ascii="Arial" w:hAnsi="Arial" w:cs="Arial"/>
          <w:b/>
          <w:noProof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t xml:space="preserve">Supplementary Table 2. </w:t>
      </w:r>
      <w:r w:rsidRPr="00366AA0">
        <w:rPr>
          <w:rFonts w:ascii="Arial" w:hAnsi="Arial" w:cs="Arial"/>
          <w:b/>
          <w:noProof/>
          <w:sz w:val="24"/>
          <w:szCs w:val="24"/>
          <w:lang w:val="en-US"/>
        </w:rPr>
        <w:t>List of primary antibodies</w:t>
      </w:r>
      <w:r w:rsidR="00985A99">
        <w:rPr>
          <w:rFonts w:ascii="Arial" w:hAnsi="Arial" w:cs="Arial"/>
          <w:b/>
          <w:noProof/>
          <w:sz w:val="24"/>
          <w:szCs w:val="24"/>
          <w:lang w:val="en-US"/>
        </w:rPr>
        <w:t xml:space="preserve"> used</w:t>
      </w:r>
      <w:r w:rsidR="00BC4262">
        <w:rPr>
          <w:rFonts w:ascii="Arial" w:hAnsi="Arial" w:cs="Arial"/>
          <w:b/>
          <w:noProof/>
          <w:sz w:val="24"/>
          <w:szCs w:val="24"/>
          <w:lang w:val="en-US"/>
        </w:rPr>
        <w:t xml:space="preserve"> for</w:t>
      </w:r>
      <w:r w:rsidR="009B2C18">
        <w:rPr>
          <w:rFonts w:ascii="Arial" w:hAnsi="Arial" w:cs="Arial"/>
          <w:b/>
          <w:noProof/>
          <w:sz w:val="24"/>
          <w:szCs w:val="24"/>
          <w:lang w:val="en-US"/>
        </w:rPr>
        <w:t xml:space="preserve"> </w:t>
      </w:r>
      <w:r w:rsidR="00BC4262">
        <w:rPr>
          <w:rFonts w:ascii="Arial" w:hAnsi="Arial" w:cs="Arial"/>
          <w:b/>
          <w:noProof/>
          <w:sz w:val="24"/>
          <w:szCs w:val="24"/>
          <w:lang w:val="en-US"/>
        </w:rPr>
        <w:t>immunohistochemistry</w:t>
      </w:r>
      <w:r w:rsidR="000601A0">
        <w:rPr>
          <w:rFonts w:ascii="Arial" w:hAnsi="Arial" w:cs="Arial"/>
          <w:b/>
          <w:noProof/>
          <w:sz w:val="24"/>
          <w:szCs w:val="24"/>
          <w:lang w:val="en-US"/>
        </w:rPr>
        <w:t xml:space="preserve"> and immuno</w:t>
      </w:r>
      <w:r w:rsidR="000601A0" w:rsidRPr="000601A0">
        <w:rPr>
          <w:rFonts w:ascii="Arial" w:hAnsi="Arial" w:cs="Arial"/>
          <w:b/>
          <w:bCs/>
          <w:noProof/>
          <w:sz w:val="24"/>
          <w:szCs w:val="24"/>
        </w:rPr>
        <w:t>fluorescence</w:t>
      </w:r>
      <w:r w:rsidR="009F44BD">
        <w:rPr>
          <w:rFonts w:ascii="Arial" w:hAnsi="Arial" w:cs="Arial"/>
          <w:b/>
          <w:noProof/>
          <w:sz w:val="24"/>
          <w:szCs w:val="24"/>
          <w:lang w:val="en-US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8216"/>
      </w:tblGrid>
      <w:tr w:rsidR="00985A99" w:rsidTr="00985A99">
        <w:tc>
          <w:tcPr>
            <w:tcW w:w="846" w:type="dxa"/>
          </w:tcPr>
          <w:p w:rsidR="00985A99" w:rsidRDefault="00985A99" w:rsidP="00985A9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8216" w:type="dxa"/>
          </w:tcPr>
          <w:p w:rsidR="00985A99" w:rsidRPr="007E1D9A" w:rsidRDefault="00985A99" w:rsidP="00515FD0">
            <w:pPr>
              <w:spacing w:line="276" w:lineRule="auto"/>
              <w:rPr>
                <w:rFonts w:ascii="Arial" w:hAnsi="Arial" w:cs="Arial"/>
                <w:bCs/>
                <w:noProof/>
                <w:lang w:val="en-US"/>
              </w:rPr>
            </w:pPr>
            <w:r w:rsidRPr="007E1D9A">
              <w:rPr>
                <w:rFonts w:ascii="Arial" w:hAnsi="Arial" w:cs="Arial"/>
                <w:bCs/>
                <w:noProof/>
                <w:lang w:val="en-US"/>
              </w:rPr>
              <w:t>polyclonal antibody against the neuropeptide FF (</w:t>
            </w:r>
            <w:r w:rsidRPr="007E1D9A">
              <w:rPr>
                <w:rFonts w:ascii="Arial" w:hAnsi="Arial" w:cs="Arial"/>
                <w:bCs/>
                <w:noProof/>
                <w:color w:val="000000" w:themeColor="text1"/>
                <w:lang w:val="en-US"/>
              </w:rPr>
              <w:t xml:space="preserve">anti-NPFF; 1:800; ab10352, Abcam, </w:t>
            </w:r>
            <w:r w:rsidRPr="007E1D9A">
              <w:rPr>
                <w:rFonts w:ascii="Arial" w:hAnsi="Arial" w:cs="Arial"/>
                <w:bCs/>
                <w:noProof/>
                <w:lang w:val="en-US"/>
              </w:rPr>
              <w:t>Cambridge, UK); *incubation 72 h</w:t>
            </w:r>
          </w:p>
        </w:tc>
      </w:tr>
      <w:tr w:rsidR="00985A99" w:rsidTr="00985A99">
        <w:tc>
          <w:tcPr>
            <w:tcW w:w="846" w:type="dxa"/>
          </w:tcPr>
          <w:p w:rsidR="00985A99" w:rsidRDefault="00985A99" w:rsidP="00985A9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</w:pPr>
          </w:p>
        </w:tc>
        <w:tc>
          <w:tcPr>
            <w:tcW w:w="8216" w:type="dxa"/>
          </w:tcPr>
          <w:p w:rsidR="00985A99" w:rsidRPr="007E1D9A" w:rsidRDefault="00985A99">
            <w:pPr>
              <w:rPr>
                <w:rFonts w:ascii="Arial" w:hAnsi="Arial" w:cs="Arial"/>
                <w:b/>
                <w:noProof/>
                <w:lang w:val="en-US"/>
              </w:rPr>
            </w:pPr>
          </w:p>
        </w:tc>
      </w:tr>
      <w:tr w:rsidR="00985A99" w:rsidTr="00985A99">
        <w:tc>
          <w:tcPr>
            <w:tcW w:w="846" w:type="dxa"/>
          </w:tcPr>
          <w:p w:rsidR="00985A99" w:rsidRDefault="00985A99" w:rsidP="00985A9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8216" w:type="dxa"/>
          </w:tcPr>
          <w:p w:rsidR="00985A99" w:rsidRPr="007E1D9A" w:rsidRDefault="00985A99" w:rsidP="00515FD0">
            <w:pPr>
              <w:spacing w:line="276" w:lineRule="auto"/>
              <w:rPr>
                <w:rFonts w:ascii="Arial" w:hAnsi="Arial" w:cs="Arial"/>
                <w:bCs/>
                <w:noProof/>
                <w:lang w:val="en-US"/>
              </w:rPr>
            </w:pPr>
            <w:r w:rsidRPr="007E1D9A">
              <w:rPr>
                <w:rFonts w:ascii="Arial" w:hAnsi="Arial" w:cs="Arial"/>
                <w:bCs/>
                <w:noProof/>
                <w:lang w:val="en-US"/>
              </w:rPr>
              <w:t xml:space="preserve">polyclonal </w:t>
            </w:r>
            <w:r w:rsidRPr="007E1D9A">
              <w:rPr>
                <w:rFonts w:ascii="Arial" w:hAnsi="Arial" w:cs="Arial"/>
                <w:bCs/>
                <w:noProof/>
                <w:color w:val="000000" w:themeColor="text1"/>
                <w:lang w:val="en-US"/>
              </w:rPr>
              <w:t xml:space="preserve">rabbit antibody </w:t>
            </w:r>
            <w:r w:rsidRPr="007E1D9A">
              <w:rPr>
                <w:rFonts w:ascii="Arial" w:hAnsi="Arial" w:cs="Arial"/>
                <w:bCs/>
                <w:noProof/>
                <w:lang w:val="en-US"/>
              </w:rPr>
              <w:t xml:space="preserve">TDP-43 (1:2500; 10782-2-AP; Proteintech, Planegg-Martinsried, Germany) </w:t>
            </w:r>
            <w:r w:rsidR="00BA38F2" w:rsidRPr="007E1D9A">
              <w:rPr>
                <w:rFonts w:ascii="Arial" w:hAnsi="Arial" w:cs="Arial"/>
                <w:bCs/>
                <w:noProof/>
                <w:lang w:val="en-US"/>
              </w:rPr>
              <w:t xml:space="preserve">used </w:t>
            </w:r>
            <w:r w:rsidRPr="007E1D9A">
              <w:rPr>
                <w:rFonts w:ascii="Arial" w:hAnsi="Arial" w:cs="Arial"/>
                <w:bCs/>
                <w:noProof/>
                <w:lang w:val="en-US"/>
              </w:rPr>
              <w:t xml:space="preserve">as a neuronal marker </w:t>
            </w:r>
            <w:r w:rsidR="00BA38F2" w:rsidRPr="007E1D9A">
              <w:rPr>
                <w:rFonts w:ascii="Arial" w:hAnsi="Arial" w:cs="Arial"/>
                <w:bCs/>
                <w:noProof/>
                <w:lang w:val="en-US"/>
              </w:rPr>
              <w:t>to identify</w:t>
            </w:r>
            <w:r w:rsidRPr="007E1D9A">
              <w:rPr>
                <w:rFonts w:ascii="Arial" w:hAnsi="Arial" w:cs="Arial"/>
                <w:bCs/>
                <w:noProof/>
                <w:lang w:val="en-US"/>
              </w:rPr>
              <w:t xml:space="preserve"> normal nuclear TDP-43 in the overall population of mature </w:t>
            </w:r>
            <w:r w:rsidRPr="00DE6019">
              <w:rPr>
                <w:rFonts w:ascii="Arial" w:hAnsi="Arial" w:cs="Arial"/>
                <w:bCs/>
                <w:noProof/>
                <w:lang w:val="en-US"/>
              </w:rPr>
              <w:t>neurons [</w:t>
            </w:r>
            <w:r w:rsidR="007E2346" w:rsidRPr="00DE6019">
              <w:rPr>
                <w:rFonts w:ascii="Arial" w:hAnsi="Arial" w:cs="Arial"/>
                <w:bCs/>
                <w:noProof/>
                <w:lang w:val="en-US"/>
              </w:rPr>
              <w:t xml:space="preserve">9, </w:t>
            </w:r>
            <w:r w:rsidR="007D5C12" w:rsidRPr="007D5C12">
              <w:rPr>
                <w:rFonts w:ascii="Arial" w:hAnsi="Arial" w:cs="Arial"/>
                <w:bCs/>
                <w:noProof/>
                <w:color w:val="FF0000"/>
                <w:lang w:val="en-US"/>
              </w:rPr>
              <w:t>80</w:t>
            </w:r>
            <w:r w:rsidRPr="007D5C12">
              <w:rPr>
                <w:rFonts w:ascii="Arial" w:hAnsi="Arial" w:cs="Arial"/>
                <w:bCs/>
                <w:noProof/>
                <w:lang w:val="en-US"/>
              </w:rPr>
              <w:t>]</w:t>
            </w:r>
          </w:p>
        </w:tc>
      </w:tr>
      <w:tr w:rsidR="00985A99" w:rsidTr="00985A99">
        <w:tc>
          <w:tcPr>
            <w:tcW w:w="846" w:type="dxa"/>
          </w:tcPr>
          <w:p w:rsidR="00985A99" w:rsidRDefault="00985A99" w:rsidP="00985A9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</w:pPr>
          </w:p>
        </w:tc>
        <w:tc>
          <w:tcPr>
            <w:tcW w:w="8216" w:type="dxa"/>
          </w:tcPr>
          <w:p w:rsidR="00985A99" w:rsidRPr="007E1D9A" w:rsidRDefault="00985A99">
            <w:pPr>
              <w:rPr>
                <w:rFonts w:ascii="Arial" w:hAnsi="Arial" w:cs="Arial"/>
                <w:b/>
                <w:noProof/>
                <w:lang w:val="en-US"/>
              </w:rPr>
            </w:pPr>
          </w:p>
        </w:tc>
      </w:tr>
      <w:tr w:rsidR="00985A99" w:rsidTr="00985A99">
        <w:tc>
          <w:tcPr>
            <w:tcW w:w="846" w:type="dxa"/>
          </w:tcPr>
          <w:p w:rsidR="00985A99" w:rsidRDefault="00985A99" w:rsidP="00985A9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8216" w:type="dxa"/>
          </w:tcPr>
          <w:p w:rsidR="00985A99" w:rsidRPr="007E1D9A" w:rsidRDefault="00985A99" w:rsidP="00515FD0">
            <w:pPr>
              <w:spacing w:line="276" w:lineRule="auto"/>
              <w:rPr>
                <w:rFonts w:ascii="Arial" w:hAnsi="Arial" w:cs="Arial"/>
                <w:noProof/>
                <w:lang w:val="en-US"/>
              </w:rPr>
            </w:pPr>
            <w:r w:rsidRPr="007E1D9A">
              <w:rPr>
                <w:rFonts w:ascii="Arial" w:hAnsi="Arial" w:cs="Arial"/>
                <w:noProof/>
                <w:lang w:val="en-US"/>
              </w:rPr>
              <w:t xml:space="preserve">monoclonal antibody against phosphorylated tau (PHF-Tau; 1:2000; Clone AT8; Pierce Biotechnology, Rockford, IL, USA [Thermo Scientific]) </w:t>
            </w:r>
            <w:r w:rsidR="00BA38F2" w:rsidRPr="007E1D9A">
              <w:rPr>
                <w:rFonts w:ascii="Arial" w:hAnsi="Arial" w:cs="Arial"/>
                <w:noProof/>
                <w:lang w:val="en-US"/>
              </w:rPr>
              <w:t xml:space="preserve">used to </w:t>
            </w:r>
            <w:r w:rsidRPr="007E1D9A">
              <w:rPr>
                <w:rFonts w:ascii="Arial" w:hAnsi="Arial" w:cs="Arial"/>
                <w:noProof/>
                <w:lang w:val="en-US"/>
              </w:rPr>
              <w:t>detect Alzheimer-associated neurofibrillary pathology, Pick bodies, coiled bodies, thorn-shaped astrocytes, argyrophilic grains</w:t>
            </w:r>
          </w:p>
        </w:tc>
      </w:tr>
      <w:tr w:rsidR="00985A99" w:rsidTr="00985A99">
        <w:tc>
          <w:tcPr>
            <w:tcW w:w="846" w:type="dxa"/>
          </w:tcPr>
          <w:p w:rsidR="00985A99" w:rsidRDefault="00985A99" w:rsidP="00985A9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</w:pPr>
          </w:p>
        </w:tc>
        <w:tc>
          <w:tcPr>
            <w:tcW w:w="8216" w:type="dxa"/>
          </w:tcPr>
          <w:p w:rsidR="00985A99" w:rsidRPr="007E1D9A" w:rsidRDefault="00985A99">
            <w:pPr>
              <w:rPr>
                <w:rFonts w:ascii="Arial" w:hAnsi="Arial" w:cs="Arial"/>
                <w:b/>
                <w:noProof/>
                <w:lang w:val="en-US"/>
              </w:rPr>
            </w:pPr>
          </w:p>
        </w:tc>
      </w:tr>
      <w:tr w:rsidR="00985A99" w:rsidTr="00985A99">
        <w:tc>
          <w:tcPr>
            <w:tcW w:w="846" w:type="dxa"/>
          </w:tcPr>
          <w:p w:rsidR="00985A99" w:rsidRDefault="00985A99" w:rsidP="00985A9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8216" w:type="dxa"/>
          </w:tcPr>
          <w:p w:rsidR="00985A99" w:rsidRPr="007E1D9A" w:rsidRDefault="00985A99" w:rsidP="00515FD0">
            <w:pPr>
              <w:spacing w:line="276" w:lineRule="auto"/>
              <w:rPr>
                <w:rFonts w:ascii="Arial" w:hAnsi="Arial" w:cs="Arial"/>
                <w:noProof/>
                <w:lang w:val="en-US"/>
              </w:rPr>
            </w:pPr>
            <w:r w:rsidRPr="007E1D9A">
              <w:rPr>
                <w:rFonts w:ascii="Arial" w:hAnsi="Arial" w:cs="Arial"/>
                <w:noProof/>
                <w:lang w:val="en-US"/>
              </w:rPr>
              <w:t xml:space="preserve">monoclonal antibody anti-beta-amyloid (1:5000; Clone 4G8; BioLegend, San Diego, CA, USA) </w:t>
            </w:r>
            <w:r w:rsidR="00BA38F2" w:rsidRPr="007E1D9A">
              <w:rPr>
                <w:rFonts w:ascii="Arial" w:hAnsi="Arial" w:cs="Arial"/>
                <w:noProof/>
                <w:lang w:val="en-US"/>
              </w:rPr>
              <w:t xml:space="preserve">used to </w:t>
            </w:r>
            <w:r w:rsidRPr="007E1D9A">
              <w:rPr>
                <w:rFonts w:ascii="Arial" w:hAnsi="Arial" w:cs="Arial"/>
                <w:noProof/>
                <w:lang w:val="en-US"/>
              </w:rPr>
              <w:t>mark A</w:t>
            </w:r>
            <w:r w:rsidRPr="007E1D9A">
              <w:rPr>
                <w:rFonts w:ascii="Arial" w:hAnsi="Arial" w:cs="Arial"/>
                <w:noProof/>
                <w:lang w:val="en-US"/>
              </w:rPr>
              <w:sym w:font="Symbol" w:char="F062"/>
            </w:r>
            <w:r w:rsidRPr="007E1D9A">
              <w:rPr>
                <w:rFonts w:ascii="Arial" w:hAnsi="Arial" w:cs="Arial"/>
                <w:noProof/>
                <w:lang w:val="en-US"/>
              </w:rPr>
              <w:t xml:space="preserve"> deposition</w:t>
            </w:r>
          </w:p>
        </w:tc>
      </w:tr>
      <w:tr w:rsidR="00985A99" w:rsidTr="00985A99">
        <w:tc>
          <w:tcPr>
            <w:tcW w:w="846" w:type="dxa"/>
          </w:tcPr>
          <w:p w:rsidR="00985A99" w:rsidRDefault="00985A99" w:rsidP="00985A99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</w:pPr>
          </w:p>
        </w:tc>
        <w:tc>
          <w:tcPr>
            <w:tcW w:w="8216" w:type="dxa"/>
          </w:tcPr>
          <w:p w:rsidR="00985A99" w:rsidRPr="007E1D9A" w:rsidRDefault="00985A99">
            <w:pPr>
              <w:rPr>
                <w:rFonts w:ascii="Arial" w:hAnsi="Arial" w:cs="Arial"/>
                <w:b/>
                <w:noProof/>
                <w:lang w:val="en-US"/>
              </w:rPr>
            </w:pPr>
          </w:p>
        </w:tc>
      </w:tr>
      <w:tr w:rsidR="00985A99" w:rsidTr="00985A99">
        <w:tc>
          <w:tcPr>
            <w:tcW w:w="846" w:type="dxa"/>
          </w:tcPr>
          <w:p w:rsidR="00985A99" w:rsidRDefault="00BA38F2" w:rsidP="00DA2286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  <w:t>5</w:t>
            </w:r>
          </w:p>
        </w:tc>
        <w:tc>
          <w:tcPr>
            <w:tcW w:w="8216" w:type="dxa"/>
          </w:tcPr>
          <w:p w:rsidR="00BA38F2" w:rsidRPr="007E1D9A" w:rsidRDefault="00DA2286" w:rsidP="00515FD0">
            <w:pPr>
              <w:spacing w:line="276" w:lineRule="auto"/>
              <w:rPr>
                <w:rFonts w:ascii="Arial" w:hAnsi="Arial" w:cs="Arial"/>
                <w:b/>
                <w:noProof/>
                <w:lang w:val="en-US"/>
              </w:rPr>
            </w:pPr>
            <w:r w:rsidRPr="007E1D9A">
              <w:rPr>
                <w:rFonts w:ascii="Arial" w:hAnsi="Arial" w:cs="Arial"/>
                <w:bCs/>
                <w:noProof/>
              </w:rPr>
              <w:t xml:space="preserve">monoclonal antibody against </w:t>
            </w:r>
            <w:r w:rsidRPr="007E1D9A">
              <w:rPr>
                <w:rFonts w:ascii="Arial" w:hAnsi="Arial" w:cs="Arial"/>
                <w:noProof/>
              </w:rPr>
              <w:sym w:font="Symbol" w:char="F061"/>
            </w:r>
            <w:r w:rsidRPr="007E1D9A">
              <w:rPr>
                <w:rFonts w:ascii="Arial" w:hAnsi="Arial" w:cs="Arial"/>
                <w:noProof/>
              </w:rPr>
              <w:t>-synuclein (anti-syn-1; 1:2000; Clone number 42, BD Biosciences, Mountain View, CA, USA) used to visualize Lewy bodies/neurites and glial cytoplasmic inclusions</w:t>
            </w:r>
            <w:r w:rsidRPr="007E1D9A">
              <w:rPr>
                <w:rFonts w:ascii="Arial" w:hAnsi="Arial" w:cs="Arial"/>
                <w:b/>
                <w:noProof/>
                <w:lang w:val="en-US"/>
              </w:rPr>
              <w:t xml:space="preserve"> </w:t>
            </w:r>
          </w:p>
        </w:tc>
      </w:tr>
      <w:tr w:rsidR="00985A99" w:rsidTr="00985A99">
        <w:tc>
          <w:tcPr>
            <w:tcW w:w="846" w:type="dxa"/>
          </w:tcPr>
          <w:p w:rsidR="00985A99" w:rsidRDefault="00985A99" w:rsidP="00DA2286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</w:pPr>
          </w:p>
        </w:tc>
        <w:tc>
          <w:tcPr>
            <w:tcW w:w="8216" w:type="dxa"/>
          </w:tcPr>
          <w:p w:rsidR="00985A99" w:rsidRPr="007E1D9A" w:rsidRDefault="00985A99">
            <w:pPr>
              <w:rPr>
                <w:rFonts w:ascii="Arial" w:hAnsi="Arial" w:cs="Arial"/>
                <w:b/>
                <w:noProof/>
                <w:lang w:val="en-US"/>
              </w:rPr>
            </w:pPr>
          </w:p>
        </w:tc>
      </w:tr>
      <w:tr w:rsidR="00985A99" w:rsidTr="00985A99">
        <w:tc>
          <w:tcPr>
            <w:tcW w:w="846" w:type="dxa"/>
          </w:tcPr>
          <w:p w:rsidR="00985A99" w:rsidRDefault="00DA2286" w:rsidP="00DA2286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  <w:t>6</w:t>
            </w:r>
          </w:p>
        </w:tc>
        <w:tc>
          <w:tcPr>
            <w:tcW w:w="8216" w:type="dxa"/>
          </w:tcPr>
          <w:p w:rsidR="00985A99" w:rsidRPr="007E1D9A" w:rsidRDefault="00DA2286" w:rsidP="00515FD0">
            <w:pPr>
              <w:spacing w:line="276" w:lineRule="auto"/>
              <w:rPr>
                <w:rFonts w:ascii="Arial" w:hAnsi="Arial" w:cs="Arial"/>
                <w:b/>
                <w:noProof/>
                <w:lang w:val="en-US"/>
              </w:rPr>
            </w:pPr>
            <w:r w:rsidRPr="007E1D9A">
              <w:rPr>
                <w:rFonts w:ascii="Arial" w:hAnsi="Arial" w:cs="Arial"/>
                <w:noProof/>
              </w:rPr>
              <w:t>polyclonal rabbit antibody against phosphorylated TDP-43 (anti-phospho TDP-43 [pS409/410-2]; 1:5000; Cosmo Bio Co., Ltd., Tokyo, Japan) used for recognition of pTDP-43 cytoplasmic inclusions</w:t>
            </w:r>
          </w:p>
        </w:tc>
      </w:tr>
      <w:tr w:rsidR="00985A99" w:rsidTr="00985A99">
        <w:tc>
          <w:tcPr>
            <w:tcW w:w="846" w:type="dxa"/>
          </w:tcPr>
          <w:p w:rsidR="00985A99" w:rsidRDefault="00985A99" w:rsidP="00DA2286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</w:pPr>
          </w:p>
        </w:tc>
        <w:tc>
          <w:tcPr>
            <w:tcW w:w="8216" w:type="dxa"/>
          </w:tcPr>
          <w:p w:rsidR="00985A99" w:rsidRPr="007E1D9A" w:rsidRDefault="00985A99">
            <w:pPr>
              <w:rPr>
                <w:rFonts w:ascii="Arial" w:hAnsi="Arial" w:cs="Arial"/>
                <w:b/>
                <w:noProof/>
                <w:lang w:val="en-US"/>
              </w:rPr>
            </w:pPr>
          </w:p>
        </w:tc>
      </w:tr>
      <w:tr w:rsidR="00985A99" w:rsidTr="00985A99">
        <w:tc>
          <w:tcPr>
            <w:tcW w:w="846" w:type="dxa"/>
          </w:tcPr>
          <w:p w:rsidR="00985A99" w:rsidRDefault="00DA2286" w:rsidP="00DA2286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  <w:t>7</w:t>
            </w:r>
          </w:p>
        </w:tc>
        <w:tc>
          <w:tcPr>
            <w:tcW w:w="8216" w:type="dxa"/>
          </w:tcPr>
          <w:p w:rsidR="00985A99" w:rsidRPr="007E1D9A" w:rsidRDefault="00DA2286" w:rsidP="00CC654B">
            <w:pPr>
              <w:spacing w:line="276" w:lineRule="auto"/>
              <w:rPr>
                <w:rFonts w:ascii="Arial" w:hAnsi="Arial" w:cs="Arial"/>
                <w:b/>
                <w:noProof/>
                <w:lang w:val="en-US"/>
              </w:rPr>
            </w:pPr>
            <w:r w:rsidRPr="007E1D9A">
              <w:rPr>
                <w:rFonts w:ascii="Arial" w:hAnsi="Arial" w:cs="Arial"/>
                <w:noProof/>
              </w:rPr>
              <w:t>monoclonal anti-neurofilament H (NF-H) phosphorylated antibody SMI-31 (1:2000; BioLegend, San Diego, CA, USA) used as an axonal marker</w:t>
            </w:r>
          </w:p>
        </w:tc>
      </w:tr>
      <w:tr w:rsidR="00985A99" w:rsidTr="00985A99">
        <w:tc>
          <w:tcPr>
            <w:tcW w:w="846" w:type="dxa"/>
          </w:tcPr>
          <w:p w:rsidR="00985A99" w:rsidRDefault="00985A99" w:rsidP="00DA2286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</w:pPr>
          </w:p>
        </w:tc>
        <w:tc>
          <w:tcPr>
            <w:tcW w:w="8216" w:type="dxa"/>
          </w:tcPr>
          <w:p w:rsidR="00985A99" w:rsidRPr="007E1D9A" w:rsidRDefault="00985A99">
            <w:pPr>
              <w:rPr>
                <w:rFonts w:ascii="Arial" w:hAnsi="Arial" w:cs="Arial"/>
                <w:noProof/>
                <w:lang w:val="en-US"/>
              </w:rPr>
            </w:pPr>
          </w:p>
        </w:tc>
      </w:tr>
      <w:tr w:rsidR="00985A99" w:rsidTr="00985A99">
        <w:tc>
          <w:tcPr>
            <w:tcW w:w="846" w:type="dxa"/>
          </w:tcPr>
          <w:p w:rsidR="00985A99" w:rsidRDefault="00DA2286" w:rsidP="00DA2286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  <w:t>8</w:t>
            </w:r>
          </w:p>
        </w:tc>
        <w:tc>
          <w:tcPr>
            <w:tcW w:w="8216" w:type="dxa"/>
          </w:tcPr>
          <w:p w:rsidR="00DA2286" w:rsidRPr="007E1D9A" w:rsidRDefault="00DA2286" w:rsidP="00515FD0">
            <w:pPr>
              <w:spacing w:line="276" w:lineRule="auto"/>
              <w:rPr>
                <w:rFonts w:ascii="Arial" w:hAnsi="Arial" w:cs="Arial"/>
                <w:b/>
                <w:noProof/>
                <w:lang w:val="en-US"/>
              </w:rPr>
            </w:pPr>
            <w:r w:rsidRPr="007E1D9A">
              <w:rPr>
                <w:rFonts w:ascii="Arial" w:hAnsi="Arial" w:cs="Arial"/>
                <w:noProof/>
              </w:rPr>
              <w:t>monoclonal myelin basic protein antibody (MBP; 1:1000; ab209328, Abcam, Cambridge, UK)</w:t>
            </w:r>
          </w:p>
        </w:tc>
      </w:tr>
      <w:tr w:rsidR="00515FD0" w:rsidTr="00985A99">
        <w:tc>
          <w:tcPr>
            <w:tcW w:w="846" w:type="dxa"/>
          </w:tcPr>
          <w:p w:rsidR="00515FD0" w:rsidRDefault="00515FD0" w:rsidP="00DA2286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</w:pPr>
          </w:p>
        </w:tc>
        <w:tc>
          <w:tcPr>
            <w:tcW w:w="8216" w:type="dxa"/>
          </w:tcPr>
          <w:p w:rsidR="00515FD0" w:rsidRPr="007E1D9A" w:rsidRDefault="00515FD0" w:rsidP="00515FD0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</w:tr>
      <w:tr w:rsidR="00A640CF" w:rsidTr="00985A99">
        <w:tc>
          <w:tcPr>
            <w:tcW w:w="846" w:type="dxa"/>
          </w:tcPr>
          <w:p w:rsidR="00A640CF" w:rsidRDefault="00A640CF" w:rsidP="00A640CF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  <w:t>9</w:t>
            </w:r>
          </w:p>
        </w:tc>
        <w:tc>
          <w:tcPr>
            <w:tcW w:w="8216" w:type="dxa"/>
          </w:tcPr>
          <w:p w:rsidR="00A640CF" w:rsidRPr="007E1D9A" w:rsidRDefault="00A640CF" w:rsidP="00A640CF">
            <w:pPr>
              <w:spacing w:line="276" w:lineRule="auto"/>
              <w:rPr>
                <w:rFonts w:ascii="Arial" w:hAnsi="Arial" w:cs="Arial"/>
                <w:noProof/>
              </w:rPr>
            </w:pPr>
            <w:r w:rsidRPr="007E1D9A">
              <w:rPr>
                <w:rFonts w:ascii="Arial" w:hAnsi="Arial" w:cs="Arial"/>
                <w:noProof/>
              </w:rPr>
              <w:t>recombinant rabbit monoclonal antibody against somatostatin (Somatostatin; 1:1000; MA5-42760; Clone 7Q4T0; Invitrogen, Waltham, MA, USA [Thermo Scientific]); **citrate buffer pretreatment 30 min</w:t>
            </w:r>
          </w:p>
        </w:tc>
      </w:tr>
      <w:tr w:rsidR="00A640CF" w:rsidTr="00985A99">
        <w:tc>
          <w:tcPr>
            <w:tcW w:w="846" w:type="dxa"/>
          </w:tcPr>
          <w:p w:rsidR="00A640CF" w:rsidRDefault="00A640CF" w:rsidP="00A640CF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</w:pPr>
          </w:p>
        </w:tc>
        <w:tc>
          <w:tcPr>
            <w:tcW w:w="8216" w:type="dxa"/>
          </w:tcPr>
          <w:p w:rsidR="00A640CF" w:rsidRPr="007E1D9A" w:rsidRDefault="00A640CF" w:rsidP="00A640CF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</w:tr>
      <w:tr w:rsidR="00A640CF" w:rsidTr="00985A99">
        <w:tc>
          <w:tcPr>
            <w:tcW w:w="846" w:type="dxa"/>
          </w:tcPr>
          <w:p w:rsidR="00A640CF" w:rsidRDefault="00A640CF" w:rsidP="00A640CF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  <w:t>10</w:t>
            </w:r>
          </w:p>
        </w:tc>
        <w:tc>
          <w:tcPr>
            <w:tcW w:w="8216" w:type="dxa"/>
          </w:tcPr>
          <w:p w:rsidR="00A640CF" w:rsidRPr="007E1D9A" w:rsidRDefault="00A640CF" w:rsidP="00A640CF">
            <w:pPr>
              <w:spacing w:line="276" w:lineRule="auto"/>
              <w:rPr>
                <w:rFonts w:ascii="Arial" w:hAnsi="Arial" w:cs="Arial"/>
                <w:noProof/>
              </w:rPr>
            </w:pPr>
            <w:r w:rsidRPr="007E1D9A">
              <w:rPr>
                <w:rFonts w:ascii="Arial" w:hAnsi="Arial" w:cs="Arial"/>
                <w:noProof/>
              </w:rPr>
              <w:t>polyclonal rabbit antibody against calretinin (Calretinin; 1:1000; PA5-34688; Invitrogen, Waltham, MA, USA [Thermo Scientific]); **</w:t>
            </w:r>
          </w:p>
        </w:tc>
      </w:tr>
      <w:tr w:rsidR="00A640CF" w:rsidTr="00985A99">
        <w:tc>
          <w:tcPr>
            <w:tcW w:w="846" w:type="dxa"/>
          </w:tcPr>
          <w:p w:rsidR="00A640CF" w:rsidRDefault="00A640CF" w:rsidP="00A640CF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</w:pPr>
          </w:p>
        </w:tc>
        <w:tc>
          <w:tcPr>
            <w:tcW w:w="8216" w:type="dxa"/>
          </w:tcPr>
          <w:p w:rsidR="00A640CF" w:rsidRPr="007E1D9A" w:rsidRDefault="00A640CF" w:rsidP="00A640CF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</w:tr>
      <w:tr w:rsidR="00A640CF" w:rsidTr="00985A99">
        <w:tc>
          <w:tcPr>
            <w:tcW w:w="846" w:type="dxa"/>
          </w:tcPr>
          <w:p w:rsidR="00A640CF" w:rsidRDefault="00A640CF" w:rsidP="00A640CF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  <w:t>11</w:t>
            </w:r>
          </w:p>
        </w:tc>
        <w:tc>
          <w:tcPr>
            <w:tcW w:w="8216" w:type="dxa"/>
          </w:tcPr>
          <w:p w:rsidR="00A640CF" w:rsidRPr="007E1D9A" w:rsidRDefault="00A640CF" w:rsidP="00A640CF">
            <w:pPr>
              <w:spacing w:line="276" w:lineRule="auto"/>
              <w:rPr>
                <w:rFonts w:ascii="Arial" w:hAnsi="Arial" w:cs="Arial"/>
                <w:noProof/>
              </w:rPr>
            </w:pPr>
            <w:r w:rsidRPr="007E1D9A">
              <w:rPr>
                <w:rFonts w:ascii="Arial" w:hAnsi="Arial" w:cs="Arial"/>
                <w:noProof/>
              </w:rPr>
              <w:t>monoclonal anti-parvalbumin (Parvalbumin; 1:1000, Clone: PARV-19; P3088; Sigma-Aldrich, Taufkirchen, Germany [Merck]); **</w:t>
            </w:r>
          </w:p>
        </w:tc>
      </w:tr>
      <w:tr w:rsidR="00A640CF" w:rsidTr="00985A99">
        <w:tc>
          <w:tcPr>
            <w:tcW w:w="846" w:type="dxa"/>
          </w:tcPr>
          <w:p w:rsidR="00A640CF" w:rsidRDefault="00A640CF" w:rsidP="00A640CF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</w:pPr>
          </w:p>
        </w:tc>
        <w:tc>
          <w:tcPr>
            <w:tcW w:w="8216" w:type="dxa"/>
          </w:tcPr>
          <w:p w:rsidR="00A640CF" w:rsidRPr="007E1D9A" w:rsidRDefault="00A640CF" w:rsidP="00A640CF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</w:tr>
      <w:tr w:rsidR="00A640CF" w:rsidTr="00985A99">
        <w:tc>
          <w:tcPr>
            <w:tcW w:w="846" w:type="dxa"/>
          </w:tcPr>
          <w:p w:rsidR="00A640CF" w:rsidRDefault="00A640CF" w:rsidP="00A640CF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  <w:t>12</w:t>
            </w:r>
          </w:p>
        </w:tc>
        <w:tc>
          <w:tcPr>
            <w:tcW w:w="8216" w:type="dxa"/>
          </w:tcPr>
          <w:p w:rsidR="00A640CF" w:rsidRPr="007E1D9A" w:rsidRDefault="00A640CF" w:rsidP="00A640CF">
            <w:pPr>
              <w:spacing w:line="276" w:lineRule="auto"/>
              <w:rPr>
                <w:rFonts w:ascii="Arial" w:hAnsi="Arial" w:cs="Arial"/>
                <w:noProof/>
              </w:rPr>
            </w:pPr>
            <w:r w:rsidRPr="007E1D9A">
              <w:rPr>
                <w:rFonts w:ascii="Arial" w:hAnsi="Arial" w:cs="Arial"/>
                <w:noProof/>
              </w:rPr>
              <w:t>polyclonal VGAT cytoplasmic domain (SYSY; 1:200; 131004; Göttingen, Germany)</w:t>
            </w:r>
          </w:p>
        </w:tc>
      </w:tr>
      <w:tr w:rsidR="00A640CF" w:rsidTr="00985A99">
        <w:tc>
          <w:tcPr>
            <w:tcW w:w="846" w:type="dxa"/>
          </w:tcPr>
          <w:p w:rsidR="00A640CF" w:rsidRDefault="00A640CF" w:rsidP="00A640CF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</w:pPr>
          </w:p>
        </w:tc>
        <w:tc>
          <w:tcPr>
            <w:tcW w:w="8216" w:type="dxa"/>
          </w:tcPr>
          <w:p w:rsidR="00A640CF" w:rsidRPr="007E1D9A" w:rsidRDefault="00A640CF" w:rsidP="00A640CF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</w:tr>
      <w:tr w:rsidR="00A640CF" w:rsidTr="00985A99">
        <w:tc>
          <w:tcPr>
            <w:tcW w:w="846" w:type="dxa"/>
          </w:tcPr>
          <w:p w:rsidR="00A640CF" w:rsidRDefault="00A640CF" w:rsidP="00A640CF">
            <w:pPr>
              <w:jc w:val="center"/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  <w:t>1</w:t>
            </w:r>
            <w:r w:rsidR="00460BB3">
              <w:rPr>
                <w:rFonts w:ascii="Arial" w:hAnsi="Arial" w:cs="Arial"/>
                <w:b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8216" w:type="dxa"/>
          </w:tcPr>
          <w:p w:rsidR="00A640CF" w:rsidRPr="007E1D9A" w:rsidRDefault="00A640CF" w:rsidP="00A640CF">
            <w:pPr>
              <w:spacing w:line="276" w:lineRule="auto"/>
              <w:rPr>
                <w:rFonts w:ascii="Arial" w:hAnsi="Arial" w:cs="Arial"/>
                <w:noProof/>
              </w:rPr>
            </w:pPr>
            <w:r w:rsidRPr="007E1D9A">
              <w:rPr>
                <w:rFonts w:ascii="Arial" w:hAnsi="Arial" w:cs="Arial"/>
                <w:noProof/>
              </w:rPr>
              <w:t>monoclonal gephyrin antibody (SYSY; 1:500; 147009; Göttingen, Germany)</w:t>
            </w:r>
          </w:p>
        </w:tc>
      </w:tr>
    </w:tbl>
    <w:p w:rsidR="007A583B" w:rsidRPr="00366AA0" w:rsidRDefault="007A583B" w:rsidP="00CF5E89">
      <w:pPr>
        <w:rPr>
          <w:rFonts w:ascii="Arial" w:hAnsi="Arial" w:cs="Arial"/>
          <w:b/>
          <w:noProof/>
          <w:sz w:val="24"/>
          <w:szCs w:val="24"/>
          <w:lang w:val="en-US"/>
        </w:rPr>
      </w:pPr>
      <w:bookmarkStart w:id="0" w:name="_GoBack"/>
      <w:bookmarkEnd w:id="0"/>
    </w:p>
    <w:sectPr w:rsidR="007A583B" w:rsidRPr="00366AA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AA0"/>
    <w:rsid w:val="00045F9F"/>
    <w:rsid w:val="000601A0"/>
    <w:rsid w:val="00315D0E"/>
    <w:rsid w:val="00366AA0"/>
    <w:rsid w:val="00446C65"/>
    <w:rsid w:val="00460BB3"/>
    <w:rsid w:val="004D21C4"/>
    <w:rsid w:val="00515FD0"/>
    <w:rsid w:val="007A583B"/>
    <w:rsid w:val="007C3EF3"/>
    <w:rsid w:val="007D5C12"/>
    <w:rsid w:val="007E1D9A"/>
    <w:rsid w:val="007E2346"/>
    <w:rsid w:val="00910E47"/>
    <w:rsid w:val="00962D30"/>
    <w:rsid w:val="00985A99"/>
    <w:rsid w:val="009B2C18"/>
    <w:rsid w:val="009F44BD"/>
    <w:rsid w:val="00A640CF"/>
    <w:rsid w:val="00BA38F2"/>
    <w:rsid w:val="00BB0B5B"/>
    <w:rsid w:val="00BC4262"/>
    <w:rsid w:val="00C97836"/>
    <w:rsid w:val="00CC654B"/>
    <w:rsid w:val="00CF5E89"/>
    <w:rsid w:val="00DA2286"/>
    <w:rsid w:val="00DD3EF0"/>
    <w:rsid w:val="00DE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921F6-AAE9-4BF9-ADB2-304604E19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Kalender1">
    <w:name w:val="Kalender 1"/>
    <w:basedOn w:val="NormaleTabelle"/>
    <w:uiPriority w:val="99"/>
    <w:qFormat/>
    <w:rsid w:val="00985A99"/>
    <w:pPr>
      <w:spacing w:after="0" w:line="240" w:lineRule="auto"/>
    </w:pPr>
    <w:rPr>
      <w:rFonts w:eastAsiaTheme="minorEastAsia"/>
      <w:lang w:eastAsia="de-DE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lenraster">
    <w:name w:val="Table Grid"/>
    <w:basedOn w:val="NormaleTabelle"/>
    <w:uiPriority w:val="39"/>
    <w:rsid w:val="00985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Universit?tsklinikum Ulm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Kelly Del Tredici</dc:creator>
  <cp:keywords/>
  <dc:description/>
  <cp:lastModifiedBy>Kelly</cp:lastModifiedBy>
  <cp:revision>4</cp:revision>
  <dcterms:created xsi:type="dcterms:W3CDTF">2024-04-16T15:57:00Z</dcterms:created>
  <dcterms:modified xsi:type="dcterms:W3CDTF">2024-04-26T13:39:00Z</dcterms:modified>
</cp:coreProperties>
</file>