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DA96C" w14:textId="77777777" w:rsidR="001405A6" w:rsidRPr="009D6FCA" w:rsidRDefault="001405A6" w:rsidP="001405A6">
      <w:pPr>
        <w:spacing w:after="0" w:line="360" w:lineRule="auto"/>
        <w:jc w:val="both"/>
        <w:rPr>
          <w:rFonts w:cstheme="minorHAnsi"/>
          <w:sz w:val="20"/>
          <w:szCs w:val="20"/>
          <w:lang w:val="en-US"/>
        </w:rPr>
      </w:pPr>
      <w:r w:rsidRPr="009D6FCA">
        <w:rPr>
          <w:rFonts w:cstheme="minorHAnsi"/>
          <w:noProof/>
          <w:sz w:val="20"/>
          <w:szCs w:val="20"/>
          <w:lang w:val="en-US"/>
        </w:rPr>
        <w:drawing>
          <wp:inline distT="0" distB="0" distL="0" distR="0" wp14:anchorId="14B28526" wp14:editId="1FAAC09F">
            <wp:extent cx="5760720" cy="3952240"/>
            <wp:effectExtent l="0" t="0" r="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6FCA">
        <w:rPr>
          <w:rFonts w:cstheme="minorHAnsi"/>
          <w:sz w:val="20"/>
          <w:szCs w:val="20"/>
          <w:lang w:val="en-US"/>
        </w:rPr>
        <w:t xml:space="preserve"> </w:t>
      </w:r>
    </w:p>
    <w:p w14:paraId="4CE98A3F" w14:textId="77777777" w:rsidR="001405A6" w:rsidRPr="009D6FCA" w:rsidRDefault="001405A6" w:rsidP="001405A6">
      <w:pPr>
        <w:spacing w:after="0" w:line="360" w:lineRule="auto"/>
        <w:jc w:val="both"/>
        <w:rPr>
          <w:rFonts w:cstheme="minorHAnsi"/>
          <w:sz w:val="20"/>
          <w:szCs w:val="20"/>
          <w:lang w:val="en-US"/>
        </w:rPr>
      </w:pPr>
    </w:p>
    <w:p w14:paraId="36696FF3" w14:textId="77777777" w:rsidR="001405A6" w:rsidRPr="009D6FCA" w:rsidRDefault="001405A6" w:rsidP="001405A6">
      <w:pPr>
        <w:spacing w:after="0" w:line="360" w:lineRule="auto"/>
        <w:jc w:val="both"/>
        <w:rPr>
          <w:rFonts w:cstheme="minorHAnsi"/>
          <w:sz w:val="20"/>
          <w:szCs w:val="20"/>
          <w:lang w:val="en-GB"/>
        </w:rPr>
      </w:pPr>
      <w:r w:rsidRPr="009D6FCA">
        <w:rPr>
          <w:rFonts w:cstheme="minorHAnsi"/>
          <w:b/>
          <w:bCs/>
          <w:sz w:val="20"/>
          <w:szCs w:val="20"/>
          <w:lang w:val="en-US"/>
        </w:rPr>
        <w:t>Supplementary figure 1</w:t>
      </w:r>
      <w:r w:rsidRPr="009D6FCA">
        <w:rPr>
          <w:rFonts w:cstheme="minorHAnsi"/>
          <w:sz w:val="20"/>
          <w:szCs w:val="20"/>
          <w:lang w:val="en-US"/>
        </w:rPr>
        <w:t>: Representative examples of tissue sections with score</w:t>
      </w:r>
      <w:r w:rsidRPr="009D6FCA">
        <w:rPr>
          <w:rFonts w:cstheme="minorHAnsi"/>
          <w:sz w:val="20"/>
          <w:szCs w:val="20"/>
          <w:lang w:val="en-GB"/>
        </w:rPr>
        <w:t xml:space="preserve"> 0 (no TIMP4-positive vessels), score 1 (mild TIMP4 staining: 0-25% of vessels stained to some degree), score 2 (moderate TIMP4 staining: 25-75% of vessels stained to some degree), and score 3 (severe TIMP4 staining: &gt;75% of vessels stained to some degree).</w:t>
      </w:r>
    </w:p>
    <w:p w14:paraId="05F887AF" w14:textId="77777777" w:rsidR="001405A6" w:rsidRDefault="001405A6" w:rsidP="001405A6">
      <w:pPr>
        <w:rPr>
          <w:rFonts w:cstheme="minorHAnsi"/>
          <w:sz w:val="20"/>
          <w:szCs w:val="20"/>
          <w:lang w:val="en-GB"/>
        </w:rPr>
      </w:pPr>
      <w:r>
        <w:rPr>
          <w:rFonts w:cstheme="minorHAnsi"/>
          <w:sz w:val="20"/>
          <w:szCs w:val="20"/>
          <w:lang w:val="en-GB"/>
        </w:rPr>
        <w:br w:type="page"/>
      </w:r>
    </w:p>
    <w:p w14:paraId="2A7A0637" w14:textId="77777777" w:rsidR="001405A6" w:rsidRDefault="001405A6" w:rsidP="001405A6">
      <w:pPr>
        <w:rPr>
          <w:rFonts w:cstheme="minorHAnsi"/>
          <w:sz w:val="20"/>
          <w:szCs w:val="20"/>
          <w:lang w:val="en-GB"/>
        </w:rPr>
      </w:pPr>
      <w:r w:rsidRPr="00047CD3">
        <w:rPr>
          <w:rFonts w:cstheme="minorHAnsi"/>
          <w:noProof/>
          <w:sz w:val="20"/>
          <w:szCs w:val="20"/>
          <w:lang w:val="en-GB"/>
        </w:rPr>
        <w:lastRenderedPageBreak/>
        <w:drawing>
          <wp:inline distT="0" distB="0" distL="0" distR="0" wp14:anchorId="74AC67FA" wp14:editId="151DE852">
            <wp:extent cx="5731510" cy="3453130"/>
            <wp:effectExtent l="0" t="0" r="254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D23F4" w14:textId="77777777" w:rsidR="001405A6" w:rsidRDefault="001405A6" w:rsidP="001405A6">
      <w:pPr>
        <w:spacing w:after="0" w:line="360" w:lineRule="auto"/>
        <w:jc w:val="both"/>
        <w:rPr>
          <w:rFonts w:cstheme="minorHAnsi"/>
          <w:sz w:val="20"/>
          <w:szCs w:val="20"/>
          <w:lang w:val="en-US"/>
        </w:rPr>
      </w:pPr>
      <w:r w:rsidRPr="009D6FCA">
        <w:rPr>
          <w:rFonts w:cstheme="minorHAnsi"/>
          <w:b/>
          <w:bCs/>
          <w:sz w:val="20"/>
          <w:szCs w:val="20"/>
          <w:lang w:val="en-US"/>
        </w:rPr>
        <w:t xml:space="preserve">Supplementary figure </w:t>
      </w:r>
      <w:r>
        <w:rPr>
          <w:rFonts w:cstheme="minorHAnsi"/>
          <w:b/>
          <w:bCs/>
          <w:sz w:val="20"/>
          <w:szCs w:val="20"/>
          <w:lang w:val="en-US"/>
        </w:rPr>
        <w:t>2</w:t>
      </w:r>
      <w:r w:rsidRPr="009D6FCA">
        <w:rPr>
          <w:rFonts w:cstheme="minorHAnsi"/>
          <w:sz w:val="20"/>
          <w:szCs w:val="20"/>
          <w:lang w:val="en-US"/>
        </w:rPr>
        <w:t xml:space="preserve">: </w:t>
      </w:r>
      <w:r>
        <w:rPr>
          <w:rFonts w:cstheme="minorHAnsi"/>
          <w:sz w:val="20"/>
          <w:szCs w:val="20"/>
          <w:lang w:val="en-US"/>
        </w:rPr>
        <w:t xml:space="preserve">Chart displaying the distribution of CAA scores in the occipital lobe tissue of the studied groups.  </w:t>
      </w:r>
    </w:p>
    <w:p w14:paraId="7869156A" w14:textId="77777777" w:rsidR="001405A6" w:rsidRDefault="001405A6" w:rsidP="001405A6">
      <w:pPr>
        <w:spacing w:after="0" w:line="360" w:lineRule="auto"/>
        <w:jc w:val="both"/>
        <w:rPr>
          <w:rFonts w:cstheme="minorHAnsi"/>
          <w:sz w:val="20"/>
          <w:szCs w:val="20"/>
          <w:lang w:val="en-US"/>
        </w:rPr>
      </w:pPr>
    </w:p>
    <w:p w14:paraId="7267722D" w14:textId="77777777" w:rsidR="001405A6" w:rsidRDefault="001405A6" w:rsidP="001405A6">
      <w:pPr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br w:type="page"/>
      </w:r>
    </w:p>
    <w:p w14:paraId="05940D21" w14:textId="77777777" w:rsidR="001405A6" w:rsidRDefault="001405A6" w:rsidP="001405A6">
      <w:pPr>
        <w:spacing w:after="0" w:line="360" w:lineRule="auto"/>
        <w:jc w:val="both"/>
        <w:rPr>
          <w:rFonts w:cstheme="minorHAnsi"/>
          <w:b/>
          <w:bCs/>
          <w:sz w:val="20"/>
          <w:szCs w:val="20"/>
          <w:highlight w:val="yellow"/>
          <w:lang w:val="en-US"/>
        </w:rPr>
      </w:pPr>
      <w:r w:rsidRPr="00FA53B6">
        <w:rPr>
          <w:rFonts w:cstheme="minorHAnsi"/>
          <w:b/>
          <w:bCs/>
          <w:noProof/>
          <w:sz w:val="20"/>
          <w:szCs w:val="20"/>
          <w:lang w:val="en-US"/>
        </w:rPr>
        <w:lastRenderedPageBreak/>
        <w:drawing>
          <wp:inline distT="0" distB="0" distL="0" distR="0" wp14:anchorId="37664710" wp14:editId="69C11045">
            <wp:extent cx="5787984" cy="3352800"/>
            <wp:effectExtent l="0" t="0" r="381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247" cy="3363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C86A4E" w14:textId="1F6AADD1" w:rsidR="001405A6" w:rsidRPr="001405A6" w:rsidRDefault="001405A6" w:rsidP="001405A6">
      <w:pPr>
        <w:spacing w:after="0" w:line="360" w:lineRule="auto"/>
        <w:jc w:val="both"/>
        <w:rPr>
          <w:rFonts w:cstheme="minorHAnsi"/>
          <w:sz w:val="20"/>
          <w:szCs w:val="20"/>
          <w:lang w:val="en-US"/>
        </w:rPr>
      </w:pPr>
      <w:r w:rsidRPr="001405A6">
        <w:rPr>
          <w:rFonts w:cstheme="minorHAnsi"/>
          <w:b/>
          <w:bCs/>
          <w:sz w:val="20"/>
          <w:szCs w:val="20"/>
          <w:lang w:val="en-US"/>
        </w:rPr>
        <w:t>Supplementary figure 3</w:t>
      </w:r>
      <w:r w:rsidRPr="001405A6">
        <w:rPr>
          <w:rFonts w:cstheme="minorHAnsi"/>
          <w:sz w:val="20"/>
          <w:szCs w:val="20"/>
          <w:lang w:val="en-US"/>
        </w:rPr>
        <w:t>: Adjacent sections of a</w:t>
      </w:r>
      <w:r w:rsidR="00070096">
        <w:rPr>
          <w:rFonts w:cstheme="minorHAnsi"/>
          <w:sz w:val="20"/>
          <w:szCs w:val="20"/>
          <w:lang w:val="en-US"/>
        </w:rPr>
        <w:t xml:space="preserve"> representative </w:t>
      </w:r>
      <w:r w:rsidRPr="001405A6">
        <w:rPr>
          <w:rFonts w:cstheme="minorHAnsi"/>
          <w:sz w:val="20"/>
          <w:szCs w:val="20"/>
          <w:lang w:val="en-US"/>
        </w:rPr>
        <w:t xml:space="preserve">AD case stained for TIMP4 and Aβ. TIMP4 was visible in Aβ-positive vessels, but not in Aβ-positive plaques. Scalebar upper panels = </w:t>
      </w:r>
      <w:r w:rsidR="00070096">
        <w:rPr>
          <w:rFonts w:cstheme="minorHAnsi"/>
          <w:sz w:val="20"/>
          <w:szCs w:val="20"/>
          <w:lang w:val="en-US"/>
        </w:rPr>
        <w:t>1</w:t>
      </w:r>
      <w:r w:rsidRPr="001405A6">
        <w:rPr>
          <w:rFonts w:cstheme="minorHAnsi"/>
          <w:sz w:val="20"/>
          <w:szCs w:val="20"/>
          <w:lang w:val="en-US"/>
        </w:rPr>
        <w:t xml:space="preserve">00 µm; Scalebar lower panels = </w:t>
      </w:r>
      <w:r w:rsidR="00070096">
        <w:rPr>
          <w:rFonts w:cstheme="minorHAnsi"/>
          <w:sz w:val="20"/>
          <w:szCs w:val="20"/>
          <w:lang w:val="en-US"/>
        </w:rPr>
        <w:t>2</w:t>
      </w:r>
      <w:r w:rsidRPr="001405A6">
        <w:rPr>
          <w:rFonts w:cstheme="minorHAnsi"/>
          <w:sz w:val="20"/>
          <w:szCs w:val="20"/>
          <w:lang w:val="en-US"/>
        </w:rPr>
        <w:t>00 µm.</w:t>
      </w:r>
    </w:p>
    <w:p w14:paraId="72A2F877" w14:textId="77777777" w:rsidR="001405A6" w:rsidRPr="00304DF4" w:rsidRDefault="001405A6" w:rsidP="001405A6">
      <w:pPr>
        <w:rPr>
          <w:rFonts w:cstheme="minorHAnsi"/>
          <w:b/>
          <w:bCs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br w:type="page"/>
      </w:r>
      <w:r w:rsidRPr="00304DF4">
        <w:rPr>
          <w:rFonts w:cstheme="minorHAnsi"/>
          <w:b/>
          <w:bCs/>
          <w:sz w:val="20"/>
          <w:szCs w:val="20"/>
          <w:lang w:val="en-US"/>
        </w:rPr>
        <w:lastRenderedPageBreak/>
        <w:t xml:space="preserve">Supplementary table 1. </w:t>
      </w:r>
    </w:p>
    <w:tbl>
      <w:tblPr>
        <w:tblW w:w="90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8"/>
        <w:gridCol w:w="2003"/>
        <w:gridCol w:w="2116"/>
        <w:gridCol w:w="1354"/>
      </w:tblGrid>
      <w:tr w:rsidR="001405A6" w:rsidRPr="009D6FCA" w14:paraId="7F59445C" w14:textId="77777777" w:rsidTr="001405A6">
        <w:trPr>
          <w:trHeight w:val="377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122EE08" w14:textId="77777777" w:rsidR="001405A6" w:rsidRPr="00304DF4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304DF4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  <w:tc>
          <w:tcPr>
            <w:tcW w:w="200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28C09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Control</w:t>
            </w:r>
          </w:p>
        </w:tc>
        <w:tc>
          <w:tcPr>
            <w:tcW w:w="211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31B19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CAA</w:t>
            </w:r>
          </w:p>
        </w:tc>
        <w:tc>
          <w:tcPr>
            <w:tcW w:w="135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836227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nl-NL"/>
              </w:rPr>
              <w:t>p</w:t>
            </w:r>
          </w:p>
        </w:tc>
      </w:tr>
      <w:tr w:rsidR="001405A6" w:rsidRPr="009D6FCA" w14:paraId="29762267" w14:textId="77777777" w:rsidTr="001405A6">
        <w:trPr>
          <w:trHeight w:val="360"/>
        </w:trPr>
        <w:tc>
          <w:tcPr>
            <w:tcW w:w="3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A08798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E839A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B52F6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2FA5AB2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1405A6" w:rsidRPr="009D6FCA" w14:paraId="4C23E708" w14:textId="77777777" w:rsidTr="001405A6">
        <w:trPr>
          <w:trHeight w:val="343"/>
        </w:trPr>
        <w:tc>
          <w:tcPr>
            <w:tcW w:w="35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1284B0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Mean age (sd), years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9216A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69.8 (6.7)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3B24E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73.8 (6.9)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DC2929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0.17</w:t>
            </w:r>
            <w:r w:rsidRPr="009D6FCA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</w:tr>
      <w:tr w:rsidR="001405A6" w:rsidRPr="009D6FCA" w14:paraId="2D2F5A03" w14:textId="77777777" w:rsidTr="001405A6">
        <w:trPr>
          <w:trHeight w:val="343"/>
        </w:trPr>
        <w:tc>
          <w:tcPr>
            <w:tcW w:w="35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62EF48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Sex (% female)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25AAD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71%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D5731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73%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66E36B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1.00</w:t>
            </w:r>
            <w:r w:rsidRPr="009D6FCA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  <w:t>3</w:t>
            </w:r>
          </w:p>
        </w:tc>
      </w:tr>
      <w:tr w:rsidR="001405A6" w:rsidRPr="009D6FCA" w14:paraId="4960B61F" w14:textId="77777777" w:rsidTr="001405A6">
        <w:trPr>
          <w:trHeight w:val="343"/>
        </w:trPr>
        <w:tc>
          <w:tcPr>
            <w:tcW w:w="35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9CEC46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TIMP1 (ng/mL)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10255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33.2 (13.9)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36CF7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45.6 (16.5)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5823C2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0.05</w:t>
            </w:r>
            <w:r w:rsidRPr="009D6FCA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</w:tr>
      <w:tr w:rsidR="001405A6" w:rsidRPr="009D6FCA" w14:paraId="52143C82" w14:textId="77777777" w:rsidTr="001405A6">
        <w:trPr>
          <w:trHeight w:val="343"/>
        </w:trPr>
        <w:tc>
          <w:tcPr>
            <w:tcW w:w="35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37ABA4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TIMP2 (ng/mL)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06707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45.4 (6.7)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D5713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58.2 (14.2)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426473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0.007</w:t>
            </w:r>
            <w:r w:rsidRPr="009D6FCA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</w:tr>
      <w:tr w:rsidR="001405A6" w:rsidRPr="009D6FCA" w14:paraId="6D05B85C" w14:textId="77777777" w:rsidTr="001405A6">
        <w:trPr>
          <w:trHeight w:val="343"/>
        </w:trPr>
        <w:tc>
          <w:tcPr>
            <w:tcW w:w="35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6231EC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TIMP3 (pg/mL)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21DBF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103.2 (44.3)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C21B3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131.8 (59.0)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6058681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0.18</w:t>
            </w:r>
            <w:r w:rsidRPr="009D6FCA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</w:tr>
      <w:tr w:rsidR="001405A6" w:rsidRPr="009D6FCA" w14:paraId="29C5063A" w14:textId="77777777" w:rsidTr="001405A6">
        <w:trPr>
          <w:trHeight w:val="343"/>
        </w:trPr>
        <w:tc>
          <w:tcPr>
            <w:tcW w:w="35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7E95CA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TIMP4 (pg/mL)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51D4F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4243 (1724)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218A6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2897 (891)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DF84D95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0.028</w:t>
            </w:r>
            <w:r w:rsidRPr="009D6FCA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</w:tr>
      <w:tr w:rsidR="001405A6" w:rsidRPr="009D6FCA" w14:paraId="2F7EF27C" w14:textId="77777777" w:rsidTr="001405A6">
        <w:trPr>
          <w:trHeight w:val="343"/>
        </w:trPr>
        <w:tc>
          <w:tcPr>
            <w:tcW w:w="35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8CA249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MMP2 (ng/mL)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A7B5F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sz w:val="20"/>
                <w:szCs w:val="20"/>
                <w:lang w:eastAsia="nl-NL"/>
              </w:rPr>
              <w:t>30.2 (10.5)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BD5D6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sz w:val="20"/>
                <w:szCs w:val="20"/>
                <w:lang w:eastAsia="nl-NL"/>
              </w:rPr>
              <w:t>30.9 (6.3)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6742EA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0.34</w:t>
            </w:r>
            <w:r w:rsidRPr="009D6FCA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</w:tr>
      <w:tr w:rsidR="001405A6" w:rsidRPr="009D6FCA" w14:paraId="2316BEE0" w14:textId="77777777" w:rsidTr="001405A6">
        <w:trPr>
          <w:trHeight w:val="343"/>
        </w:trPr>
        <w:tc>
          <w:tcPr>
            <w:tcW w:w="35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2952F8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MMP9 (pg/ml)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0B85B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698.6 (453.8)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D40BF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1442 (990.3)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F99005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0.009</w:t>
            </w:r>
            <w:r w:rsidRPr="009D6FCA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</w:tr>
      <w:tr w:rsidR="001405A6" w:rsidRPr="009D6FCA" w14:paraId="294549D5" w14:textId="77777777" w:rsidTr="001405A6">
        <w:trPr>
          <w:trHeight w:val="360"/>
        </w:trPr>
        <w:tc>
          <w:tcPr>
            <w:tcW w:w="35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A54D8C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MMP14 (ng/ml)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CDA35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2783 (1027)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C281B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2741 (665)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4B493B" w14:textId="77777777" w:rsidR="001405A6" w:rsidRPr="009D6FCA" w:rsidRDefault="001405A6" w:rsidP="00A75204">
            <w:pPr>
              <w:spacing w:after="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9D6FCA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0.91</w:t>
            </w:r>
            <w:r w:rsidRPr="009D6FCA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</w:tr>
    </w:tbl>
    <w:p w14:paraId="622E2B59" w14:textId="77777777" w:rsidR="001405A6" w:rsidRPr="009D6FCA" w:rsidRDefault="001405A6" w:rsidP="001405A6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2041CD4D" w14:textId="77777777" w:rsidR="001405A6" w:rsidRPr="003914CF" w:rsidRDefault="001405A6" w:rsidP="001405A6">
      <w:pPr>
        <w:spacing w:after="0" w:line="276" w:lineRule="auto"/>
        <w:jc w:val="both"/>
        <w:rPr>
          <w:rFonts w:cstheme="minorHAnsi"/>
          <w:sz w:val="20"/>
          <w:szCs w:val="20"/>
          <w:lang w:val="en-US"/>
        </w:rPr>
      </w:pPr>
      <w:r w:rsidRPr="009D6FCA">
        <w:rPr>
          <w:rFonts w:cstheme="minorHAnsi"/>
          <w:sz w:val="20"/>
          <w:szCs w:val="20"/>
          <w:lang w:val="en-US"/>
        </w:rPr>
        <w:t>For a subset of CAA patients, cerebrospinal fluid (CSF) levels of several TIMPs and MMPs ha</w:t>
      </w:r>
      <w:r>
        <w:rPr>
          <w:rFonts w:cstheme="minorHAnsi"/>
          <w:sz w:val="20"/>
          <w:szCs w:val="20"/>
          <w:lang w:val="en-US"/>
        </w:rPr>
        <w:t>d</w:t>
      </w:r>
      <w:r w:rsidRPr="009D6FCA">
        <w:rPr>
          <w:rFonts w:cstheme="minorHAnsi"/>
          <w:sz w:val="20"/>
          <w:szCs w:val="20"/>
          <w:lang w:val="en-US"/>
        </w:rPr>
        <w:t xml:space="preserve"> been determined </w:t>
      </w:r>
      <w:r w:rsidRPr="003914CF">
        <w:rPr>
          <w:rFonts w:cstheme="minorHAnsi"/>
          <w:sz w:val="20"/>
          <w:szCs w:val="20"/>
          <w:lang w:val="en-US"/>
        </w:rPr>
        <w:t>previously</w:t>
      </w:r>
      <w:r>
        <w:rPr>
          <w:rFonts w:cstheme="minorHAnsi"/>
          <w:sz w:val="20"/>
          <w:szCs w:val="20"/>
          <w:lang w:val="en-US"/>
        </w:rPr>
        <w:t xml:space="preserve"> </w:t>
      </w:r>
      <w:r w:rsidRPr="00152573">
        <w:rPr>
          <w:rFonts w:cstheme="minorHAnsi"/>
          <w:sz w:val="20"/>
          <w:szCs w:val="20"/>
          <w:lang w:val="en-US"/>
        </w:rPr>
        <w:t xml:space="preserve">[1]. </w:t>
      </w:r>
      <w:r w:rsidRPr="003914CF">
        <w:rPr>
          <w:rFonts w:cstheme="minorHAnsi"/>
          <w:sz w:val="20"/>
          <w:szCs w:val="20"/>
          <w:lang w:val="en-US"/>
        </w:rPr>
        <w:t xml:space="preserve">Demographics and mean (±sd) TIMP/MMP levels are shown for this subcohort. Potential differences between controls and CAA patients were assessed with </w:t>
      </w:r>
      <w:r w:rsidRPr="003914CF">
        <w:rPr>
          <w:rFonts w:cstheme="minorHAnsi"/>
          <w:sz w:val="20"/>
          <w:szCs w:val="20"/>
          <w:vertAlign w:val="superscript"/>
          <w:lang w:val="en-US"/>
        </w:rPr>
        <w:t>1</w:t>
      </w:r>
      <w:r w:rsidRPr="003914CF">
        <w:rPr>
          <w:rFonts w:cstheme="minorHAnsi"/>
          <w:sz w:val="20"/>
          <w:szCs w:val="20"/>
          <w:lang w:val="en-US"/>
        </w:rPr>
        <w:t xml:space="preserve">t-tests or </w:t>
      </w:r>
      <w:r w:rsidRPr="003914CF">
        <w:rPr>
          <w:rFonts w:cstheme="minorHAnsi"/>
          <w:sz w:val="20"/>
          <w:szCs w:val="20"/>
          <w:vertAlign w:val="superscript"/>
          <w:lang w:val="en-US"/>
        </w:rPr>
        <w:t>2</w:t>
      </w:r>
      <w:r w:rsidRPr="003914CF">
        <w:rPr>
          <w:rFonts w:cstheme="minorHAnsi"/>
          <w:sz w:val="20"/>
          <w:szCs w:val="20"/>
          <w:lang w:val="en-US"/>
        </w:rPr>
        <w:t xml:space="preserve">Mann-Whitney U tests, depending on normality of data (as assessed by Shapiro-Wilk tests), or </w:t>
      </w:r>
      <w:r w:rsidRPr="003914CF">
        <w:rPr>
          <w:rFonts w:cstheme="minorHAnsi"/>
          <w:sz w:val="20"/>
          <w:szCs w:val="20"/>
          <w:vertAlign w:val="superscript"/>
          <w:lang w:val="en-US"/>
        </w:rPr>
        <w:t>3</w:t>
      </w:r>
      <w:r w:rsidRPr="003914CF">
        <w:rPr>
          <w:rFonts w:cstheme="minorHAnsi"/>
          <w:sz w:val="20"/>
          <w:szCs w:val="20"/>
          <w:lang w:val="en-US"/>
        </w:rPr>
        <w:t xml:space="preserve">Fisher’s exact test. </w:t>
      </w:r>
      <w:r w:rsidRPr="003914CF">
        <w:rPr>
          <w:rFonts w:cstheme="minorHAnsi"/>
          <w:sz w:val="20"/>
          <w:szCs w:val="20"/>
          <w:lang w:val="en-GB"/>
        </w:rPr>
        <w:t xml:space="preserve">CAA = cerebral amyloid angiopathy; sd = standard deviation; TIMP = tissue inhibitor of matrix metalloproteinases; MMP = matrix metalloproteinase. </w:t>
      </w:r>
    </w:p>
    <w:p w14:paraId="176DBFE4" w14:textId="77777777" w:rsidR="001405A6" w:rsidRPr="003914CF" w:rsidRDefault="001405A6" w:rsidP="001405A6">
      <w:pPr>
        <w:spacing w:line="276" w:lineRule="auto"/>
        <w:rPr>
          <w:rFonts w:cstheme="minorHAnsi"/>
          <w:sz w:val="20"/>
          <w:szCs w:val="20"/>
          <w:lang w:val="en-US"/>
        </w:rPr>
      </w:pPr>
    </w:p>
    <w:p w14:paraId="35491413" w14:textId="77777777" w:rsidR="001405A6" w:rsidRPr="00152573" w:rsidRDefault="001405A6" w:rsidP="001405A6">
      <w:pPr>
        <w:rPr>
          <w:rFonts w:cstheme="minorHAnsi"/>
          <w:sz w:val="20"/>
          <w:szCs w:val="20"/>
          <w:lang w:val="en-US"/>
        </w:rPr>
      </w:pPr>
      <w:r w:rsidRPr="00152573">
        <w:rPr>
          <w:rFonts w:cstheme="minorHAnsi"/>
          <w:sz w:val="20"/>
          <w:szCs w:val="20"/>
          <w:lang w:val="en-US"/>
        </w:rPr>
        <w:t>1</w:t>
      </w:r>
      <w:r w:rsidRPr="00152573">
        <w:rPr>
          <w:rFonts w:cstheme="minorHAnsi"/>
          <w:sz w:val="20"/>
          <w:szCs w:val="20"/>
          <w:lang w:val="en-US"/>
        </w:rPr>
        <w:tab/>
        <w:t>Vervuurt M, de Kort AM, Jäkel L, Kersten I, Abdo WF, Schreuder F, Rasing I, Terwindt GM, Wermer MJH, Greenberg SMet al (2023) Decreased ratios of matrix metalloproteinases to tissue-type inhibitors in cerebrospinal fluid in sporadic and hereditary cerebral amyloid angiopathy. Alzheimers Res Ther 15: 26 Doi 10.1186/s13195-023-01171-3</w:t>
      </w:r>
    </w:p>
    <w:p w14:paraId="68675B27" w14:textId="77777777" w:rsidR="001405A6" w:rsidRPr="003914CF" w:rsidRDefault="001405A6" w:rsidP="001405A6">
      <w:pPr>
        <w:spacing w:line="276" w:lineRule="auto"/>
        <w:rPr>
          <w:rFonts w:cstheme="minorHAnsi"/>
          <w:sz w:val="20"/>
          <w:szCs w:val="20"/>
          <w:lang w:val="en-US"/>
        </w:rPr>
      </w:pPr>
    </w:p>
    <w:p w14:paraId="6020D264" w14:textId="77777777" w:rsidR="001405A6" w:rsidRPr="003914CF" w:rsidRDefault="001405A6" w:rsidP="001405A6">
      <w:pPr>
        <w:spacing w:line="276" w:lineRule="auto"/>
        <w:rPr>
          <w:rFonts w:cstheme="minorHAnsi"/>
          <w:sz w:val="20"/>
          <w:szCs w:val="20"/>
          <w:lang w:val="en-US"/>
        </w:rPr>
      </w:pPr>
    </w:p>
    <w:p w14:paraId="19E432EB" w14:textId="79E68EC5" w:rsidR="007C2CB3" w:rsidRPr="001405A6" w:rsidRDefault="007C2CB3">
      <w:pPr>
        <w:rPr>
          <w:rFonts w:cstheme="minorHAnsi"/>
          <w:b/>
          <w:bCs/>
          <w:sz w:val="20"/>
          <w:szCs w:val="20"/>
          <w:u w:val="single"/>
          <w:lang w:val="en-US"/>
        </w:rPr>
      </w:pPr>
    </w:p>
    <w:sectPr w:rsidR="007C2CB3" w:rsidRPr="001405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5A6"/>
    <w:rsid w:val="00070096"/>
    <w:rsid w:val="001405A6"/>
    <w:rsid w:val="007C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27B69"/>
  <w15:chartTrackingRefBased/>
  <w15:docId w15:val="{75EA341B-6BA1-4EBF-8D01-11734409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05A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315</Words>
  <Characters>1734</Characters>
  <Application>Microsoft Office Word</Application>
  <DocSecurity>0</DocSecurity>
  <Lines>14</Lines>
  <Paragraphs>4</Paragraphs>
  <ScaleCrop>false</ScaleCrop>
  <Company>RaboudUMC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Jäkel, Lieke</dc:creator>
  <cp:keywords/>
  <dc:description/>
  <cp:lastModifiedBy>Jäkel, Lieke</cp:lastModifiedBy>
  <cp:revision>2</cp:revision>
  <dcterms:created xsi:type="dcterms:W3CDTF">2024-06-14T08:07:00Z</dcterms:created>
  <dcterms:modified xsi:type="dcterms:W3CDTF">2024-06-15T07:51:00Z</dcterms:modified>
</cp:coreProperties>
</file>