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tif" ContentType="image/tiff"/>
  <Override PartName="/word/media/image3.tif" ContentType="image/tiff"/>
  <Override PartName="/word/media/image4.tif" ContentType="image/tiff"/>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both"/>
        <w:rPr/>
      </w:pPr>
      <w:r>
        <w:rPr>
          <w:rFonts w:cs="Arial Unicode MS" w:ascii="Arial Unicode MS" w:hAnsi="Arial Unicode MS"/>
          <w:b/>
          <w:bCs/>
        </w:rPr>
        <w:t xml:space="preserve">Fig. S1 </w:t>
      </w:r>
      <w:r>
        <w:rPr/>
        <w:t>The boxplots depict the median A</w:t>
      </w:r>
      <w:r>
        <w:rPr>
          <w:rFonts w:eastAsia="Symbol" w:cs="Symbol" w:ascii="Symbol" w:hAnsi="Symbol"/>
        </w:rPr>
        <w:sym w:font="Symbol" w:char="f062"/>
      </w:r>
      <w:r>
        <w:rPr/>
        <w:t xml:space="preserve"> deposits in the white matter (WM), stratified by their assignments according to staging/scales (Thal Phase = Thal Amyloid Phase, Braak Stage = Braak Neurofibrillary Tangle Stage and CERAD score = CERAD Neuritic Plaque score). The horizontal line marks the median, the box encapsulates the interquartile range (IQR), and the whiskers extend to the smallest and largest observation within 1.5 times the IQR of the bottom and top of the box (* = p &lt; 0.05; ** = p &lt; 0.01; and *** = p &lt; 0.001)</w:t>
      </w:r>
    </w:p>
    <w:p>
      <w:pPr>
        <w:pStyle w:val="Normal"/>
        <w:spacing w:lineRule="auto" w:line="240"/>
        <w:jc w:val="both"/>
        <w:rPr/>
      </w:pPr>
      <w:r>
        <w:rPr/>
        <mc:AlternateContent>
          <mc:Choice Requires="wps">
            <w:drawing>
              <wp:inline distT="0" distB="0" distL="0" distR="0">
                <wp:extent cx="5718175" cy="5718175"/>
                <wp:effectExtent l="0" t="0" r="0" b="0"/>
                <wp:docPr id="1" name=""/>
                <a:graphic xmlns:a="http://schemas.openxmlformats.org/drawingml/2006/main">
                  <a:graphicData uri="http://schemas.openxmlformats.org/drawingml/2006/picture">
                    <pic:pic xmlns:pic="http://schemas.openxmlformats.org/drawingml/2006/picture">
                      <pic:nvPicPr>
                        <pic:cNvPr id="0" name="" descr=""/>
                        <pic:cNvPicPr/>
                      </pic:nvPicPr>
                      <pic:blipFill>
                        <a:blip r:embed="rId2"/>
                        <a:stretch/>
                      </pic:blipFill>
                      <pic:spPr>
                        <a:xfrm>
                          <a:off x="0" y="0"/>
                          <a:ext cx="5718240" cy="571824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0pt;margin-top:-450.3pt;width:450.2pt;height:450.2pt;mso-wrap-style:none;v-text-anchor:middle;mso-position-vertical:top" type="_x0000_t75">
                <v:imagedata r:id="rId3" o:detectmouseclick="t"/>
                <v:stroke color="#3465a4" joinstyle="round" endcap="flat"/>
                <w10:wrap type="none"/>
              </v:shape>
            </w:pict>
          </mc:Fallback>
        </mc:AlternateContent>
      </w:r>
    </w:p>
    <w:p>
      <w:pPr>
        <w:pStyle w:val="Normal"/>
        <w:spacing w:lineRule="auto" w:line="240"/>
        <w:jc w:val="both"/>
        <w:rPr>
          <w:color w:val="000000"/>
        </w:rPr>
      </w:pPr>
      <w:r>
        <w:rPr>
          <w:rFonts w:cs="Arial Unicode MS" w:ascii="Arial Unicode MS" w:hAnsi="Arial Unicode MS"/>
          <w:b/>
          <w:bCs/>
          <w:iCs/>
          <w:color w:val="000000"/>
        </w:rPr>
        <w:t>Fig. S2</w:t>
      </w:r>
      <w:r>
        <w:rPr>
          <w:rFonts w:cs="Arial Unicode MS" w:ascii="Arial Unicode MS" w:hAnsi="Arial Unicode MS"/>
          <w:i/>
          <w:iCs/>
          <w:color w:val="000000"/>
          <w:sz w:val="18"/>
          <w:szCs w:val="18"/>
        </w:rPr>
        <w:t xml:space="preserve"> </w:t>
      </w:r>
      <w:r>
        <w:rPr>
          <w:rFonts w:cs="Arial Unicode MS" w:ascii="Arial Unicode MS" w:hAnsi="Arial Unicode MS"/>
          <w:iCs/>
          <w:color w:val="000000"/>
        </w:rPr>
        <w:t>Boxplots depict the median A</w:t>
      </w:r>
      <w:r>
        <w:rPr>
          <w:rFonts w:eastAsia="Symbol" w:cs="Symbol" w:ascii="Symbol" w:hAnsi="Symbol"/>
          <w:iCs/>
          <w:color w:val="000000"/>
        </w:rPr>
        <w:sym w:font="Symbol" w:char="f062"/>
      </w:r>
      <w:r>
        <w:rPr>
          <w:rFonts w:cs="Arial Unicode MS" w:ascii="Arial Unicode MS" w:hAnsi="Arial Unicode MS"/>
          <w:iCs/>
          <w:color w:val="000000"/>
        </w:rPr>
        <w:t xml:space="preserve"> plaques (cored and diffuse) in the Gray Matter (GM), stratified by their assignments according to pathology groups. (Controls: Plaque Count = 0 and NIA-AA “ABC Score” = 0; All AD = ADNC Intermediate or High, mixed pathology present, Pure AD = ADNC Intermediate or High, with no TDP-43 or Lewy body disease (LBD) deposits). The horizontal line marks the median, the box encapsulates the interquartile range (IQR), and the whiskers extend to the smallest and largest observation within 1.5 times the IQR of the bottom and top of the box (* = p &lt; 0.05; ** = p &lt; 0.01; and *** = p &lt; 0.001)</w:t>
      </w:r>
    </w:p>
    <w:p>
      <w:pPr>
        <w:pStyle w:val="Normal"/>
        <w:spacing w:lineRule="auto" w:line="240"/>
        <w:jc w:val="both"/>
        <w:rPr/>
      </w:pPr>
      <w:r>
        <w:rPr/>
      </w:r>
    </w:p>
    <w:p>
      <w:pPr>
        <w:pStyle w:val="Normal"/>
        <w:spacing w:lineRule="auto" w:line="240"/>
        <w:jc w:val="both"/>
        <w:rPr>
          <w:rFonts w:ascii="Arial Unicode MS" w:hAnsi="Arial Unicode MS" w:cs="Arial Unicode MS"/>
          <w:b/>
          <w:bCs/>
        </w:rPr>
      </w:pPr>
      <w:r>
        <w:rPr/>
      </w:r>
    </w:p>
    <w:p>
      <w:pPr>
        <w:pStyle w:val="Normal"/>
        <w:spacing w:lineRule="auto" w:line="240"/>
        <w:jc w:val="both"/>
        <w:rPr>
          <w:rFonts w:ascii="Arial Unicode MS" w:hAnsi="Arial Unicode MS" w:cs="Arial Unicode MS"/>
          <w:b/>
          <w:bCs/>
        </w:rPr>
      </w:pPr>
      <w:r>
        <w:rPr/>
        <w:drawing>
          <wp:anchor behindDoc="0" distT="0" distB="0" distL="0" distR="0" simplePos="0" locked="0" layoutInCell="0" allowOverlap="1" relativeHeight="3">
            <wp:simplePos x="0" y="0"/>
            <wp:positionH relativeFrom="column">
              <wp:posOffset>-74930</wp:posOffset>
            </wp:positionH>
            <wp:positionV relativeFrom="paragraph">
              <wp:posOffset>66675</wp:posOffset>
            </wp:positionV>
            <wp:extent cx="5731510" cy="3016250"/>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4"/>
                    <a:stretch>
                      <a:fillRect/>
                    </a:stretch>
                  </pic:blipFill>
                  <pic:spPr bwMode="auto">
                    <a:xfrm>
                      <a:off x="0" y="0"/>
                      <a:ext cx="5731510" cy="3016250"/>
                    </a:xfrm>
                    <a:prstGeom prst="rect">
                      <a:avLst/>
                    </a:prstGeom>
                  </pic:spPr>
                </pic:pic>
              </a:graphicData>
            </a:graphic>
          </wp:anchor>
        </w:drawing>
      </w:r>
    </w:p>
    <w:p>
      <w:pPr>
        <w:pStyle w:val="Normal"/>
        <w:spacing w:lineRule="auto" w:line="240"/>
        <w:jc w:val="both"/>
        <w:rPr/>
      </w:pPr>
      <w:r>
        <w:rPr>
          <w:rFonts w:cs="Arial Unicode MS" w:ascii="Arial Unicode MS" w:hAnsi="Arial Unicode MS"/>
          <w:b/>
          <w:bCs/>
        </w:rPr>
        <w:t>Fig. S3</w:t>
      </w:r>
      <w:r>
        <w:rPr/>
        <w:t xml:space="preserve"> Boxplots depict the median A</w:t>
      </w:r>
      <w:r>
        <w:rPr>
          <w:rFonts w:eastAsia="Symbol" w:cs="Symbol" w:ascii="Symbol" w:hAnsi="Symbol"/>
        </w:rPr>
        <w:sym w:font="Symbol" w:char="f062"/>
      </w:r>
      <w:r>
        <w:rPr/>
        <w:t xml:space="preserve"> plaques (cored and diffuse) in the Gray Matter (GM), stratified by their assignments according to pathology group. (Pure = ADNC Intermediate or High, with no TDP-43 or LBD deposits, AD and TDP = ADNC Intermediate or High and presence of TDP-43 deposits; AD and LBD = ADNC Intermediate or High and presence of </w:t>
      </w:r>
      <w:r>
        <w:rPr>
          <w:rFonts w:cs="Arial Unicode MS" w:ascii="Arial Unicode MS" w:hAnsi="Arial Unicode MS"/>
          <w:color w:val="202124"/>
        </w:rPr>
        <w:t>Lewy body disease (LBD) deposits</w:t>
      </w:r>
      <w:r>
        <w:rPr/>
        <w:t>). The horizontal line marks the median, the box encapsulates the interquartile range (IQR), and the whiskers extend to the smallest and largest observation within 1.5 times the IQR of the bottom and top of the box. AD and LBD and AD and TDP 43 groups are not mutually exclusive. There were no significant differences across groups (* = p &lt; 0.05; ** = p &lt; 0.01; and *** = p &lt; 0.001)</w:t>
      </w:r>
    </w:p>
    <w:p>
      <w:pPr>
        <w:pStyle w:val="Normal"/>
        <w:spacing w:lineRule="auto" w:line="240"/>
        <w:jc w:val="both"/>
        <w:rPr/>
      </w:pPr>
      <w:r>
        <w:rPr/>
      </w:r>
    </w:p>
    <w:p>
      <w:pPr>
        <w:pStyle w:val="Normal"/>
        <w:spacing w:lineRule="auto" w:line="240"/>
        <w:jc w:val="both"/>
        <w:rPr/>
      </w:pPr>
      <w:r>
        <w:rPr/>
        <w:drawing>
          <wp:anchor behindDoc="0" distT="0" distB="0" distL="0" distR="0" simplePos="0" locked="0" layoutInCell="0" allowOverlap="1" relativeHeight="4">
            <wp:simplePos x="0" y="0"/>
            <wp:positionH relativeFrom="column">
              <wp:posOffset>0</wp:posOffset>
            </wp:positionH>
            <wp:positionV relativeFrom="paragraph">
              <wp:posOffset>-76200</wp:posOffset>
            </wp:positionV>
            <wp:extent cx="5731510" cy="3016250"/>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5"/>
                    <a:stretch>
                      <a:fillRect/>
                    </a:stretch>
                  </pic:blipFill>
                  <pic:spPr bwMode="auto">
                    <a:xfrm>
                      <a:off x="0" y="0"/>
                      <a:ext cx="5731510" cy="3016250"/>
                    </a:xfrm>
                    <a:prstGeom prst="rect">
                      <a:avLst/>
                    </a:prstGeom>
                  </pic:spPr>
                </pic:pic>
              </a:graphicData>
            </a:graphic>
          </wp:anchor>
        </w:drawing>
      </w:r>
    </w:p>
    <w:p>
      <w:pPr>
        <w:pStyle w:val="Normal"/>
        <w:spacing w:lineRule="auto" w:line="240"/>
        <w:jc w:val="both"/>
        <w:rPr/>
      </w:pPr>
      <w:r>
        <w:rPr/>
      </w:r>
    </w:p>
    <w:p>
      <w:pPr>
        <w:pStyle w:val="Normal"/>
        <w:spacing w:lineRule="auto" w:line="240"/>
        <w:jc w:val="both"/>
        <w:rPr/>
      </w:pPr>
      <w:r>
        <w:rPr>
          <w:rFonts w:cs="Arial Unicode MS" w:ascii="Arial Unicode MS" w:hAnsi="Arial Unicode MS"/>
          <w:b/>
          <w:bCs/>
        </w:rPr>
        <w:t xml:space="preserve">Fig. S4 </w:t>
      </w:r>
      <w:r>
        <w:rPr/>
        <w:t>Boxplots depict the median A</w:t>
      </w:r>
      <w:r>
        <w:rPr>
          <w:rFonts w:eastAsia="Symbol" w:cs="Symbol" w:ascii="Symbol" w:hAnsi="Symbol"/>
        </w:rPr>
        <w:sym w:font="Symbol" w:char="f062"/>
      </w:r>
      <w:r>
        <w:rPr/>
        <w:t xml:space="preserve"> plaques (cored and diffuse) in the Gray Matter (GM), stratified by their assignments according to pathology group. cases with and without the presence of Lewy body disease deposits (LBD group and no LBD group) and cases with and without the presence of TDP-43 inclusions (TDP-43 group and no TDP-43 group), regardless of Alzheimer Disease Neuropathologic Change (ADNC). The horizontal line marks the median, the box encapsulates the interquartile range (IQR), and the whiskers extend to the smallest and largest observation within 1.5 times the IQR of the bottom and top of the box. AD and LBD and AD and TDP 43 groups are not mutually exclusive (* = p &lt; 0.05)</w:t>
      </w:r>
    </w:p>
    <w:p>
      <w:pPr>
        <w:pStyle w:val="Normal"/>
        <w:widowControl/>
        <w:bidi w:val="0"/>
        <w:spacing w:lineRule="auto" w:line="276" w:before="0" w:after="200"/>
        <w:jc w:val="left"/>
        <w:rPr/>
      </w:pPr>
      <w:r>
        <w:rPr/>
        <w:drawing>
          <wp:anchor behindDoc="0" distT="0" distB="0" distL="0" distR="0" simplePos="0" locked="0" layoutInCell="0" allowOverlap="1" relativeHeight="5">
            <wp:simplePos x="0" y="0"/>
            <wp:positionH relativeFrom="column">
              <wp:posOffset>-54610</wp:posOffset>
            </wp:positionH>
            <wp:positionV relativeFrom="paragraph">
              <wp:posOffset>47625</wp:posOffset>
            </wp:positionV>
            <wp:extent cx="5731510" cy="3016250"/>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6"/>
                    <a:stretch>
                      <a:fillRect/>
                    </a:stretch>
                  </pic:blipFill>
                  <pic:spPr bwMode="auto">
                    <a:xfrm>
                      <a:off x="0" y="0"/>
                      <a:ext cx="5731510" cy="3016250"/>
                    </a:xfrm>
                    <a:prstGeom prst="rect">
                      <a:avLst/>
                    </a:prstGeom>
                  </pic:spPr>
                </pic:pic>
              </a:graphicData>
            </a:graphic>
          </wp:anchor>
        </w:drawing>
      </w:r>
      <w:bookmarkStart w:id="0" w:name="_GoBack"/>
      <w:bookmarkStart w:id="1" w:name="_GoBack"/>
      <w:bookmarkEnd w:id="1"/>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Unicode MS">
    <w:charset w:val="00"/>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IN" w:eastAsia="en-US" w:bidi="ar-SA"/>
        <w14:ligatures w14:val="standardContextual"/>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2"/>
      <w:sz w:val="22"/>
      <w:szCs w:val="22"/>
      <w:lang w:val="en-IN" w:eastAsia="en-US" w:bidi="ar-SA"/>
      <w14:ligatures w14:val="standardContextual"/>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tif"/><Relationship Id="rId5" Type="http://schemas.openxmlformats.org/officeDocument/2006/relationships/image" Target="media/image3.tif"/><Relationship Id="rId6" Type="http://schemas.openxmlformats.org/officeDocument/2006/relationships/image" Target="media/image4.tif"/><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LibreOffice/7.5.0.3$Windows_X86_64 LibreOffice_project/c21113d003cd3efa8c53188764377a8272d9d6de</Application>
  <AppVersion>15.0000</AppVersion>
  <Pages>3</Pages>
  <Words>391</Words>
  <Characters>2233</Characters>
  <CharactersWithSpaces>2619</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2024-07-02T03:57:00Z</dcterms:created>
  <dc:creator>Komathi Kuppusamy (Integra)</dc:creator>
  <dc:description/>
  <dc:language>en-IN</dc:language>
  <cp:lastModifiedBy/>
  <dcterms:modified xsi:type="dcterms:W3CDTF">2024-07-18T20:54:35Z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