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0935E" w14:textId="68B27355" w:rsidR="003E5D01" w:rsidRPr="0053113F" w:rsidRDefault="003E5D01" w:rsidP="003D095B">
      <w:pPr>
        <w:rPr>
          <w:b/>
          <w:bCs/>
          <w:sz w:val="20"/>
          <w:szCs w:val="20"/>
        </w:rPr>
      </w:pPr>
      <w:r w:rsidRPr="0053113F">
        <w:rPr>
          <w:b/>
          <w:bCs/>
          <w:sz w:val="20"/>
          <w:szCs w:val="20"/>
        </w:rPr>
        <w:t>Supplementary information</w:t>
      </w:r>
    </w:p>
    <w:p w14:paraId="20FF65F6" w14:textId="77777777" w:rsidR="003E5D01" w:rsidRPr="0053113F" w:rsidRDefault="003E5D01" w:rsidP="003D095B">
      <w:pPr>
        <w:rPr>
          <w:b/>
          <w:bCs/>
          <w:sz w:val="20"/>
          <w:szCs w:val="20"/>
        </w:rPr>
      </w:pPr>
    </w:p>
    <w:p w14:paraId="12A0E892" w14:textId="118D6A49" w:rsidR="00DA2D93" w:rsidRDefault="0053113F" w:rsidP="0053113F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</w:t>
      </w:r>
      <w:r w:rsidRPr="0053113F">
        <w:rPr>
          <w:b/>
          <w:bCs/>
          <w:sz w:val="20"/>
          <w:szCs w:val="20"/>
        </w:rPr>
        <w:t>igure S1</w:t>
      </w:r>
      <w:r w:rsidRPr="0053113F">
        <w:rPr>
          <w:sz w:val="20"/>
          <w:szCs w:val="20"/>
        </w:rPr>
        <w:t xml:space="preserve"> WGCNA. </w:t>
      </w:r>
      <w:r w:rsidRPr="0053113F">
        <w:rPr>
          <w:b/>
          <w:bCs/>
          <w:sz w:val="20"/>
          <w:szCs w:val="20"/>
        </w:rPr>
        <w:t>A-</w:t>
      </w:r>
      <w:r w:rsidRPr="0053113F">
        <w:rPr>
          <w:rFonts w:hint="eastAsia"/>
          <w:b/>
          <w:bCs/>
          <w:sz w:val="20"/>
          <w:szCs w:val="20"/>
        </w:rPr>
        <w:t>D</w:t>
      </w:r>
      <w:r w:rsidRPr="0053113F">
        <w:rPr>
          <w:sz w:val="20"/>
          <w:szCs w:val="20"/>
        </w:rPr>
        <w:t xml:space="preserve"> β=4 (scale-free R</w:t>
      </w:r>
      <w:r w:rsidRPr="0053113F">
        <w:rPr>
          <w:sz w:val="20"/>
          <w:szCs w:val="20"/>
          <w:vertAlign w:val="superscript"/>
        </w:rPr>
        <w:t>2</w:t>
      </w:r>
      <w:r w:rsidRPr="0053113F">
        <w:rPr>
          <w:sz w:val="20"/>
          <w:szCs w:val="20"/>
        </w:rPr>
        <w:t xml:space="preserve">=0.89) as the optimal soft threshold to construct a scale-free network. </w:t>
      </w:r>
      <w:r w:rsidRPr="0053113F">
        <w:rPr>
          <w:rFonts w:hint="eastAsia"/>
          <w:b/>
          <w:bCs/>
          <w:sz w:val="20"/>
          <w:szCs w:val="20"/>
        </w:rPr>
        <w:t>E</w:t>
      </w:r>
      <w:r w:rsidRPr="0053113F">
        <w:rPr>
          <w:sz w:val="20"/>
          <w:szCs w:val="20"/>
        </w:rPr>
        <w:t xml:space="preserve"> Heatmap show the correlation of 13 fusing modules. </w:t>
      </w:r>
      <w:r w:rsidRPr="0053113F">
        <w:rPr>
          <w:b/>
          <w:bCs/>
          <w:sz w:val="20"/>
          <w:szCs w:val="20"/>
        </w:rPr>
        <w:t>F</w:t>
      </w:r>
      <w:r w:rsidRPr="0053113F">
        <w:rPr>
          <w:sz w:val="20"/>
          <w:szCs w:val="20"/>
        </w:rPr>
        <w:t xml:space="preserve"> Sample dendrogram and trait heatmap. </w:t>
      </w:r>
      <w:r w:rsidRPr="0053113F">
        <w:rPr>
          <w:b/>
          <w:bCs/>
          <w:sz w:val="20"/>
          <w:szCs w:val="20"/>
        </w:rPr>
        <w:t>G</w:t>
      </w:r>
      <w:r w:rsidRPr="0053113F">
        <w:rPr>
          <w:sz w:val="20"/>
          <w:szCs w:val="20"/>
        </w:rPr>
        <w:t xml:space="preserve"> Protein-protein interaction network of ten Hub genes. </w:t>
      </w:r>
      <w:r w:rsidRPr="0053113F">
        <w:rPr>
          <w:b/>
          <w:bCs/>
          <w:sz w:val="20"/>
          <w:szCs w:val="20"/>
        </w:rPr>
        <w:t>H</w:t>
      </w:r>
      <w:r w:rsidRPr="0053113F">
        <w:rPr>
          <w:sz w:val="20"/>
          <w:szCs w:val="20"/>
        </w:rPr>
        <w:t xml:space="preserve"> Kaplan-Meier survival analysis for OS of </w:t>
      </w:r>
      <w:r w:rsidRPr="0053113F">
        <w:rPr>
          <w:rFonts w:hint="eastAsia"/>
          <w:sz w:val="20"/>
          <w:szCs w:val="20"/>
        </w:rPr>
        <w:t>low</w:t>
      </w:r>
      <w:r w:rsidRPr="0053113F">
        <w:rPr>
          <w:sz w:val="20"/>
          <w:szCs w:val="20"/>
        </w:rPr>
        <w:t>- and high-</w:t>
      </w:r>
      <w:r w:rsidR="00DA2D93">
        <w:rPr>
          <w:rFonts w:hint="eastAsia"/>
          <w:sz w:val="20"/>
          <w:szCs w:val="20"/>
        </w:rPr>
        <w:t>10</w:t>
      </w:r>
      <w:r w:rsidR="002D290F">
        <w:rPr>
          <w:sz w:val="20"/>
          <w:szCs w:val="20"/>
        </w:rPr>
        <w:t xml:space="preserve"> </w:t>
      </w:r>
      <w:r w:rsidRPr="0053113F">
        <w:rPr>
          <w:sz w:val="20"/>
          <w:szCs w:val="20"/>
        </w:rPr>
        <w:t>genes</w:t>
      </w:r>
      <w:r w:rsidRPr="0053113F">
        <w:rPr>
          <w:rFonts w:hint="eastAsia"/>
          <w:sz w:val="20"/>
          <w:szCs w:val="20"/>
        </w:rPr>
        <w:t xml:space="preserve"> </w:t>
      </w:r>
      <w:r w:rsidR="00DA2D93">
        <w:rPr>
          <w:rFonts w:hint="eastAsia"/>
          <w:sz w:val="20"/>
          <w:szCs w:val="20"/>
        </w:rPr>
        <w:t xml:space="preserve">signature </w:t>
      </w:r>
      <w:r w:rsidRPr="0053113F">
        <w:rPr>
          <w:sz w:val="20"/>
          <w:szCs w:val="20"/>
        </w:rPr>
        <w:t xml:space="preserve">group in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sz w:val="20"/>
          <w:szCs w:val="20"/>
        </w:rPr>
        <w:t xml:space="preserve"> of LUAD patients.</w:t>
      </w:r>
    </w:p>
    <w:p w14:paraId="2CDFB841" w14:textId="1DFD4CED" w:rsidR="00DA2D93" w:rsidRPr="0053113F" w:rsidRDefault="00DA2D93" w:rsidP="00DA2D93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Figure</w:t>
      </w:r>
      <w:r w:rsidRPr="0053113F">
        <w:rPr>
          <w:b/>
          <w:bCs/>
          <w:sz w:val="20"/>
          <w:szCs w:val="20"/>
        </w:rPr>
        <w:t xml:space="preserve"> </w:t>
      </w:r>
      <w:r w:rsidRPr="0053113F">
        <w:rPr>
          <w:rFonts w:hint="eastAsia"/>
          <w:b/>
          <w:bCs/>
          <w:sz w:val="20"/>
          <w:szCs w:val="20"/>
        </w:rPr>
        <w:t>S</w:t>
      </w:r>
      <w:r>
        <w:rPr>
          <w:rFonts w:hint="eastAsia"/>
          <w:b/>
          <w:bCs/>
          <w:sz w:val="20"/>
          <w:szCs w:val="20"/>
        </w:rPr>
        <w:t>2</w:t>
      </w:r>
      <w:r w:rsidRPr="0053113F">
        <w:rPr>
          <w:sz w:val="20"/>
          <w:szCs w:val="20"/>
        </w:rPr>
        <w:t xml:space="preserve"> I</w:t>
      </w:r>
      <w:r w:rsidRPr="0053113F">
        <w:rPr>
          <w:rFonts w:hint="eastAsia"/>
          <w:sz w:val="20"/>
          <w:szCs w:val="20"/>
        </w:rPr>
        <w:t>mm</w:t>
      </w:r>
      <w:r w:rsidRPr="0053113F">
        <w:rPr>
          <w:sz w:val="20"/>
          <w:szCs w:val="20"/>
        </w:rPr>
        <w:t xml:space="preserve">une characteristics and immunotherapeutic responsiveness of GYMS in LUAD immunotherapy cohort (n = 27). </w:t>
      </w:r>
      <w:r w:rsidRPr="0053113F">
        <w:rPr>
          <w:b/>
          <w:bCs/>
          <w:sz w:val="20"/>
          <w:szCs w:val="20"/>
        </w:rPr>
        <w:t>A</w:t>
      </w:r>
      <w:r w:rsidRPr="0053113F">
        <w:rPr>
          <w:sz w:val="20"/>
          <w:szCs w:val="20"/>
        </w:rPr>
        <w:t xml:space="preserve"> Kaplan-Meier survival analysis for PFS of </w:t>
      </w:r>
      <w:r w:rsidRPr="0053113F">
        <w:rPr>
          <w:rFonts w:hint="eastAsia"/>
          <w:sz w:val="20"/>
          <w:szCs w:val="20"/>
        </w:rPr>
        <w:t>low</w:t>
      </w:r>
      <w:r w:rsidRPr="0053113F">
        <w:rPr>
          <w:sz w:val="20"/>
          <w:szCs w:val="20"/>
        </w:rPr>
        <w:t xml:space="preserve">- and high-GYMS group in LUAD. </w:t>
      </w:r>
      <w:r w:rsidRPr="0053113F">
        <w:rPr>
          <w:b/>
          <w:bCs/>
          <w:sz w:val="20"/>
          <w:szCs w:val="20"/>
        </w:rPr>
        <w:t>B</w:t>
      </w:r>
      <w:r w:rsidRPr="0053113F">
        <w:rPr>
          <w:sz w:val="20"/>
          <w:szCs w:val="20"/>
        </w:rPr>
        <w:t xml:space="preserve"> Comparison of the proportion of the durable clinical benefits (DCB) and no clinical benefits (NCB) between low- and high-GYMS. </w:t>
      </w:r>
      <w:r w:rsidRPr="0053113F">
        <w:rPr>
          <w:b/>
          <w:bCs/>
          <w:sz w:val="20"/>
          <w:szCs w:val="20"/>
        </w:rPr>
        <w:t>C</w:t>
      </w:r>
      <w:r w:rsidRPr="0053113F">
        <w:rPr>
          <w:sz w:val="20"/>
          <w:szCs w:val="20"/>
        </w:rPr>
        <w:t xml:space="preserve"> Bar plot shows the count of DCB and NCB between low- and high-GYMS. </w:t>
      </w:r>
      <w:r w:rsidRPr="0053113F">
        <w:rPr>
          <w:b/>
          <w:bCs/>
          <w:sz w:val="20"/>
          <w:szCs w:val="20"/>
        </w:rPr>
        <w:t>D</w:t>
      </w:r>
      <w:r w:rsidRPr="0053113F">
        <w:rPr>
          <w:rFonts w:hint="eastAsia"/>
          <w:sz w:val="20"/>
          <w:szCs w:val="20"/>
        </w:rPr>
        <w:t xml:space="preserve"> Heatmap</w:t>
      </w:r>
      <w:r w:rsidRPr="0053113F">
        <w:rPr>
          <w:sz w:val="20"/>
          <w:szCs w:val="20"/>
        </w:rPr>
        <w:t xml:space="preserve"> shows the </w:t>
      </w:r>
      <w:r w:rsidRPr="0053113F">
        <w:rPr>
          <w:rFonts w:hint="eastAsia"/>
          <w:sz w:val="20"/>
          <w:szCs w:val="20"/>
        </w:rPr>
        <w:t>expression</w:t>
      </w:r>
      <w:r w:rsidRPr="0053113F">
        <w:rPr>
          <w:sz w:val="20"/>
          <w:szCs w:val="20"/>
        </w:rPr>
        <w:t xml:space="preserve"> </w:t>
      </w:r>
      <w:r w:rsidRPr="0053113F">
        <w:rPr>
          <w:rFonts w:hint="eastAsia"/>
          <w:sz w:val="20"/>
          <w:szCs w:val="20"/>
        </w:rPr>
        <w:t>in</w:t>
      </w:r>
      <w:r w:rsidRPr="0053113F">
        <w:rPr>
          <w:sz w:val="20"/>
          <w:szCs w:val="20"/>
        </w:rPr>
        <w:t xml:space="preserve"> immunomodulators (MHC I, MHC II, co-stimulators, chemokines, and receptors) between </w:t>
      </w:r>
      <w:r w:rsidRPr="0053113F">
        <w:rPr>
          <w:rFonts w:hint="eastAsia"/>
          <w:sz w:val="20"/>
          <w:szCs w:val="20"/>
        </w:rPr>
        <w:t>low</w:t>
      </w:r>
      <w:r w:rsidRPr="0053113F">
        <w:rPr>
          <w:sz w:val="20"/>
          <w:szCs w:val="20"/>
        </w:rPr>
        <w:t xml:space="preserve">- and high-GYMS. </w:t>
      </w:r>
      <w:r w:rsidRPr="0053113F">
        <w:rPr>
          <w:b/>
          <w:bCs/>
          <w:sz w:val="20"/>
          <w:szCs w:val="20"/>
        </w:rPr>
        <w:t>E</w:t>
      </w:r>
      <w:r w:rsidRPr="0053113F">
        <w:rPr>
          <w:sz w:val="20"/>
          <w:szCs w:val="20"/>
        </w:rPr>
        <w:t xml:space="preserve"> Heatmap shows the spearman’s correlation between GYMS and </w:t>
      </w:r>
      <w:r w:rsidRPr="0053113F">
        <w:rPr>
          <w:rFonts w:hint="eastAsia"/>
          <w:sz w:val="20"/>
          <w:szCs w:val="20"/>
        </w:rPr>
        <w:t>ESTIMATE</w:t>
      </w:r>
      <w:r w:rsidRPr="0053113F">
        <w:rPr>
          <w:sz w:val="20"/>
          <w:szCs w:val="20"/>
        </w:rPr>
        <w:t xml:space="preserve"> </w:t>
      </w:r>
      <w:r w:rsidRPr="0053113F">
        <w:rPr>
          <w:rFonts w:hint="eastAsia"/>
          <w:sz w:val="20"/>
          <w:szCs w:val="20"/>
        </w:rPr>
        <w:t>score</w:t>
      </w:r>
      <w:r w:rsidRPr="0053113F">
        <w:rPr>
          <w:sz w:val="20"/>
          <w:szCs w:val="20"/>
        </w:rPr>
        <w:t xml:space="preserve">. </w:t>
      </w:r>
      <w:r w:rsidRPr="0053113F">
        <w:rPr>
          <w:b/>
          <w:bCs/>
          <w:sz w:val="20"/>
          <w:szCs w:val="20"/>
        </w:rPr>
        <w:t>F</w:t>
      </w:r>
      <w:r w:rsidRPr="0053113F">
        <w:rPr>
          <w:sz w:val="20"/>
          <w:szCs w:val="20"/>
        </w:rPr>
        <w:t xml:space="preserve"> Heatmap shows the spearman’s correlation between GYMS and co-inhibitors. </w:t>
      </w:r>
      <w:r w:rsidRPr="0053113F">
        <w:rPr>
          <w:b/>
          <w:bCs/>
          <w:sz w:val="20"/>
          <w:szCs w:val="20"/>
        </w:rPr>
        <w:t>G</w:t>
      </w:r>
      <w:r w:rsidRPr="0053113F">
        <w:rPr>
          <w:sz w:val="20"/>
          <w:szCs w:val="20"/>
        </w:rPr>
        <w:t xml:space="preserve"> Correlation between GYMS and 10 immune cells. </w:t>
      </w:r>
      <w:r w:rsidRPr="0053113F">
        <w:rPr>
          <w:b/>
          <w:bCs/>
          <w:sz w:val="20"/>
          <w:szCs w:val="20"/>
        </w:rPr>
        <w:t>H</w:t>
      </w:r>
      <w:r w:rsidRPr="0053113F">
        <w:rPr>
          <w:sz w:val="20"/>
          <w:szCs w:val="20"/>
        </w:rPr>
        <w:t xml:space="preserve"> Bar plot shows the correlation between GYMS and TIDE score. </w:t>
      </w:r>
      <w:r w:rsidRPr="0053113F">
        <w:rPr>
          <w:b/>
          <w:bCs/>
          <w:sz w:val="20"/>
          <w:szCs w:val="20"/>
        </w:rPr>
        <w:t>I</w:t>
      </w:r>
      <w:r w:rsidRPr="0053113F">
        <w:rPr>
          <w:sz w:val="20"/>
          <w:szCs w:val="20"/>
        </w:rPr>
        <w:t xml:space="preserve"> Scatter plot </w:t>
      </w:r>
      <w:r w:rsidRPr="0053113F">
        <w:rPr>
          <w:rFonts w:hint="eastAsia"/>
          <w:sz w:val="20"/>
          <w:szCs w:val="20"/>
        </w:rPr>
        <w:t>show</w:t>
      </w:r>
      <w:r w:rsidRPr="0053113F">
        <w:rPr>
          <w:sz w:val="20"/>
          <w:szCs w:val="20"/>
        </w:rPr>
        <w:t xml:space="preserve">s the correlation between GYMS and T-cell inflamed score. </w:t>
      </w:r>
      <w:r w:rsidRPr="0053113F">
        <w:rPr>
          <w:b/>
          <w:bCs/>
          <w:sz w:val="20"/>
          <w:szCs w:val="20"/>
        </w:rPr>
        <w:t>J</w:t>
      </w:r>
      <w:r w:rsidRPr="0053113F">
        <w:rPr>
          <w:sz w:val="20"/>
          <w:szCs w:val="20"/>
        </w:rPr>
        <w:t xml:space="preserve"> Comparison of the proportion of the responder between low- and high-GYMS.</w:t>
      </w:r>
    </w:p>
    <w:p w14:paraId="762C0374" w14:textId="6851DE86" w:rsidR="00DA2D93" w:rsidRDefault="00DA2D93" w:rsidP="00DA2D93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Figure</w:t>
      </w:r>
      <w:r w:rsidRPr="0053113F">
        <w:rPr>
          <w:b/>
          <w:bCs/>
          <w:sz w:val="20"/>
          <w:szCs w:val="20"/>
        </w:rPr>
        <w:t xml:space="preserve"> </w:t>
      </w:r>
      <w:r w:rsidRPr="0053113F">
        <w:rPr>
          <w:rFonts w:hint="eastAsia"/>
          <w:b/>
          <w:bCs/>
          <w:sz w:val="20"/>
          <w:szCs w:val="20"/>
        </w:rPr>
        <w:t>S</w:t>
      </w:r>
      <w:r>
        <w:rPr>
          <w:rFonts w:hint="eastAsia"/>
          <w:b/>
          <w:bCs/>
          <w:sz w:val="20"/>
          <w:szCs w:val="20"/>
        </w:rPr>
        <w:t>3</w:t>
      </w:r>
      <w:r w:rsidRPr="0053113F">
        <w:rPr>
          <w:sz w:val="20"/>
          <w:szCs w:val="20"/>
        </w:rPr>
        <w:t xml:space="preserve"> I</w:t>
      </w:r>
      <w:r w:rsidRPr="0053113F">
        <w:rPr>
          <w:rFonts w:hint="eastAsia"/>
          <w:sz w:val="20"/>
          <w:szCs w:val="20"/>
        </w:rPr>
        <w:t>mm</w:t>
      </w:r>
      <w:r w:rsidRPr="0053113F">
        <w:rPr>
          <w:sz w:val="20"/>
          <w:szCs w:val="20"/>
        </w:rPr>
        <w:t xml:space="preserve">une characteristics and immunotherapeutic responsiveness of GYMS in TCGA-LUAD cohort. </w:t>
      </w:r>
      <w:r w:rsidRPr="0053113F">
        <w:rPr>
          <w:b/>
          <w:bCs/>
          <w:sz w:val="20"/>
          <w:szCs w:val="20"/>
        </w:rPr>
        <w:t>A</w:t>
      </w:r>
      <w:r w:rsidRPr="0053113F">
        <w:rPr>
          <w:sz w:val="20"/>
          <w:szCs w:val="20"/>
        </w:rPr>
        <w:t xml:space="preserve"> Kaplan-Meier survival analysis for OS of </w:t>
      </w:r>
      <w:r w:rsidRPr="0053113F">
        <w:rPr>
          <w:rFonts w:hint="eastAsia"/>
          <w:sz w:val="20"/>
          <w:szCs w:val="20"/>
        </w:rPr>
        <w:t>low</w:t>
      </w:r>
      <w:r w:rsidRPr="0053113F">
        <w:rPr>
          <w:sz w:val="20"/>
          <w:szCs w:val="20"/>
        </w:rPr>
        <w:t xml:space="preserve">- and high-GYMS group in LUAD. </w:t>
      </w:r>
      <w:r w:rsidRPr="0053113F">
        <w:rPr>
          <w:b/>
          <w:bCs/>
          <w:sz w:val="20"/>
          <w:szCs w:val="20"/>
        </w:rPr>
        <w:t>B</w:t>
      </w:r>
      <w:r w:rsidRPr="0053113F">
        <w:rPr>
          <w:sz w:val="20"/>
          <w:szCs w:val="20"/>
        </w:rPr>
        <w:t xml:space="preserve"> Heatmap shows the spearman’s correlation between GYMS and </w:t>
      </w:r>
      <w:r w:rsidRPr="0053113F">
        <w:rPr>
          <w:rFonts w:hint="eastAsia"/>
          <w:sz w:val="20"/>
          <w:szCs w:val="20"/>
        </w:rPr>
        <w:t>ESTIMATE</w:t>
      </w:r>
      <w:r w:rsidRPr="0053113F">
        <w:rPr>
          <w:sz w:val="20"/>
          <w:szCs w:val="20"/>
        </w:rPr>
        <w:t xml:space="preserve"> </w:t>
      </w:r>
      <w:r w:rsidRPr="0053113F">
        <w:rPr>
          <w:rFonts w:hint="eastAsia"/>
          <w:sz w:val="20"/>
          <w:szCs w:val="20"/>
        </w:rPr>
        <w:t>score</w:t>
      </w:r>
      <w:r w:rsidRPr="0053113F">
        <w:rPr>
          <w:sz w:val="20"/>
          <w:szCs w:val="20"/>
        </w:rPr>
        <w:t xml:space="preserve">. </w:t>
      </w:r>
      <w:r w:rsidRPr="0053113F">
        <w:rPr>
          <w:b/>
          <w:bCs/>
          <w:sz w:val="20"/>
          <w:szCs w:val="20"/>
        </w:rPr>
        <w:t>C</w:t>
      </w:r>
      <w:r w:rsidRPr="0053113F">
        <w:rPr>
          <w:sz w:val="20"/>
          <w:szCs w:val="20"/>
        </w:rPr>
        <w:t xml:space="preserve"> Heatmap shows the spearman’s correlation between GYMS and co-inhibitors. </w:t>
      </w:r>
      <w:r w:rsidRPr="0053113F">
        <w:rPr>
          <w:b/>
          <w:bCs/>
          <w:sz w:val="20"/>
          <w:szCs w:val="20"/>
        </w:rPr>
        <w:t>D</w:t>
      </w:r>
      <w:r w:rsidRPr="0053113F">
        <w:rPr>
          <w:sz w:val="20"/>
          <w:szCs w:val="20"/>
        </w:rPr>
        <w:t xml:space="preserve"> </w:t>
      </w:r>
      <w:r w:rsidRPr="0053113F">
        <w:rPr>
          <w:rFonts w:hint="eastAsia"/>
          <w:sz w:val="20"/>
          <w:szCs w:val="20"/>
        </w:rPr>
        <w:t>Heatmap</w:t>
      </w:r>
      <w:r w:rsidRPr="0053113F">
        <w:rPr>
          <w:sz w:val="20"/>
          <w:szCs w:val="20"/>
        </w:rPr>
        <w:t xml:space="preserve"> shows the </w:t>
      </w:r>
      <w:r w:rsidRPr="0053113F">
        <w:rPr>
          <w:rFonts w:hint="eastAsia"/>
          <w:sz w:val="20"/>
          <w:szCs w:val="20"/>
        </w:rPr>
        <w:t>expression</w:t>
      </w:r>
      <w:r w:rsidRPr="0053113F">
        <w:rPr>
          <w:sz w:val="20"/>
          <w:szCs w:val="20"/>
        </w:rPr>
        <w:t xml:space="preserve"> </w:t>
      </w:r>
      <w:r w:rsidRPr="0053113F">
        <w:rPr>
          <w:rFonts w:hint="eastAsia"/>
          <w:sz w:val="20"/>
          <w:szCs w:val="20"/>
        </w:rPr>
        <w:t>in</w:t>
      </w:r>
      <w:r w:rsidRPr="0053113F">
        <w:rPr>
          <w:sz w:val="20"/>
          <w:szCs w:val="20"/>
        </w:rPr>
        <w:t xml:space="preserve"> immunomodulators (MHC I, MHC II, co-stimulators, chemokines, and receptors) between </w:t>
      </w:r>
      <w:r w:rsidRPr="0053113F">
        <w:rPr>
          <w:rFonts w:hint="eastAsia"/>
          <w:sz w:val="20"/>
          <w:szCs w:val="20"/>
        </w:rPr>
        <w:t>low</w:t>
      </w:r>
      <w:r w:rsidRPr="0053113F">
        <w:rPr>
          <w:sz w:val="20"/>
          <w:szCs w:val="20"/>
        </w:rPr>
        <w:t xml:space="preserve">- and high-GYMS. </w:t>
      </w:r>
      <w:r w:rsidRPr="0053113F">
        <w:rPr>
          <w:b/>
          <w:bCs/>
          <w:sz w:val="20"/>
          <w:szCs w:val="20"/>
        </w:rPr>
        <w:t xml:space="preserve">E </w:t>
      </w:r>
      <w:r w:rsidRPr="0053113F">
        <w:rPr>
          <w:sz w:val="20"/>
          <w:szCs w:val="20"/>
        </w:rPr>
        <w:t xml:space="preserve">Correlation between GYMS and 10 immune cells. </w:t>
      </w:r>
      <w:r w:rsidRPr="0053113F">
        <w:rPr>
          <w:b/>
          <w:bCs/>
          <w:sz w:val="20"/>
          <w:szCs w:val="20"/>
        </w:rPr>
        <w:t>F</w:t>
      </w:r>
      <w:r w:rsidRPr="0053113F">
        <w:rPr>
          <w:sz w:val="20"/>
          <w:szCs w:val="20"/>
        </w:rPr>
        <w:t xml:space="preserve"> Scatter plot </w:t>
      </w:r>
      <w:r w:rsidRPr="0053113F">
        <w:rPr>
          <w:rFonts w:hint="eastAsia"/>
          <w:sz w:val="20"/>
          <w:szCs w:val="20"/>
        </w:rPr>
        <w:t>show</w:t>
      </w:r>
      <w:r w:rsidRPr="0053113F">
        <w:rPr>
          <w:sz w:val="20"/>
          <w:szCs w:val="20"/>
        </w:rPr>
        <w:t xml:space="preserve">s the correlation between GYMS and T-cell inflamed score. </w:t>
      </w:r>
      <w:r w:rsidRPr="0053113F">
        <w:rPr>
          <w:b/>
          <w:bCs/>
          <w:sz w:val="20"/>
          <w:szCs w:val="20"/>
        </w:rPr>
        <w:t>G</w:t>
      </w:r>
      <w:r w:rsidRPr="0053113F">
        <w:rPr>
          <w:sz w:val="20"/>
          <w:szCs w:val="20"/>
        </w:rPr>
        <w:t xml:space="preserve"> Bar plot shows the correlation between GYMS and TIDE score. </w:t>
      </w:r>
      <w:r w:rsidRPr="0053113F">
        <w:rPr>
          <w:b/>
          <w:bCs/>
          <w:sz w:val="20"/>
          <w:szCs w:val="20"/>
        </w:rPr>
        <w:t>H</w:t>
      </w:r>
      <w:r w:rsidRPr="0053113F">
        <w:rPr>
          <w:sz w:val="20"/>
          <w:szCs w:val="20"/>
        </w:rPr>
        <w:t xml:space="preserve"> Comparison of the proportion of the responder between low- and high-GYMS. </w:t>
      </w:r>
      <w:r w:rsidRPr="0053113F">
        <w:rPr>
          <w:b/>
          <w:bCs/>
          <w:sz w:val="20"/>
          <w:szCs w:val="20"/>
        </w:rPr>
        <w:t>I</w:t>
      </w:r>
      <w:r w:rsidRPr="0053113F">
        <w:rPr>
          <w:sz w:val="20"/>
          <w:szCs w:val="20"/>
        </w:rPr>
        <w:t xml:space="preserve"> Immunotherapeutic responses to anti-CTLA-4 and -PD-1 treatments in low- and high-GYMS patients.</w:t>
      </w:r>
    </w:p>
    <w:p w14:paraId="3BDDA6F2" w14:textId="10CABC4A" w:rsidR="00DA2D93" w:rsidRPr="00DA2D93" w:rsidRDefault="00DA2D93" w:rsidP="00DA2D93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Figure</w:t>
      </w:r>
      <w:r w:rsidRPr="0053113F">
        <w:rPr>
          <w:b/>
          <w:bCs/>
          <w:sz w:val="20"/>
          <w:szCs w:val="20"/>
        </w:rPr>
        <w:t xml:space="preserve"> </w:t>
      </w:r>
      <w:r w:rsidRPr="0053113F">
        <w:rPr>
          <w:rFonts w:hint="eastAsia"/>
          <w:b/>
          <w:bCs/>
          <w:sz w:val="20"/>
          <w:szCs w:val="20"/>
        </w:rPr>
        <w:t>S</w:t>
      </w:r>
      <w:r>
        <w:rPr>
          <w:rFonts w:hint="eastAsia"/>
          <w:b/>
          <w:bCs/>
          <w:sz w:val="20"/>
          <w:szCs w:val="20"/>
        </w:rPr>
        <w:t xml:space="preserve">4 </w:t>
      </w:r>
      <w:r w:rsidRPr="00E4703D">
        <w:rPr>
          <w:color w:val="auto"/>
          <w:sz w:val="22"/>
          <w:szCs w:val="22"/>
        </w:rPr>
        <w:t>the correlation between GYMS and</w:t>
      </w:r>
      <w:r>
        <w:rPr>
          <w:rFonts w:hint="eastAsia"/>
          <w:color w:val="auto"/>
          <w:sz w:val="22"/>
          <w:szCs w:val="22"/>
        </w:rPr>
        <w:t xml:space="preserve"> </w:t>
      </w:r>
      <w:r w:rsidRPr="00E4703D">
        <w:rPr>
          <w:color w:val="auto"/>
          <w:sz w:val="22"/>
          <w:szCs w:val="22"/>
        </w:rPr>
        <w:t>age</w:t>
      </w:r>
      <w:r>
        <w:rPr>
          <w:rFonts w:hint="eastAsia"/>
          <w:color w:val="auto"/>
          <w:sz w:val="22"/>
          <w:szCs w:val="22"/>
        </w:rPr>
        <w:t xml:space="preserve"> (A)</w:t>
      </w:r>
      <w:r w:rsidRPr="00E4703D">
        <w:rPr>
          <w:color w:val="auto"/>
          <w:sz w:val="22"/>
          <w:szCs w:val="22"/>
        </w:rPr>
        <w:t xml:space="preserve">, </w:t>
      </w:r>
      <w:r>
        <w:rPr>
          <w:rFonts w:hint="eastAsia"/>
          <w:color w:val="auto"/>
          <w:sz w:val="22"/>
          <w:szCs w:val="22"/>
        </w:rPr>
        <w:t>sex (B)</w:t>
      </w:r>
      <w:r w:rsidRPr="00E4703D">
        <w:rPr>
          <w:color w:val="auto"/>
          <w:sz w:val="22"/>
          <w:szCs w:val="22"/>
        </w:rPr>
        <w:t>, smoking status</w:t>
      </w:r>
      <w:r>
        <w:rPr>
          <w:rFonts w:hint="eastAsia"/>
          <w:color w:val="auto"/>
          <w:sz w:val="22"/>
          <w:szCs w:val="22"/>
        </w:rPr>
        <w:t xml:space="preserve"> (C)</w:t>
      </w:r>
      <w:r w:rsidRPr="00E4703D">
        <w:rPr>
          <w:color w:val="auto"/>
          <w:sz w:val="22"/>
          <w:szCs w:val="22"/>
        </w:rPr>
        <w:t>, and molecular mutations</w:t>
      </w:r>
      <w:r>
        <w:rPr>
          <w:rFonts w:hint="eastAsia"/>
          <w:color w:val="auto"/>
          <w:sz w:val="22"/>
          <w:szCs w:val="22"/>
        </w:rPr>
        <w:t xml:space="preserve"> (D).</w:t>
      </w:r>
    </w:p>
    <w:p w14:paraId="6F90FD1F" w14:textId="3F97FC53" w:rsidR="00DA0F77" w:rsidRPr="0053113F" w:rsidRDefault="00DA0F77" w:rsidP="00DA0F77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Figure</w:t>
      </w:r>
      <w:r w:rsidRPr="0053113F">
        <w:rPr>
          <w:b/>
          <w:bCs/>
          <w:sz w:val="20"/>
          <w:szCs w:val="20"/>
        </w:rPr>
        <w:t xml:space="preserve"> </w:t>
      </w:r>
      <w:r w:rsidRPr="0053113F">
        <w:rPr>
          <w:rFonts w:hint="eastAsia"/>
          <w:b/>
          <w:bCs/>
          <w:sz w:val="20"/>
          <w:szCs w:val="20"/>
        </w:rPr>
        <w:t>S</w:t>
      </w:r>
      <w:r>
        <w:rPr>
          <w:rFonts w:hint="eastAsia"/>
          <w:b/>
          <w:bCs/>
          <w:sz w:val="20"/>
          <w:szCs w:val="20"/>
        </w:rPr>
        <w:t xml:space="preserve">5 </w:t>
      </w:r>
      <w:r w:rsidRPr="0053113F">
        <w:rPr>
          <w:sz w:val="20"/>
          <w:szCs w:val="20"/>
        </w:rPr>
        <w:t>The functional difference between low- and high-GYMS groups. Gene set enrichment analysis (GSEA) for analyzing GO(</w:t>
      </w:r>
      <w:r w:rsidRPr="0053113F">
        <w:rPr>
          <w:b/>
          <w:bCs/>
          <w:sz w:val="20"/>
          <w:szCs w:val="20"/>
        </w:rPr>
        <w:t>A</w:t>
      </w:r>
      <w:r w:rsidRPr="0053113F">
        <w:rPr>
          <w:sz w:val="20"/>
          <w:szCs w:val="20"/>
        </w:rPr>
        <w:t>), KEGG (</w:t>
      </w:r>
      <w:r w:rsidRPr="0053113F">
        <w:rPr>
          <w:b/>
          <w:bCs/>
          <w:sz w:val="20"/>
          <w:szCs w:val="20"/>
        </w:rPr>
        <w:t>B</w:t>
      </w:r>
      <w:r w:rsidRPr="0053113F">
        <w:rPr>
          <w:sz w:val="20"/>
          <w:szCs w:val="20"/>
        </w:rPr>
        <w:t>), and hallmark(</w:t>
      </w:r>
      <w:r w:rsidRPr="0053113F">
        <w:rPr>
          <w:b/>
          <w:bCs/>
          <w:sz w:val="20"/>
          <w:szCs w:val="20"/>
        </w:rPr>
        <w:t>C</w:t>
      </w:r>
      <w:r w:rsidRPr="0053113F">
        <w:rPr>
          <w:sz w:val="20"/>
          <w:szCs w:val="20"/>
        </w:rPr>
        <w:t>) between low- and high-GYMS groups.</w:t>
      </w:r>
    </w:p>
    <w:p w14:paraId="435DAE60" w14:textId="71B0BD0F" w:rsidR="00DA2D93" w:rsidRPr="00DA0F77" w:rsidRDefault="00DA0F77" w:rsidP="00DA2D93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Figure</w:t>
      </w:r>
      <w:r w:rsidRPr="0053113F">
        <w:rPr>
          <w:b/>
          <w:bCs/>
          <w:sz w:val="20"/>
          <w:szCs w:val="20"/>
        </w:rPr>
        <w:t xml:space="preserve"> </w:t>
      </w:r>
      <w:r w:rsidRPr="0053113F">
        <w:rPr>
          <w:rFonts w:hint="eastAsia"/>
          <w:b/>
          <w:bCs/>
          <w:sz w:val="20"/>
          <w:szCs w:val="20"/>
        </w:rPr>
        <w:t>S</w:t>
      </w:r>
      <w:r>
        <w:rPr>
          <w:rFonts w:hint="eastAsia"/>
          <w:b/>
          <w:bCs/>
          <w:sz w:val="20"/>
          <w:szCs w:val="20"/>
        </w:rPr>
        <w:t>6</w:t>
      </w:r>
      <w:r w:rsidRPr="0053113F">
        <w:rPr>
          <w:sz w:val="20"/>
          <w:szCs w:val="20"/>
        </w:rPr>
        <w:t xml:space="preserve"> The difference </w:t>
      </w:r>
      <w:r w:rsidRPr="0053113F">
        <w:rPr>
          <w:rFonts w:hint="eastAsia"/>
          <w:sz w:val="20"/>
          <w:szCs w:val="20"/>
        </w:rPr>
        <w:t>of</w:t>
      </w:r>
      <w:r w:rsidRPr="0053113F">
        <w:rPr>
          <w:sz w:val="20"/>
          <w:szCs w:val="20"/>
        </w:rPr>
        <w:t xml:space="preserve"> immunomodulator between low- and high-GYMS groups. </w:t>
      </w:r>
      <w:r w:rsidRPr="0053113F">
        <w:rPr>
          <w:rFonts w:hint="eastAsia"/>
          <w:sz w:val="20"/>
          <w:szCs w:val="20"/>
        </w:rPr>
        <w:t>Com</w:t>
      </w:r>
      <w:r w:rsidRPr="0053113F">
        <w:rPr>
          <w:sz w:val="20"/>
          <w:szCs w:val="20"/>
        </w:rPr>
        <w:t>parison of the expression of Chemokine (</w:t>
      </w:r>
      <w:r w:rsidRPr="0053113F">
        <w:rPr>
          <w:b/>
          <w:bCs/>
          <w:sz w:val="20"/>
          <w:szCs w:val="20"/>
        </w:rPr>
        <w:t>A</w:t>
      </w:r>
      <w:r w:rsidRPr="0053113F">
        <w:rPr>
          <w:sz w:val="20"/>
          <w:szCs w:val="20"/>
        </w:rPr>
        <w:t>), Co-inhibitor (</w:t>
      </w:r>
      <w:r w:rsidRPr="0053113F">
        <w:rPr>
          <w:b/>
          <w:bCs/>
          <w:sz w:val="20"/>
          <w:szCs w:val="20"/>
        </w:rPr>
        <w:t>B</w:t>
      </w:r>
      <w:r w:rsidRPr="0053113F">
        <w:rPr>
          <w:sz w:val="20"/>
          <w:szCs w:val="20"/>
        </w:rPr>
        <w:t>), Co-stimulator (</w:t>
      </w:r>
      <w:r w:rsidRPr="0053113F">
        <w:rPr>
          <w:b/>
          <w:bCs/>
          <w:sz w:val="20"/>
          <w:szCs w:val="20"/>
        </w:rPr>
        <w:t>C</w:t>
      </w:r>
      <w:r w:rsidRPr="0053113F">
        <w:rPr>
          <w:sz w:val="20"/>
          <w:szCs w:val="20"/>
        </w:rPr>
        <w:t>), and MHC (D) between low- and high-GYMS groups.</w:t>
      </w:r>
    </w:p>
    <w:p w14:paraId="42575EE1" w14:textId="2451CFB4" w:rsidR="00DA2D93" w:rsidRPr="0053113F" w:rsidRDefault="00DA2D93" w:rsidP="0053113F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Figure</w:t>
      </w:r>
      <w:r w:rsidRPr="0053113F">
        <w:rPr>
          <w:b/>
          <w:bCs/>
          <w:sz w:val="20"/>
          <w:szCs w:val="20"/>
        </w:rPr>
        <w:t xml:space="preserve"> </w:t>
      </w:r>
      <w:r w:rsidRPr="0053113F">
        <w:rPr>
          <w:rFonts w:hint="eastAsia"/>
          <w:b/>
          <w:bCs/>
          <w:sz w:val="20"/>
          <w:szCs w:val="20"/>
        </w:rPr>
        <w:t>S</w:t>
      </w:r>
      <w:r w:rsidR="00DA0F77">
        <w:rPr>
          <w:rFonts w:hint="eastAsia"/>
          <w:b/>
          <w:bCs/>
          <w:sz w:val="20"/>
          <w:szCs w:val="20"/>
        </w:rPr>
        <w:t>7</w:t>
      </w:r>
      <w:r w:rsidRPr="0053113F">
        <w:rPr>
          <w:sz w:val="20"/>
          <w:szCs w:val="20"/>
        </w:rPr>
        <w:t xml:space="preserve"> The infiltration level of astrocyte and microglia in LUAD </w:t>
      </w:r>
      <w:proofErr w:type="spellStart"/>
      <w:r w:rsidRPr="0053113F">
        <w:rPr>
          <w:sz w:val="20"/>
          <w:szCs w:val="20"/>
        </w:rPr>
        <w:t>B</w:t>
      </w:r>
      <w:r w:rsidRPr="0053113F">
        <w:rPr>
          <w:rFonts w:hint="eastAsia"/>
          <w:sz w:val="20"/>
          <w:szCs w:val="20"/>
        </w:rPr>
        <w:t>r</w:t>
      </w:r>
      <w:r w:rsidRPr="0053113F">
        <w:rPr>
          <w:sz w:val="20"/>
          <w:szCs w:val="20"/>
        </w:rPr>
        <w:t>Ms</w:t>
      </w:r>
      <w:proofErr w:type="spellEnd"/>
      <w:r w:rsidRPr="0053113F">
        <w:rPr>
          <w:sz w:val="20"/>
          <w:szCs w:val="20"/>
        </w:rPr>
        <w:t xml:space="preserve">. </w:t>
      </w:r>
      <w:r w:rsidRPr="0053113F">
        <w:rPr>
          <w:b/>
          <w:bCs/>
          <w:sz w:val="20"/>
          <w:szCs w:val="20"/>
        </w:rPr>
        <w:t xml:space="preserve">A </w:t>
      </w:r>
      <w:r w:rsidRPr="0053113F">
        <w:rPr>
          <w:sz w:val="20"/>
          <w:szCs w:val="20"/>
        </w:rPr>
        <w:t xml:space="preserve">Heatmap of differential expression of astrocyte, mature astrocyte, reactive astrocyte, and microglia signature genes between low- and high-GYMS group. </w:t>
      </w:r>
      <w:r w:rsidRPr="0053113F">
        <w:rPr>
          <w:b/>
          <w:bCs/>
          <w:sz w:val="20"/>
          <w:szCs w:val="20"/>
        </w:rPr>
        <w:t xml:space="preserve">B </w:t>
      </w:r>
      <w:r w:rsidRPr="0053113F">
        <w:rPr>
          <w:sz w:val="20"/>
          <w:szCs w:val="20"/>
        </w:rPr>
        <w:t>Comparison of the infiltration of the astrocyte, mature astrocyte, reactive astrocyte, and microglia between low- and high-GYMS.</w:t>
      </w:r>
    </w:p>
    <w:p w14:paraId="695AE8E4" w14:textId="38E8C568" w:rsidR="0053113F" w:rsidRPr="0053113F" w:rsidRDefault="0053113F" w:rsidP="0053113F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Figure</w:t>
      </w:r>
      <w:r w:rsidRPr="0053113F">
        <w:rPr>
          <w:b/>
          <w:bCs/>
          <w:sz w:val="20"/>
          <w:szCs w:val="20"/>
        </w:rPr>
        <w:t xml:space="preserve"> </w:t>
      </w:r>
      <w:r w:rsidRPr="0053113F">
        <w:rPr>
          <w:rFonts w:hint="eastAsia"/>
          <w:b/>
          <w:bCs/>
          <w:sz w:val="20"/>
          <w:szCs w:val="20"/>
        </w:rPr>
        <w:t>S</w:t>
      </w:r>
      <w:r w:rsidR="00DA0F77">
        <w:rPr>
          <w:rFonts w:hint="eastAsia"/>
          <w:b/>
          <w:bCs/>
          <w:sz w:val="20"/>
          <w:szCs w:val="20"/>
        </w:rPr>
        <w:t>8</w:t>
      </w:r>
      <w:r w:rsidRPr="0053113F">
        <w:rPr>
          <w:sz w:val="20"/>
          <w:szCs w:val="20"/>
        </w:rPr>
        <w:t xml:space="preserve"> The GYMS in ICIs responsiveness in Pan-cancer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rFonts w:hint="eastAsia"/>
          <w:sz w:val="20"/>
          <w:szCs w:val="20"/>
        </w:rPr>
        <w:t>.</w:t>
      </w:r>
      <w:r w:rsidRPr="0053113F">
        <w:rPr>
          <w:sz w:val="20"/>
          <w:szCs w:val="20"/>
        </w:rPr>
        <w:t xml:space="preserve"> </w:t>
      </w:r>
      <w:r w:rsidRPr="0053113F">
        <w:rPr>
          <w:b/>
          <w:bCs/>
          <w:sz w:val="20"/>
          <w:szCs w:val="20"/>
        </w:rPr>
        <w:t>A</w:t>
      </w:r>
      <w:r w:rsidRPr="0053113F">
        <w:rPr>
          <w:sz w:val="20"/>
          <w:szCs w:val="20"/>
        </w:rPr>
        <w:t xml:space="preserve"> Scatter plot </w:t>
      </w:r>
      <w:r w:rsidRPr="0053113F">
        <w:rPr>
          <w:rFonts w:hint="eastAsia"/>
          <w:sz w:val="20"/>
          <w:szCs w:val="20"/>
        </w:rPr>
        <w:t>show</w:t>
      </w:r>
      <w:r w:rsidRPr="0053113F">
        <w:rPr>
          <w:sz w:val="20"/>
          <w:szCs w:val="20"/>
        </w:rPr>
        <w:t xml:space="preserve">s the correlation between GYMS and T-cell inflamed score in Melanoma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sz w:val="20"/>
          <w:szCs w:val="20"/>
        </w:rPr>
        <w:t xml:space="preserve">. </w:t>
      </w:r>
      <w:r w:rsidRPr="0053113F">
        <w:rPr>
          <w:b/>
          <w:bCs/>
          <w:sz w:val="20"/>
          <w:szCs w:val="20"/>
        </w:rPr>
        <w:t>B</w:t>
      </w:r>
      <w:r w:rsidRPr="0053113F">
        <w:rPr>
          <w:sz w:val="20"/>
          <w:szCs w:val="20"/>
        </w:rPr>
        <w:t xml:space="preserve"> Bar plot shows the correlation between GYMS and TIDE score in Melanoma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sz w:val="20"/>
          <w:szCs w:val="20"/>
        </w:rPr>
        <w:t xml:space="preserve">. </w:t>
      </w:r>
      <w:r w:rsidRPr="0053113F">
        <w:rPr>
          <w:b/>
          <w:bCs/>
          <w:sz w:val="20"/>
          <w:szCs w:val="20"/>
        </w:rPr>
        <w:t>C</w:t>
      </w:r>
      <w:r w:rsidRPr="0053113F">
        <w:rPr>
          <w:sz w:val="20"/>
          <w:szCs w:val="20"/>
        </w:rPr>
        <w:t xml:space="preserve"> Comparison of the TIDE value between low- and high-GYMS in Melanoma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sz w:val="20"/>
          <w:szCs w:val="20"/>
        </w:rPr>
        <w:t xml:space="preserve">. </w:t>
      </w:r>
      <w:r w:rsidRPr="0053113F">
        <w:rPr>
          <w:b/>
          <w:bCs/>
          <w:sz w:val="20"/>
          <w:szCs w:val="20"/>
        </w:rPr>
        <w:t>D</w:t>
      </w:r>
      <w:r w:rsidRPr="0053113F">
        <w:rPr>
          <w:sz w:val="20"/>
          <w:szCs w:val="20"/>
        </w:rPr>
        <w:t xml:space="preserve"> Immunotherapeutic responses to anti-CTLA-4 and -PD-1 treatments in low- and high-GYMS patients in Melanoma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sz w:val="20"/>
          <w:szCs w:val="20"/>
        </w:rPr>
        <w:t xml:space="preserve">. </w:t>
      </w:r>
      <w:r w:rsidRPr="0053113F">
        <w:rPr>
          <w:rFonts w:hint="eastAsia"/>
          <w:b/>
          <w:bCs/>
          <w:sz w:val="20"/>
          <w:szCs w:val="20"/>
        </w:rPr>
        <w:t>E</w:t>
      </w:r>
      <w:r w:rsidRPr="0053113F">
        <w:rPr>
          <w:sz w:val="20"/>
          <w:szCs w:val="20"/>
        </w:rPr>
        <w:t xml:space="preserve"> Scatter plot </w:t>
      </w:r>
      <w:r w:rsidRPr="0053113F">
        <w:rPr>
          <w:rFonts w:hint="eastAsia"/>
          <w:sz w:val="20"/>
          <w:szCs w:val="20"/>
        </w:rPr>
        <w:t>show</w:t>
      </w:r>
      <w:r w:rsidRPr="0053113F">
        <w:rPr>
          <w:sz w:val="20"/>
          <w:szCs w:val="20"/>
        </w:rPr>
        <w:t xml:space="preserve">s the correlation between GYMS and T-cell inflamed score in Breast cancer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sz w:val="20"/>
          <w:szCs w:val="20"/>
        </w:rPr>
        <w:t xml:space="preserve">. </w:t>
      </w:r>
      <w:r w:rsidRPr="0053113F">
        <w:rPr>
          <w:b/>
          <w:bCs/>
          <w:sz w:val="20"/>
          <w:szCs w:val="20"/>
        </w:rPr>
        <w:t>F</w:t>
      </w:r>
      <w:r w:rsidRPr="0053113F">
        <w:rPr>
          <w:sz w:val="20"/>
          <w:szCs w:val="20"/>
        </w:rPr>
        <w:t xml:space="preserve"> Bar plot shows the correlation between GYMS and TIDE score in Breast cancer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sz w:val="20"/>
          <w:szCs w:val="20"/>
        </w:rPr>
        <w:t xml:space="preserve">. </w:t>
      </w:r>
      <w:r w:rsidRPr="0053113F">
        <w:rPr>
          <w:b/>
          <w:bCs/>
          <w:sz w:val="20"/>
          <w:szCs w:val="20"/>
        </w:rPr>
        <w:t>G</w:t>
      </w:r>
      <w:r w:rsidRPr="0053113F">
        <w:rPr>
          <w:sz w:val="20"/>
          <w:szCs w:val="20"/>
        </w:rPr>
        <w:t xml:space="preserve"> Comparison of the TIDE value between low- and high-GYMS in </w:t>
      </w:r>
      <w:r w:rsidRPr="0053113F">
        <w:rPr>
          <w:sz w:val="20"/>
          <w:szCs w:val="20"/>
        </w:rPr>
        <w:lastRenderedPageBreak/>
        <w:t xml:space="preserve">Breast cancer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sz w:val="20"/>
          <w:szCs w:val="20"/>
        </w:rPr>
        <w:t xml:space="preserve">. </w:t>
      </w:r>
      <w:r w:rsidRPr="0053113F">
        <w:rPr>
          <w:b/>
          <w:bCs/>
          <w:sz w:val="20"/>
          <w:szCs w:val="20"/>
        </w:rPr>
        <w:t>H</w:t>
      </w:r>
      <w:r w:rsidRPr="0053113F">
        <w:rPr>
          <w:sz w:val="20"/>
          <w:szCs w:val="20"/>
        </w:rPr>
        <w:t xml:space="preserve"> Immunotherapeutic responses to anti-CTLA-4 and -PD-1 treatments in low- and high-GYMS patients in Breast cancer </w:t>
      </w:r>
      <w:proofErr w:type="spellStart"/>
      <w:r w:rsidRPr="0053113F">
        <w:rPr>
          <w:sz w:val="20"/>
          <w:szCs w:val="20"/>
        </w:rPr>
        <w:t>BrMs</w:t>
      </w:r>
      <w:proofErr w:type="spellEnd"/>
      <w:r w:rsidRPr="0053113F">
        <w:rPr>
          <w:sz w:val="20"/>
          <w:szCs w:val="20"/>
        </w:rPr>
        <w:t>.</w:t>
      </w:r>
    </w:p>
    <w:p w14:paraId="72BC11E0" w14:textId="2CF64A2A" w:rsidR="0053113F" w:rsidRPr="0053113F" w:rsidRDefault="0053113F" w:rsidP="0053113F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Figure</w:t>
      </w:r>
      <w:r w:rsidRPr="0053113F">
        <w:rPr>
          <w:b/>
          <w:bCs/>
          <w:sz w:val="20"/>
          <w:szCs w:val="20"/>
        </w:rPr>
        <w:t xml:space="preserve"> </w:t>
      </w:r>
      <w:r w:rsidRPr="0053113F">
        <w:rPr>
          <w:rFonts w:hint="eastAsia"/>
          <w:b/>
          <w:bCs/>
          <w:sz w:val="20"/>
          <w:szCs w:val="20"/>
        </w:rPr>
        <w:t>S</w:t>
      </w:r>
      <w:r w:rsidR="00DA0F77">
        <w:rPr>
          <w:rFonts w:hint="eastAsia"/>
          <w:b/>
          <w:bCs/>
          <w:sz w:val="20"/>
          <w:szCs w:val="20"/>
        </w:rPr>
        <w:t>9</w:t>
      </w:r>
      <w:r w:rsidRPr="0053113F">
        <w:rPr>
          <w:sz w:val="20"/>
          <w:szCs w:val="20"/>
        </w:rPr>
        <w:t xml:space="preserve"> The </w:t>
      </w:r>
      <w:r w:rsidR="002D290F" w:rsidRPr="0053113F">
        <w:rPr>
          <w:sz w:val="20"/>
          <w:szCs w:val="20"/>
        </w:rPr>
        <w:t>verification</w:t>
      </w:r>
      <w:r w:rsidRPr="0053113F">
        <w:rPr>
          <w:sz w:val="20"/>
          <w:szCs w:val="20"/>
        </w:rPr>
        <w:t xml:space="preserve"> of the GYMS-related prognostic signature in an immunotherapy cohort of LUAD (n = 27). </w:t>
      </w:r>
      <w:r w:rsidRPr="0053113F">
        <w:rPr>
          <w:b/>
          <w:bCs/>
          <w:sz w:val="20"/>
          <w:szCs w:val="20"/>
        </w:rPr>
        <w:t>A</w:t>
      </w:r>
      <w:r w:rsidRPr="0053113F">
        <w:rPr>
          <w:sz w:val="20"/>
          <w:szCs w:val="20"/>
        </w:rPr>
        <w:t xml:space="preserve"> Kaplan-Meier survival analysis for PFS of </w:t>
      </w:r>
      <w:r w:rsidRPr="0053113F">
        <w:rPr>
          <w:rFonts w:hint="eastAsia"/>
          <w:sz w:val="20"/>
          <w:szCs w:val="20"/>
        </w:rPr>
        <w:t>low</w:t>
      </w:r>
      <w:r w:rsidRPr="0053113F">
        <w:rPr>
          <w:sz w:val="20"/>
          <w:szCs w:val="20"/>
        </w:rPr>
        <w:t xml:space="preserve">- and high-risk group in LUAD. </w:t>
      </w:r>
      <w:r w:rsidRPr="0053113F">
        <w:rPr>
          <w:b/>
          <w:bCs/>
          <w:sz w:val="20"/>
          <w:szCs w:val="20"/>
        </w:rPr>
        <w:t>B</w:t>
      </w:r>
      <w:r w:rsidRPr="0053113F">
        <w:rPr>
          <w:sz w:val="20"/>
          <w:szCs w:val="20"/>
        </w:rPr>
        <w:t xml:space="preserve"> </w:t>
      </w:r>
      <w:r w:rsidRPr="0053113F">
        <w:rPr>
          <w:rFonts w:hint="eastAsia"/>
          <w:sz w:val="20"/>
          <w:szCs w:val="20"/>
        </w:rPr>
        <w:t>Time</w:t>
      </w:r>
      <w:r w:rsidRPr="0053113F">
        <w:rPr>
          <w:sz w:val="20"/>
          <w:szCs w:val="20"/>
        </w:rPr>
        <w:t xml:space="preserve"> dependent ROC curve of the signature for predicting 4-,8-,12-month PFS in LUAD. </w:t>
      </w:r>
      <w:r w:rsidRPr="0053113F">
        <w:rPr>
          <w:b/>
          <w:bCs/>
          <w:sz w:val="20"/>
          <w:szCs w:val="20"/>
        </w:rPr>
        <w:t>CD</w:t>
      </w:r>
      <w:r w:rsidRPr="0053113F">
        <w:rPr>
          <w:sz w:val="20"/>
          <w:szCs w:val="20"/>
        </w:rPr>
        <w:t xml:space="preserve"> Forest plot of the signature in univariate and multivariate cox analysis.</w:t>
      </w:r>
    </w:p>
    <w:p w14:paraId="3C01830E" w14:textId="0A8FDCB7" w:rsidR="003D095B" w:rsidRPr="0053113F" w:rsidRDefault="0053113F">
      <w:pPr>
        <w:rPr>
          <w:sz w:val="20"/>
          <w:szCs w:val="20"/>
        </w:rPr>
      </w:pPr>
      <w:r w:rsidRPr="0053113F">
        <w:rPr>
          <w:rFonts w:hint="eastAsia"/>
          <w:b/>
          <w:bCs/>
          <w:sz w:val="20"/>
          <w:szCs w:val="20"/>
        </w:rPr>
        <w:t>Figure</w:t>
      </w:r>
      <w:r w:rsidRPr="0053113F">
        <w:rPr>
          <w:b/>
          <w:bCs/>
          <w:sz w:val="20"/>
          <w:szCs w:val="20"/>
        </w:rPr>
        <w:t xml:space="preserve"> </w:t>
      </w:r>
      <w:r w:rsidRPr="0053113F">
        <w:rPr>
          <w:rFonts w:hint="eastAsia"/>
          <w:b/>
          <w:bCs/>
          <w:sz w:val="20"/>
          <w:szCs w:val="20"/>
        </w:rPr>
        <w:t>S</w:t>
      </w:r>
      <w:r w:rsidR="00DA0F77">
        <w:rPr>
          <w:rFonts w:hint="eastAsia"/>
          <w:b/>
          <w:bCs/>
          <w:sz w:val="20"/>
          <w:szCs w:val="20"/>
        </w:rPr>
        <w:t>10</w:t>
      </w:r>
      <w:r w:rsidRPr="0053113F">
        <w:rPr>
          <w:sz w:val="20"/>
          <w:szCs w:val="20"/>
        </w:rPr>
        <w:t xml:space="preserve"> The </w:t>
      </w:r>
      <w:r w:rsidR="002D290F" w:rsidRPr="0053113F">
        <w:rPr>
          <w:sz w:val="20"/>
          <w:szCs w:val="20"/>
        </w:rPr>
        <w:t>verification</w:t>
      </w:r>
      <w:r w:rsidRPr="0053113F">
        <w:rPr>
          <w:sz w:val="20"/>
          <w:szCs w:val="20"/>
        </w:rPr>
        <w:t xml:space="preserve"> of the GYMS-related prognostic signature in TCGA-cohort </w:t>
      </w:r>
      <w:r w:rsidRPr="0053113F">
        <w:rPr>
          <w:b/>
          <w:bCs/>
          <w:sz w:val="20"/>
          <w:szCs w:val="20"/>
        </w:rPr>
        <w:t>A</w:t>
      </w:r>
      <w:r w:rsidRPr="0053113F">
        <w:rPr>
          <w:sz w:val="20"/>
          <w:szCs w:val="20"/>
        </w:rPr>
        <w:t xml:space="preserve"> Kaplan-Meier survival analysis for OS of </w:t>
      </w:r>
      <w:r w:rsidRPr="0053113F">
        <w:rPr>
          <w:rFonts w:hint="eastAsia"/>
          <w:sz w:val="20"/>
          <w:szCs w:val="20"/>
        </w:rPr>
        <w:t>low</w:t>
      </w:r>
      <w:r w:rsidRPr="0053113F">
        <w:rPr>
          <w:sz w:val="20"/>
          <w:szCs w:val="20"/>
        </w:rPr>
        <w:t xml:space="preserve">- and high-risk group in LUAD. </w:t>
      </w:r>
      <w:r w:rsidRPr="0053113F">
        <w:rPr>
          <w:b/>
          <w:bCs/>
          <w:sz w:val="20"/>
          <w:szCs w:val="20"/>
        </w:rPr>
        <w:t>B</w:t>
      </w:r>
      <w:r w:rsidRPr="0053113F">
        <w:rPr>
          <w:sz w:val="20"/>
          <w:szCs w:val="20"/>
        </w:rPr>
        <w:t xml:space="preserve"> </w:t>
      </w:r>
      <w:r w:rsidRPr="0053113F">
        <w:rPr>
          <w:rFonts w:hint="eastAsia"/>
          <w:sz w:val="20"/>
          <w:szCs w:val="20"/>
        </w:rPr>
        <w:t>Time</w:t>
      </w:r>
      <w:r w:rsidRPr="0053113F">
        <w:rPr>
          <w:sz w:val="20"/>
          <w:szCs w:val="20"/>
        </w:rPr>
        <w:t xml:space="preserve"> dependent ROC curve of the signature for predicting 1-,3-,5-year OS in LUAD. </w:t>
      </w:r>
      <w:r w:rsidRPr="0053113F">
        <w:rPr>
          <w:b/>
          <w:bCs/>
          <w:sz w:val="20"/>
          <w:szCs w:val="20"/>
        </w:rPr>
        <w:t>CD</w:t>
      </w:r>
      <w:r w:rsidRPr="0053113F">
        <w:rPr>
          <w:sz w:val="20"/>
          <w:szCs w:val="20"/>
        </w:rPr>
        <w:t xml:space="preserve"> Forest plot of the signature in univariate and multivariate cox analysis.</w:t>
      </w:r>
    </w:p>
    <w:p w14:paraId="1D7D5C35" w14:textId="77777777" w:rsidR="00351C45" w:rsidRPr="00BC7A48" w:rsidRDefault="00351C45">
      <w:pPr>
        <w:rPr>
          <w:rFonts w:hint="eastAsia"/>
          <w:sz w:val="20"/>
          <w:szCs w:val="20"/>
        </w:rPr>
      </w:pPr>
    </w:p>
    <w:p w14:paraId="09A5F63D" w14:textId="11A11BD5" w:rsidR="003E5D01" w:rsidRPr="0053113F" w:rsidRDefault="003E5D01">
      <w:pPr>
        <w:rPr>
          <w:sz w:val="20"/>
          <w:szCs w:val="20"/>
        </w:rPr>
      </w:pPr>
      <w:r w:rsidRPr="0053113F">
        <w:rPr>
          <w:b/>
          <w:bCs/>
          <w:sz w:val="20"/>
          <w:szCs w:val="20"/>
        </w:rPr>
        <w:t>Supplementary Table 1.</w:t>
      </w:r>
      <w:r w:rsidRPr="0053113F">
        <w:rPr>
          <w:sz w:val="20"/>
          <w:szCs w:val="20"/>
        </w:rPr>
        <w:t xml:space="preserve"> Demographics information of the </w:t>
      </w:r>
      <w:proofErr w:type="spellStart"/>
      <w:r w:rsidRPr="0053113F">
        <w:rPr>
          <w:sz w:val="20"/>
          <w:szCs w:val="20"/>
        </w:rPr>
        <w:t>Xiangya</w:t>
      </w:r>
      <w:proofErr w:type="spellEnd"/>
      <w:r w:rsidRPr="0053113F">
        <w:rPr>
          <w:sz w:val="20"/>
          <w:szCs w:val="20"/>
        </w:rPr>
        <w:t xml:space="preserve"> cohort.</w:t>
      </w:r>
    </w:p>
    <w:p w14:paraId="3F6CEE96" w14:textId="6E00C48B" w:rsidR="003E5D01" w:rsidRPr="0053113F" w:rsidRDefault="003E5D01">
      <w:pPr>
        <w:rPr>
          <w:sz w:val="20"/>
          <w:szCs w:val="20"/>
        </w:rPr>
      </w:pPr>
      <w:r w:rsidRPr="0053113F">
        <w:rPr>
          <w:b/>
          <w:bCs/>
          <w:sz w:val="20"/>
          <w:szCs w:val="20"/>
        </w:rPr>
        <w:t>Supplementary Table 2.</w:t>
      </w:r>
      <w:r w:rsidRPr="0053113F">
        <w:rPr>
          <w:sz w:val="20"/>
          <w:szCs w:val="20"/>
        </w:rPr>
        <w:t xml:space="preserve"> Gene list of </w:t>
      </w:r>
      <w:proofErr w:type="spellStart"/>
      <w:r w:rsidRPr="0053113F">
        <w:rPr>
          <w:sz w:val="20"/>
          <w:szCs w:val="20"/>
        </w:rPr>
        <w:t>greenyellow</w:t>
      </w:r>
      <w:proofErr w:type="spellEnd"/>
      <w:r w:rsidRPr="0053113F">
        <w:rPr>
          <w:sz w:val="20"/>
          <w:szCs w:val="20"/>
        </w:rPr>
        <w:t xml:space="preserve"> module.</w:t>
      </w:r>
    </w:p>
    <w:p w14:paraId="7D28AD21" w14:textId="372464DC" w:rsidR="003E5D01" w:rsidRDefault="003E5D01">
      <w:pPr>
        <w:rPr>
          <w:sz w:val="20"/>
          <w:szCs w:val="20"/>
        </w:rPr>
      </w:pPr>
      <w:r w:rsidRPr="0053113F">
        <w:rPr>
          <w:b/>
          <w:bCs/>
          <w:sz w:val="20"/>
          <w:szCs w:val="20"/>
        </w:rPr>
        <w:t>Supplementary Table 3.</w:t>
      </w:r>
      <w:r w:rsidRPr="0053113F">
        <w:rPr>
          <w:sz w:val="20"/>
          <w:szCs w:val="20"/>
        </w:rPr>
        <w:t xml:space="preserve"> immunohistochemical evaluation.</w:t>
      </w:r>
    </w:p>
    <w:p w14:paraId="573380C2" w14:textId="4AAB27B3" w:rsidR="001D4198" w:rsidRPr="0053113F" w:rsidRDefault="001D4198">
      <w:pPr>
        <w:rPr>
          <w:sz w:val="20"/>
          <w:szCs w:val="20"/>
        </w:rPr>
      </w:pPr>
      <w:r w:rsidRPr="0053113F">
        <w:rPr>
          <w:b/>
          <w:bCs/>
          <w:sz w:val="20"/>
          <w:szCs w:val="20"/>
        </w:rPr>
        <w:t>Supplementary Table 4.</w:t>
      </w:r>
      <w:r w:rsidRPr="001D4198">
        <w:t xml:space="preserve"> </w:t>
      </w:r>
      <w:r w:rsidRPr="001D4198">
        <w:rPr>
          <w:sz w:val="20"/>
          <w:szCs w:val="20"/>
        </w:rPr>
        <w:t xml:space="preserve">The result of multiple comparison corrections in </w:t>
      </w:r>
      <w:proofErr w:type="spellStart"/>
      <w:r w:rsidRPr="001D4198">
        <w:rPr>
          <w:sz w:val="20"/>
          <w:szCs w:val="20"/>
        </w:rPr>
        <w:t>Xiangya</w:t>
      </w:r>
      <w:proofErr w:type="spellEnd"/>
      <w:r w:rsidRPr="001D4198">
        <w:rPr>
          <w:sz w:val="20"/>
          <w:szCs w:val="20"/>
        </w:rPr>
        <w:t xml:space="preserve"> cohort of </w:t>
      </w:r>
      <w:proofErr w:type="spellStart"/>
      <w:r w:rsidRPr="001D4198">
        <w:rPr>
          <w:sz w:val="20"/>
          <w:szCs w:val="20"/>
        </w:rPr>
        <w:t>BrMs</w:t>
      </w:r>
      <w:proofErr w:type="spellEnd"/>
      <w:r w:rsidRPr="001D4198">
        <w:rPr>
          <w:sz w:val="20"/>
          <w:szCs w:val="20"/>
        </w:rPr>
        <w:t>.</w:t>
      </w:r>
    </w:p>
    <w:p w14:paraId="41A77A68" w14:textId="7293E293" w:rsidR="00C5743C" w:rsidRPr="0053113F" w:rsidRDefault="003E5D01">
      <w:pPr>
        <w:rPr>
          <w:sz w:val="20"/>
          <w:szCs w:val="20"/>
        </w:rPr>
      </w:pPr>
      <w:r w:rsidRPr="0053113F">
        <w:rPr>
          <w:b/>
          <w:bCs/>
          <w:sz w:val="20"/>
          <w:szCs w:val="20"/>
        </w:rPr>
        <w:t xml:space="preserve">Supplementary Table </w:t>
      </w:r>
      <w:r w:rsidR="001D4198">
        <w:rPr>
          <w:b/>
          <w:bCs/>
          <w:sz w:val="20"/>
          <w:szCs w:val="20"/>
        </w:rPr>
        <w:t>5</w:t>
      </w:r>
      <w:r w:rsidRPr="0053113F">
        <w:rPr>
          <w:b/>
          <w:bCs/>
          <w:sz w:val="20"/>
          <w:szCs w:val="20"/>
        </w:rPr>
        <w:t>.</w:t>
      </w:r>
      <w:r w:rsidRPr="0053113F">
        <w:rPr>
          <w:sz w:val="20"/>
          <w:szCs w:val="20"/>
        </w:rPr>
        <w:t xml:space="preserve"> </w:t>
      </w:r>
      <w:r w:rsidR="00C5743C" w:rsidRPr="0053113F">
        <w:rPr>
          <w:sz w:val="20"/>
          <w:szCs w:val="20"/>
        </w:rPr>
        <w:t>the GSEA analysis in high-GYMS vs. low-GYMS.</w:t>
      </w:r>
    </w:p>
    <w:p w14:paraId="631C4570" w14:textId="6A629A20" w:rsidR="00C5743C" w:rsidRPr="0053113F" w:rsidRDefault="003E5D01" w:rsidP="00C5743C">
      <w:pPr>
        <w:rPr>
          <w:sz w:val="20"/>
          <w:szCs w:val="20"/>
        </w:rPr>
      </w:pPr>
      <w:r w:rsidRPr="0053113F">
        <w:rPr>
          <w:b/>
          <w:bCs/>
          <w:sz w:val="20"/>
          <w:szCs w:val="20"/>
        </w:rPr>
        <w:t xml:space="preserve">Supplementary Table </w:t>
      </w:r>
      <w:r w:rsidR="001D4198">
        <w:rPr>
          <w:b/>
          <w:bCs/>
          <w:sz w:val="20"/>
          <w:szCs w:val="20"/>
        </w:rPr>
        <w:t>6</w:t>
      </w:r>
      <w:r w:rsidRPr="0053113F">
        <w:rPr>
          <w:b/>
          <w:bCs/>
          <w:sz w:val="20"/>
          <w:szCs w:val="20"/>
        </w:rPr>
        <w:t>.</w:t>
      </w:r>
      <w:r w:rsidRPr="0053113F">
        <w:rPr>
          <w:sz w:val="20"/>
          <w:szCs w:val="20"/>
        </w:rPr>
        <w:t xml:space="preserve"> </w:t>
      </w:r>
      <w:r w:rsidR="00C5743C" w:rsidRPr="0053113F">
        <w:rPr>
          <w:sz w:val="20"/>
          <w:szCs w:val="20"/>
        </w:rPr>
        <w:t xml:space="preserve">Differentially expressed genes between high-GYMS and low-GYMS </w:t>
      </w:r>
      <w:proofErr w:type="spellStart"/>
      <w:r w:rsidR="00C5743C" w:rsidRPr="0053113F">
        <w:rPr>
          <w:sz w:val="20"/>
          <w:szCs w:val="20"/>
        </w:rPr>
        <w:t>BrMs</w:t>
      </w:r>
      <w:proofErr w:type="spellEnd"/>
      <w:r w:rsidR="00C5743C" w:rsidRPr="0053113F">
        <w:rPr>
          <w:sz w:val="20"/>
          <w:szCs w:val="20"/>
        </w:rPr>
        <w:t>.</w:t>
      </w:r>
    </w:p>
    <w:p w14:paraId="432D2830" w14:textId="4AAA23F4" w:rsidR="00C5743C" w:rsidRPr="0053113F" w:rsidRDefault="003E5D01" w:rsidP="00C5743C">
      <w:pPr>
        <w:rPr>
          <w:sz w:val="20"/>
          <w:szCs w:val="20"/>
        </w:rPr>
      </w:pPr>
      <w:r w:rsidRPr="0053113F">
        <w:rPr>
          <w:b/>
          <w:bCs/>
          <w:sz w:val="20"/>
          <w:szCs w:val="20"/>
        </w:rPr>
        <w:t>Supplementary</w:t>
      </w:r>
      <w:r w:rsidR="002D290F">
        <w:rPr>
          <w:b/>
          <w:bCs/>
          <w:sz w:val="20"/>
          <w:szCs w:val="20"/>
        </w:rPr>
        <w:t xml:space="preserve"> </w:t>
      </w:r>
      <w:r w:rsidRPr="0053113F">
        <w:rPr>
          <w:b/>
          <w:bCs/>
          <w:sz w:val="20"/>
          <w:szCs w:val="20"/>
        </w:rPr>
        <w:t xml:space="preserve">Table </w:t>
      </w:r>
      <w:r w:rsidR="001D4198">
        <w:rPr>
          <w:b/>
          <w:bCs/>
          <w:sz w:val="20"/>
          <w:szCs w:val="20"/>
        </w:rPr>
        <w:t>7</w:t>
      </w:r>
      <w:r w:rsidRPr="0053113F">
        <w:rPr>
          <w:b/>
          <w:bCs/>
          <w:sz w:val="20"/>
          <w:szCs w:val="20"/>
        </w:rPr>
        <w:t>.</w:t>
      </w:r>
      <w:r w:rsidRPr="0053113F">
        <w:rPr>
          <w:sz w:val="20"/>
          <w:szCs w:val="20"/>
        </w:rPr>
        <w:t xml:space="preserve"> </w:t>
      </w:r>
      <w:r w:rsidR="00C5743C" w:rsidRPr="0053113F">
        <w:rPr>
          <w:sz w:val="20"/>
          <w:szCs w:val="20"/>
        </w:rPr>
        <w:t xml:space="preserve">the </w:t>
      </w:r>
      <w:r w:rsidR="00E6204C">
        <w:rPr>
          <w:rFonts w:hint="eastAsia"/>
          <w:sz w:val="20"/>
          <w:szCs w:val="20"/>
        </w:rPr>
        <w:t>4</w:t>
      </w:r>
      <w:r w:rsidR="00C5743C" w:rsidRPr="0053113F">
        <w:rPr>
          <w:sz w:val="20"/>
          <w:szCs w:val="20"/>
        </w:rPr>
        <w:t xml:space="preserve"> genes and coefficient were identified by LASSO Cox regression analysis</w:t>
      </w:r>
      <w:r w:rsidR="002D290F">
        <w:rPr>
          <w:rFonts w:hint="eastAsia"/>
          <w:sz w:val="20"/>
          <w:szCs w:val="20"/>
        </w:rPr>
        <w:t>.</w:t>
      </w:r>
    </w:p>
    <w:p w14:paraId="10E555EE" w14:textId="0A1A5EBD" w:rsidR="003E5D01" w:rsidRPr="00E6204C" w:rsidRDefault="003E5D01">
      <w:pPr>
        <w:rPr>
          <w:sz w:val="20"/>
          <w:szCs w:val="20"/>
        </w:rPr>
      </w:pPr>
    </w:p>
    <w:sectPr w:rsidR="003E5D01" w:rsidRPr="00E620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苹方-简">
    <w:altName w:val="微软雅黑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5B"/>
    <w:rsid w:val="0004631D"/>
    <w:rsid w:val="000921BB"/>
    <w:rsid w:val="00095CE3"/>
    <w:rsid w:val="000A3F84"/>
    <w:rsid w:val="000B1263"/>
    <w:rsid w:val="000C72B6"/>
    <w:rsid w:val="000E1607"/>
    <w:rsid w:val="000E55BD"/>
    <w:rsid w:val="000F7611"/>
    <w:rsid w:val="0011523B"/>
    <w:rsid w:val="001627B7"/>
    <w:rsid w:val="00167979"/>
    <w:rsid w:val="00191A0C"/>
    <w:rsid w:val="00191ADE"/>
    <w:rsid w:val="00191B58"/>
    <w:rsid w:val="001D1772"/>
    <w:rsid w:val="001D4198"/>
    <w:rsid w:val="001F37E7"/>
    <w:rsid w:val="00202CCB"/>
    <w:rsid w:val="00231D31"/>
    <w:rsid w:val="002630D0"/>
    <w:rsid w:val="00267DBC"/>
    <w:rsid w:val="00285A41"/>
    <w:rsid w:val="00287782"/>
    <w:rsid w:val="002A4C16"/>
    <w:rsid w:val="002D290F"/>
    <w:rsid w:val="002F0F37"/>
    <w:rsid w:val="00351C45"/>
    <w:rsid w:val="003611A6"/>
    <w:rsid w:val="00362961"/>
    <w:rsid w:val="00366603"/>
    <w:rsid w:val="00384AFD"/>
    <w:rsid w:val="00390AA1"/>
    <w:rsid w:val="00392B5F"/>
    <w:rsid w:val="003C2AEC"/>
    <w:rsid w:val="003D095B"/>
    <w:rsid w:val="003E5D01"/>
    <w:rsid w:val="003E5F14"/>
    <w:rsid w:val="004055C4"/>
    <w:rsid w:val="004227EE"/>
    <w:rsid w:val="00457084"/>
    <w:rsid w:val="00463EAE"/>
    <w:rsid w:val="00464DE9"/>
    <w:rsid w:val="00466F31"/>
    <w:rsid w:val="00474A5C"/>
    <w:rsid w:val="004A5123"/>
    <w:rsid w:val="004B0E6A"/>
    <w:rsid w:val="004F0A0F"/>
    <w:rsid w:val="00501721"/>
    <w:rsid w:val="00524C5B"/>
    <w:rsid w:val="0053113F"/>
    <w:rsid w:val="005345E0"/>
    <w:rsid w:val="00537EA4"/>
    <w:rsid w:val="00562E64"/>
    <w:rsid w:val="00565606"/>
    <w:rsid w:val="005A01C4"/>
    <w:rsid w:val="005A68D4"/>
    <w:rsid w:val="005B5D72"/>
    <w:rsid w:val="005C1FE5"/>
    <w:rsid w:val="00613EDA"/>
    <w:rsid w:val="00652D42"/>
    <w:rsid w:val="00671C3F"/>
    <w:rsid w:val="00691194"/>
    <w:rsid w:val="006D2C0D"/>
    <w:rsid w:val="006F7063"/>
    <w:rsid w:val="0071515A"/>
    <w:rsid w:val="007178CD"/>
    <w:rsid w:val="00736A8A"/>
    <w:rsid w:val="0077157D"/>
    <w:rsid w:val="00780793"/>
    <w:rsid w:val="0079329F"/>
    <w:rsid w:val="007A3168"/>
    <w:rsid w:val="007A55D6"/>
    <w:rsid w:val="007C6C88"/>
    <w:rsid w:val="007F74FB"/>
    <w:rsid w:val="008073BC"/>
    <w:rsid w:val="00820F91"/>
    <w:rsid w:val="00831310"/>
    <w:rsid w:val="008467CB"/>
    <w:rsid w:val="0087651D"/>
    <w:rsid w:val="00897257"/>
    <w:rsid w:val="008A3F19"/>
    <w:rsid w:val="008B4C2B"/>
    <w:rsid w:val="009064FA"/>
    <w:rsid w:val="0092186B"/>
    <w:rsid w:val="0095617D"/>
    <w:rsid w:val="00961862"/>
    <w:rsid w:val="00967CC0"/>
    <w:rsid w:val="009708A9"/>
    <w:rsid w:val="00984AA2"/>
    <w:rsid w:val="009A307D"/>
    <w:rsid w:val="009C0F1E"/>
    <w:rsid w:val="009D2E5F"/>
    <w:rsid w:val="009E1BFA"/>
    <w:rsid w:val="009E3BC0"/>
    <w:rsid w:val="00A23A82"/>
    <w:rsid w:val="00A36CC2"/>
    <w:rsid w:val="00A5208F"/>
    <w:rsid w:val="00A66E3A"/>
    <w:rsid w:val="00A968F8"/>
    <w:rsid w:val="00A972CA"/>
    <w:rsid w:val="00AC2B07"/>
    <w:rsid w:val="00AD1D99"/>
    <w:rsid w:val="00B11063"/>
    <w:rsid w:val="00B33B7A"/>
    <w:rsid w:val="00B42BF5"/>
    <w:rsid w:val="00B752D7"/>
    <w:rsid w:val="00B867CB"/>
    <w:rsid w:val="00BA3073"/>
    <w:rsid w:val="00BA4994"/>
    <w:rsid w:val="00BB37B6"/>
    <w:rsid w:val="00BB37D2"/>
    <w:rsid w:val="00BB4838"/>
    <w:rsid w:val="00BC7A48"/>
    <w:rsid w:val="00BE2EBB"/>
    <w:rsid w:val="00C067E6"/>
    <w:rsid w:val="00C10E37"/>
    <w:rsid w:val="00C24B59"/>
    <w:rsid w:val="00C47022"/>
    <w:rsid w:val="00C47F89"/>
    <w:rsid w:val="00C5743C"/>
    <w:rsid w:val="00C6306D"/>
    <w:rsid w:val="00C72A19"/>
    <w:rsid w:val="00C8336F"/>
    <w:rsid w:val="00C8534E"/>
    <w:rsid w:val="00CA10E4"/>
    <w:rsid w:val="00CA48F9"/>
    <w:rsid w:val="00CA6498"/>
    <w:rsid w:val="00CB68A9"/>
    <w:rsid w:val="00CD20F3"/>
    <w:rsid w:val="00CD70D4"/>
    <w:rsid w:val="00D338CD"/>
    <w:rsid w:val="00D96974"/>
    <w:rsid w:val="00DA0F77"/>
    <w:rsid w:val="00DA2D93"/>
    <w:rsid w:val="00DD0026"/>
    <w:rsid w:val="00DD205F"/>
    <w:rsid w:val="00DD7171"/>
    <w:rsid w:val="00DE0B4C"/>
    <w:rsid w:val="00E03F39"/>
    <w:rsid w:val="00E05DF3"/>
    <w:rsid w:val="00E6204C"/>
    <w:rsid w:val="00E64C9E"/>
    <w:rsid w:val="00E81157"/>
    <w:rsid w:val="00E92237"/>
    <w:rsid w:val="00E92798"/>
    <w:rsid w:val="00E93E06"/>
    <w:rsid w:val="00ED1AAA"/>
    <w:rsid w:val="00EE4F2D"/>
    <w:rsid w:val="00F30B23"/>
    <w:rsid w:val="00F32357"/>
    <w:rsid w:val="00F51468"/>
    <w:rsid w:val="00F6436D"/>
    <w:rsid w:val="00F714C6"/>
    <w:rsid w:val="00F757AC"/>
    <w:rsid w:val="00F94AFD"/>
    <w:rsid w:val="00FB114C"/>
    <w:rsid w:val="00FC16A6"/>
    <w:rsid w:val="00FD66BA"/>
    <w:rsid w:val="00FD7519"/>
    <w:rsid w:val="00FE61F6"/>
    <w:rsid w:val="00FF5A8D"/>
    <w:rsid w:val="00FF7803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282692"/>
  <w15:chartTrackingRefBased/>
  <w15:docId w15:val="{F16E4B3D-EB3F-DD42-96B3-FEBE61D6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苹方-简" w:hAnsi="Times New Roman" w:cs="Times New Roman"/>
        <w:color w:val="000000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6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8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9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2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4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10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13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54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9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4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43</TotalTime>
  <Pages>2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钢 肖</cp:lastModifiedBy>
  <cp:revision>19</cp:revision>
  <dcterms:created xsi:type="dcterms:W3CDTF">2022-11-06T08:26:00Z</dcterms:created>
  <dcterms:modified xsi:type="dcterms:W3CDTF">2024-08-06T15:32:00Z</dcterms:modified>
</cp:coreProperties>
</file>