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0F444D" w14:textId="3542A688" w:rsidR="00DF475E" w:rsidRPr="00DF475E" w:rsidRDefault="00DF475E" w:rsidP="00DF475E">
      <w:r w:rsidRPr="00DF475E">
        <w:drawing>
          <wp:inline distT="0" distB="0" distL="0" distR="0" wp14:anchorId="3689F881" wp14:editId="55531DFB">
            <wp:extent cx="5869940" cy="8229600"/>
            <wp:effectExtent l="0" t="0" r="0" b="0"/>
            <wp:docPr id="8181151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94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857A2" w14:textId="77777777" w:rsidR="00DF475E" w:rsidRPr="006A480F" w:rsidRDefault="00DF475E" w:rsidP="00DF475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A480F">
        <w:rPr>
          <w:rFonts w:ascii="Arial" w:hAnsi="Arial" w:cs="Arial"/>
          <w:b/>
          <w:color w:val="000000" w:themeColor="text1"/>
        </w:rPr>
        <w:lastRenderedPageBreak/>
        <w:t>Supplementary Figure 1.</w:t>
      </w:r>
      <w:r w:rsidRPr="006A480F">
        <w:rPr>
          <w:rFonts w:ascii="Arial" w:hAnsi="Arial" w:cs="Arial"/>
          <w:color w:val="000000" w:themeColor="text1"/>
        </w:rPr>
        <w:t xml:space="preserve"> Copy number and expression. A. Copy number plots derived from the Illumina array data showing the profiles of the patient-derived cell cultures and the primary </w:t>
      </w:r>
      <w:proofErr w:type="spellStart"/>
      <w:r w:rsidRPr="006A480F">
        <w:rPr>
          <w:rFonts w:ascii="Arial" w:hAnsi="Arial" w:cs="Arial"/>
          <w:color w:val="000000" w:themeColor="text1"/>
        </w:rPr>
        <w:t>tumour</w:t>
      </w:r>
      <w:proofErr w:type="spellEnd"/>
      <w:r w:rsidRPr="006A480F">
        <w:rPr>
          <w:rFonts w:ascii="Arial" w:hAnsi="Arial" w:cs="Arial"/>
          <w:color w:val="000000" w:themeColor="text1"/>
        </w:rPr>
        <w:t xml:space="preserve">. Gains/amplifications highlighted in red, losses/deletions highlighted in blue. B. Heatmap showing the RNA expression profiles of the ICR-CXJ074 cultures (highlighted in black) compared to other histone-mutant and wildtype models. C. Heatmap showing RNA sequencing expression data for the primary </w:t>
      </w:r>
      <w:proofErr w:type="spellStart"/>
      <w:r w:rsidRPr="006A480F">
        <w:rPr>
          <w:rFonts w:ascii="Arial" w:hAnsi="Arial" w:cs="Arial"/>
          <w:color w:val="000000" w:themeColor="text1"/>
        </w:rPr>
        <w:t>tumour</w:t>
      </w:r>
      <w:proofErr w:type="spellEnd"/>
      <w:r w:rsidRPr="006A480F">
        <w:rPr>
          <w:rFonts w:ascii="Arial" w:hAnsi="Arial" w:cs="Arial"/>
          <w:color w:val="000000" w:themeColor="text1"/>
        </w:rPr>
        <w:t xml:space="preserve"> compared to other histone-mutant and wild-type </w:t>
      </w:r>
      <w:proofErr w:type="spellStart"/>
      <w:r w:rsidRPr="006A480F">
        <w:rPr>
          <w:rFonts w:ascii="Arial" w:hAnsi="Arial" w:cs="Arial"/>
          <w:color w:val="000000" w:themeColor="text1"/>
        </w:rPr>
        <w:t>tumours</w:t>
      </w:r>
      <w:proofErr w:type="spellEnd"/>
      <w:r w:rsidRPr="006A480F">
        <w:rPr>
          <w:rFonts w:ascii="Arial" w:hAnsi="Arial" w:cs="Arial"/>
          <w:color w:val="000000" w:themeColor="text1"/>
        </w:rPr>
        <w:t xml:space="preserve">. ICR-CXJ074 is highlighted in black. </w:t>
      </w:r>
    </w:p>
    <w:p w14:paraId="4EE8AAAE" w14:textId="77777777" w:rsidR="00B863D3" w:rsidRDefault="00B863D3"/>
    <w:p w14:paraId="178F7BF0" w14:textId="77777777" w:rsidR="00DF475E" w:rsidRDefault="00DF475E"/>
    <w:p w14:paraId="217B8432" w14:textId="5949AC98" w:rsidR="00DF475E" w:rsidRPr="00DF475E" w:rsidRDefault="00DF475E" w:rsidP="00DF475E">
      <w:r w:rsidRPr="00DF475E">
        <w:lastRenderedPageBreak/>
        <w:drawing>
          <wp:inline distT="0" distB="0" distL="0" distR="0" wp14:anchorId="36CE400A" wp14:editId="39E9B1B4">
            <wp:extent cx="5788025" cy="8229600"/>
            <wp:effectExtent l="0" t="0" r="3175" b="0"/>
            <wp:docPr id="185870876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02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2B940" w14:textId="77777777" w:rsidR="00DF475E" w:rsidRPr="006A480F" w:rsidRDefault="00DF475E" w:rsidP="00DF475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A480F">
        <w:rPr>
          <w:rFonts w:ascii="Arial" w:hAnsi="Arial" w:cs="Arial"/>
          <w:b/>
          <w:color w:val="000000" w:themeColor="text1"/>
        </w:rPr>
        <w:lastRenderedPageBreak/>
        <w:t>Supplementary Figure 2.</w:t>
      </w:r>
      <w:r w:rsidRPr="006A480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A480F">
        <w:rPr>
          <w:rFonts w:ascii="Arial" w:hAnsi="Arial" w:cs="Arial"/>
          <w:color w:val="000000" w:themeColor="text1"/>
        </w:rPr>
        <w:t>ChIP</w:t>
      </w:r>
      <w:proofErr w:type="spellEnd"/>
      <w:r w:rsidRPr="006A480F">
        <w:rPr>
          <w:rFonts w:ascii="Arial" w:hAnsi="Arial" w:cs="Arial"/>
          <w:color w:val="000000" w:themeColor="text1"/>
        </w:rPr>
        <w:t xml:space="preserve">-Seq results. A. Gene level H3K27ac and H3K27me3 loci highlighting profiles for genes DLX5 and </w:t>
      </w:r>
      <w:r w:rsidRPr="006A480F">
        <w:rPr>
          <w:rFonts w:ascii="Arial" w:hAnsi="Arial" w:cs="Arial"/>
          <w:i/>
          <w:iCs/>
          <w:color w:val="000000" w:themeColor="text1"/>
        </w:rPr>
        <w:t xml:space="preserve">OLIG2. </w:t>
      </w:r>
      <w:r w:rsidRPr="006A480F">
        <w:rPr>
          <w:rFonts w:ascii="Arial" w:hAnsi="Arial" w:cs="Arial"/>
          <w:color w:val="000000" w:themeColor="text1"/>
        </w:rPr>
        <w:t>B. Heatmaps showing the H3K27ac super-enhancer profiles of ICR-CXJ074 compared with other K27M-</w:t>
      </w:r>
      <w:proofErr w:type="gramStart"/>
      <w:r w:rsidRPr="006A480F">
        <w:rPr>
          <w:rFonts w:ascii="Arial" w:hAnsi="Arial" w:cs="Arial"/>
          <w:color w:val="000000" w:themeColor="text1"/>
        </w:rPr>
        <w:t>mutant  and</w:t>
      </w:r>
      <w:proofErr w:type="gramEnd"/>
      <w:r w:rsidRPr="006A480F">
        <w:rPr>
          <w:rFonts w:ascii="Arial" w:hAnsi="Arial" w:cs="Arial"/>
          <w:color w:val="000000" w:themeColor="text1"/>
        </w:rPr>
        <w:t xml:space="preserve"> G34-mutant </w:t>
      </w:r>
      <w:proofErr w:type="spellStart"/>
      <w:r w:rsidRPr="006A480F">
        <w:rPr>
          <w:rFonts w:ascii="Arial" w:hAnsi="Arial" w:cs="Arial"/>
          <w:color w:val="000000" w:themeColor="text1"/>
        </w:rPr>
        <w:t>tumours</w:t>
      </w:r>
      <w:proofErr w:type="spellEnd"/>
      <w:r w:rsidRPr="006A480F">
        <w:rPr>
          <w:rFonts w:ascii="Arial" w:hAnsi="Arial" w:cs="Arial"/>
          <w:color w:val="000000" w:themeColor="text1"/>
        </w:rPr>
        <w:t xml:space="preserve">. H3K27ac left, recurrent H3K27ac super enhancers right. ICR-CXJ074 is highlighted in purple. </w:t>
      </w:r>
    </w:p>
    <w:p w14:paraId="6807FA9C" w14:textId="77777777" w:rsidR="00DF475E" w:rsidRDefault="00DF475E"/>
    <w:sectPr w:rsidR="00DF47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75E"/>
    <w:rsid w:val="00B863D3"/>
    <w:rsid w:val="00C64EC0"/>
    <w:rsid w:val="00DF475E"/>
    <w:rsid w:val="00EA7CFB"/>
    <w:rsid w:val="00EF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1CDC8"/>
  <w15:chartTrackingRefBased/>
  <w15:docId w15:val="{BFB0E162-C7D6-4BF2-A848-57F7A92C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47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47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47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47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47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47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47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47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47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47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47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47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47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47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47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47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47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47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47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4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47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4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47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47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47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47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47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47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47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141</Words>
  <Characters>804</Characters>
  <Application>Microsoft Office Word</Application>
  <DocSecurity>0</DocSecurity>
  <Lines>6</Lines>
  <Paragraphs>1</Paragraphs>
  <ScaleCrop>false</ScaleCrop>
  <Company>Springer Nature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Gujare</dc:creator>
  <cp:keywords/>
  <dc:description/>
  <cp:lastModifiedBy>Monika Gujare</cp:lastModifiedBy>
  <cp:revision>1</cp:revision>
  <dcterms:created xsi:type="dcterms:W3CDTF">2024-11-26T05:53:00Z</dcterms:created>
  <dcterms:modified xsi:type="dcterms:W3CDTF">2024-11-26T05:58:00Z</dcterms:modified>
</cp:coreProperties>
</file>