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318AE" w14:textId="0D0BD745" w:rsidR="006C73D5" w:rsidRPr="008C6002" w:rsidRDefault="006C73D5" w:rsidP="00E22036">
      <w:pPr>
        <w:spacing w:line="480" w:lineRule="auto"/>
        <w:jc w:val="both"/>
        <w:rPr>
          <w:rFonts w:ascii="Arial" w:hAnsi="Arial" w:cs="Arial"/>
          <w:b/>
          <w:bCs/>
          <w:color w:val="000000" w:themeColor="text1"/>
        </w:rPr>
      </w:pPr>
      <w:r w:rsidRPr="008C6002">
        <w:rPr>
          <w:rFonts w:ascii="Arial" w:hAnsi="Arial" w:cs="Arial"/>
          <w:b/>
          <w:bCs/>
          <w:color w:val="000000" w:themeColor="text1"/>
        </w:rPr>
        <w:t xml:space="preserve">Supplemental Information </w:t>
      </w:r>
      <w:r w:rsidR="00A45CCD" w:rsidRPr="008C6002">
        <w:rPr>
          <w:rFonts w:ascii="Arial" w:hAnsi="Arial" w:cs="Arial"/>
          <w:b/>
          <w:bCs/>
          <w:color w:val="000000" w:themeColor="text1"/>
        </w:rPr>
        <w:t>File 1</w:t>
      </w:r>
      <w:r w:rsidR="00D10835" w:rsidRPr="008C6002">
        <w:rPr>
          <w:rFonts w:ascii="Arial" w:hAnsi="Arial" w:cs="Arial"/>
          <w:b/>
          <w:bCs/>
          <w:color w:val="000000" w:themeColor="text1"/>
        </w:rPr>
        <w:t xml:space="preserve">. </w:t>
      </w:r>
    </w:p>
    <w:p w14:paraId="04E9ACE2" w14:textId="7928E6C7" w:rsidR="00E22036" w:rsidRPr="008C6002" w:rsidRDefault="00B909E6" w:rsidP="00E22036">
      <w:pPr>
        <w:spacing w:line="480" w:lineRule="auto"/>
        <w:jc w:val="both"/>
        <w:rPr>
          <w:rFonts w:ascii="Arial" w:hAnsi="Arial" w:cs="Arial"/>
          <w:b/>
          <w:bCs/>
          <w:color w:val="000000" w:themeColor="text1"/>
        </w:rPr>
      </w:pPr>
      <w:r>
        <w:rPr>
          <w:rFonts w:ascii="Arial" w:hAnsi="Arial" w:cs="Arial"/>
          <w:b/>
          <w:bCs/>
          <w:noProof/>
          <w:color w:val="000000" w:themeColor="text1"/>
          <w14:ligatures w14:val="standardContextual"/>
        </w:rPr>
        <w:drawing>
          <wp:inline distT="0" distB="0" distL="0" distR="0" wp14:anchorId="312A534F" wp14:editId="7458D523">
            <wp:extent cx="4619636" cy="4699591"/>
            <wp:effectExtent l="0" t="0" r="3175" b="0"/>
            <wp:docPr id="2118667142" name="Picture 1" descr="A collage of images of d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67142" name="Picture 1" descr="A collage of images of dna&#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4856" cy="4745594"/>
                    </a:xfrm>
                    <a:prstGeom prst="rect">
                      <a:avLst/>
                    </a:prstGeom>
                  </pic:spPr>
                </pic:pic>
              </a:graphicData>
            </a:graphic>
          </wp:inline>
        </w:drawing>
      </w:r>
    </w:p>
    <w:p w14:paraId="6AC5103B" w14:textId="00280040" w:rsidR="00C02547" w:rsidRPr="008C6002" w:rsidRDefault="00241E46" w:rsidP="00422E30">
      <w:pPr>
        <w:jc w:val="both"/>
        <w:rPr>
          <w:rFonts w:ascii="Arial" w:hAnsi="Arial" w:cs="Arial"/>
        </w:rPr>
      </w:pPr>
      <w:r w:rsidRPr="008C6002">
        <w:rPr>
          <w:rFonts w:ascii="Arial" w:hAnsi="Arial" w:cs="Arial"/>
          <w:b/>
          <w:bCs/>
          <w:color w:val="000000" w:themeColor="text1"/>
        </w:rPr>
        <w:t xml:space="preserve">Supplementary </w:t>
      </w:r>
      <w:r w:rsidR="00E22036" w:rsidRPr="008C6002">
        <w:rPr>
          <w:rFonts w:ascii="Arial" w:hAnsi="Arial" w:cs="Arial"/>
          <w:b/>
          <w:bCs/>
          <w:color w:val="000000" w:themeColor="text1"/>
        </w:rPr>
        <w:t>Fig</w:t>
      </w:r>
      <w:r w:rsidR="007D368C" w:rsidRPr="008C6002">
        <w:rPr>
          <w:rFonts w:ascii="Arial" w:hAnsi="Arial" w:cs="Arial"/>
          <w:b/>
          <w:bCs/>
          <w:color w:val="000000" w:themeColor="text1"/>
        </w:rPr>
        <w:t>ure</w:t>
      </w:r>
      <w:r w:rsidR="00E22036" w:rsidRPr="008C6002">
        <w:rPr>
          <w:rFonts w:ascii="Arial" w:hAnsi="Arial" w:cs="Arial"/>
          <w:b/>
          <w:bCs/>
          <w:color w:val="000000" w:themeColor="text1"/>
        </w:rPr>
        <w:t xml:space="preserve"> S1</w:t>
      </w:r>
      <w:r w:rsidR="003D13DE" w:rsidRPr="008C6002">
        <w:rPr>
          <w:rFonts w:ascii="Arial" w:hAnsi="Arial" w:cs="Arial"/>
          <w:b/>
          <w:bCs/>
          <w:color w:val="000000" w:themeColor="text1"/>
        </w:rPr>
        <w:t>.</w:t>
      </w:r>
      <w:r w:rsidR="002B0AD9">
        <w:rPr>
          <w:rFonts w:ascii="Arial" w:hAnsi="Arial" w:cs="Arial"/>
          <w:b/>
          <w:bCs/>
          <w:color w:val="000000" w:themeColor="text1"/>
        </w:rPr>
        <w:t xml:space="preserve"> Breeding scheme and characterization </w:t>
      </w:r>
      <w:r w:rsidR="002B0AD9" w:rsidRPr="002B0AD9">
        <w:rPr>
          <w:rFonts w:ascii="Arial" w:hAnsi="Arial" w:cs="Arial"/>
          <w:b/>
          <w:bCs/>
          <w:color w:val="000000" w:themeColor="text1"/>
        </w:rPr>
        <w:t xml:space="preserve">of </w:t>
      </w:r>
      <w:r w:rsidR="002B0AD9" w:rsidRPr="002B0AD9">
        <w:rPr>
          <w:rFonts w:ascii="Arial" w:hAnsi="Arial" w:cs="Arial"/>
          <w:b/>
          <w:bCs/>
          <w:i/>
          <w:iCs/>
        </w:rPr>
        <w:t>Csnk1e</w:t>
      </w:r>
      <w:r w:rsidR="002B0AD9" w:rsidRPr="002B0AD9">
        <w:rPr>
          <w:rFonts w:ascii="Arial" w:hAnsi="Arial" w:cs="Arial"/>
          <w:b/>
          <w:bCs/>
        </w:rPr>
        <w:t>-KO x hTDP-43-</w:t>
      </w:r>
      <w:r w:rsidR="002B0AD9" w:rsidRPr="002B0AD9">
        <w:rPr>
          <w:rFonts w:ascii="Arial" w:hAnsi="Arial" w:cs="Arial"/>
          <w:b/>
          <w:bCs/>
        </w:rPr>
        <w:sym w:font="Symbol" w:char="F044"/>
      </w:r>
      <w:r w:rsidR="002B0AD9" w:rsidRPr="002B0AD9">
        <w:rPr>
          <w:rFonts w:ascii="Arial" w:hAnsi="Arial" w:cs="Arial"/>
          <w:b/>
          <w:bCs/>
        </w:rPr>
        <w:t>NLS.</w:t>
      </w:r>
      <w:r w:rsidR="002B0AD9">
        <w:rPr>
          <w:rFonts w:ascii="Arial" w:hAnsi="Arial" w:cs="Arial"/>
        </w:rPr>
        <w:t xml:space="preserve"> </w:t>
      </w:r>
      <w:r w:rsidR="00422E30" w:rsidRPr="008C6002">
        <w:rPr>
          <w:rFonts w:ascii="Arial" w:hAnsi="Arial" w:cs="Arial"/>
        </w:rPr>
        <w:t>(</w:t>
      </w:r>
      <w:r w:rsidR="00A545CB">
        <w:rPr>
          <w:rFonts w:ascii="Arial" w:hAnsi="Arial" w:cs="Arial"/>
        </w:rPr>
        <w:t>a</w:t>
      </w:r>
      <w:r w:rsidR="00422E30" w:rsidRPr="008C6002">
        <w:rPr>
          <w:rFonts w:ascii="Arial" w:hAnsi="Arial" w:cs="Arial"/>
        </w:rPr>
        <w:t xml:space="preserve">) Breeding scheme used to generate </w:t>
      </w:r>
      <w:r w:rsidR="00422E30" w:rsidRPr="008C6002">
        <w:rPr>
          <w:rFonts w:ascii="Arial" w:hAnsi="Arial" w:cs="Arial"/>
          <w:i/>
          <w:iCs/>
        </w:rPr>
        <w:t>Csnk1e</w:t>
      </w:r>
      <w:r w:rsidR="00422E30" w:rsidRPr="008C6002">
        <w:rPr>
          <w:rFonts w:ascii="Arial" w:hAnsi="Arial" w:cs="Arial"/>
        </w:rPr>
        <w:t xml:space="preserve">-KO mice and </w:t>
      </w:r>
      <w:r w:rsidR="00422E30" w:rsidRPr="008C6002">
        <w:rPr>
          <w:rFonts w:ascii="Arial" w:hAnsi="Arial" w:cs="Arial"/>
          <w:i/>
          <w:iCs/>
        </w:rPr>
        <w:t>Csnk1e</w:t>
      </w:r>
      <w:r w:rsidR="00422E30" w:rsidRPr="008C6002">
        <w:rPr>
          <w:rFonts w:ascii="Arial" w:hAnsi="Arial" w:cs="Arial"/>
        </w:rPr>
        <w:t>-WT control litter mates. (</w:t>
      </w:r>
      <w:r w:rsidR="00A545CB">
        <w:rPr>
          <w:rFonts w:ascii="Arial" w:hAnsi="Arial" w:cs="Arial"/>
        </w:rPr>
        <w:t>b-c</w:t>
      </w:r>
      <w:r w:rsidR="00422E30" w:rsidRPr="008C6002">
        <w:rPr>
          <w:rFonts w:ascii="Arial" w:hAnsi="Arial" w:cs="Arial"/>
        </w:rPr>
        <w:t xml:space="preserve">) qRT-PCR data of gene expression for </w:t>
      </w:r>
      <w:r w:rsidR="00422E30" w:rsidRPr="008C6002">
        <w:rPr>
          <w:rFonts w:ascii="Arial" w:hAnsi="Arial" w:cs="Arial"/>
          <w:i/>
          <w:iCs/>
        </w:rPr>
        <w:t>Csnk1e</w:t>
      </w:r>
      <w:r w:rsidR="00422E30" w:rsidRPr="008C6002">
        <w:rPr>
          <w:rFonts w:ascii="Arial" w:hAnsi="Arial" w:cs="Arial"/>
        </w:rPr>
        <w:t xml:space="preserve"> and </w:t>
      </w:r>
      <w:r w:rsidR="00422E30" w:rsidRPr="008C6002">
        <w:rPr>
          <w:rFonts w:ascii="Arial" w:hAnsi="Arial" w:cs="Arial"/>
          <w:i/>
          <w:iCs/>
        </w:rPr>
        <w:t>Csnk1d</w:t>
      </w:r>
      <w:r w:rsidR="00422E30" w:rsidRPr="008C6002">
        <w:rPr>
          <w:rFonts w:ascii="Arial" w:hAnsi="Arial" w:cs="Arial"/>
        </w:rPr>
        <w:t xml:space="preserve"> mRNA levels in mice. </w:t>
      </w:r>
      <w:r w:rsidR="00422E30" w:rsidRPr="008C6002">
        <w:rPr>
          <w:rFonts w:ascii="Arial" w:hAnsi="Arial" w:cs="Arial"/>
          <w:i/>
          <w:iCs/>
        </w:rPr>
        <w:t>GAPDH</w:t>
      </w:r>
      <w:r w:rsidR="00422E30" w:rsidRPr="008C6002">
        <w:rPr>
          <w:rFonts w:ascii="Arial" w:hAnsi="Arial" w:cs="Arial"/>
        </w:rPr>
        <w:t xml:space="preserve"> mRNA was used as endogenous control. Deletion of </w:t>
      </w:r>
      <w:r w:rsidR="00422E30" w:rsidRPr="008C6002">
        <w:rPr>
          <w:rFonts w:ascii="Arial" w:hAnsi="Arial" w:cs="Arial"/>
          <w:i/>
          <w:iCs/>
        </w:rPr>
        <w:t>Csnk1e</w:t>
      </w:r>
      <w:r w:rsidR="00422E30" w:rsidRPr="008C6002">
        <w:rPr>
          <w:rFonts w:ascii="Arial" w:hAnsi="Arial" w:cs="Arial"/>
        </w:rPr>
        <w:t xml:space="preserve"> in mice was successful, with no significant effect on </w:t>
      </w:r>
      <w:r w:rsidR="00422E30" w:rsidRPr="008C6002">
        <w:rPr>
          <w:rFonts w:ascii="Arial" w:hAnsi="Arial" w:cs="Arial"/>
          <w:i/>
          <w:iCs/>
        </w:rPr>
        <w:t>Csnk1d</w:t>
      </w:r>
      <w:r w:rsidR="00422E30" w:rsidRPr="008C6002">
        <w:rPr>
          <w:rFonts w:ascii="Arial" w:hAnsi="Arial" w:cs="Arial"/>
        </w:rPr>
        <w:t xml:space="preserve"> gene expression. Mann-Whitney </w:t>
      </w:r>
      <w:r w:rsidR="00973324" w:rsidRPr="008C6002">
        <w:rPr>
          <w:rFonts w:ascii="Arial" w:hAnsi="Arial" w:cs="Arial"/>
        </w:rPr>
        <w:t>U test</w:t>
      </w:r>
      <w:r w:rsidR="00422E30" w:rsidRPr="008C6002">
        <w:rPr>
          <w:rFonts w:ascii="Arial" w:hAnsi="Arial" w:cs="Arial"/>
        </w:rPr>
        <w:t>, *p &lt; 0.03, **p &lt; 0.002, ***p &lt; 0.0002, ****p &lt; 0.0001. Error bars represent SEM. (</w:t>
      </w:r>
      <w:r w:rsidR="00A545CB">
        <w:rPr>
          <w:rFonts w:ascii="Arial" w:hAnsi="Arial" w:cs="Arial"/>
        </w:rPr>
        <w:t>d-e</w:t>
      </w:r>
      <w:r w:rsidR="00422E30" w:rsidRPr="008C6002">
        <w:rPr>
          <w:rFonts w:ascii="Arial" w:hAnsi="Arial" w:cs="Arial"/>
        </w:rPr>
        <w:t>) Immunoblots of brain cortex lysate after immunoprecipitation (due to low expression levels of CK1</w:t>
      </w:r>
      <w:r w:rsidR="00422E30" w:rsidRPr="008C6002">
        <w:rPr>
          <w:rFonts w:ascii="Arial" w:hAnsi="Arial" w:cs="Arial"/>
        </w:rPr>
        <w:sym w:font="Symbol" w:char="F065"/>
      </w:r>
      <w:r w:rsidR="00422E30" w:rsidRPr="008C6002">
        <w:rPr>
          <w:rFonts w:ascii="Arial" w:hAnsi="Arial" w:cs="Arial"/>
        </w:rPr>
        <w:t xml:space="preserve"> and CK1</w:t>
      </w:r>
      <w:r w:rsidR="00422E30" w:rsidRPr="008C6002">
        <w:rPr>
          <w:rFonts w:ascii="Arial" w:hAnsi="Arial" w:cs="Arial"/>
        </w:rPr>
        <w:sym w:font="Symbol" w:char="F064"/>
      </w:r>
      <w:r w:rsidR="00422E30" w:rsidRPr="008C6002">
        <w:rPr>
          <w:rFonts w:ascii="Arial" w:hAnsi="Arial" w:cs="Arial"/>
        </w:rPr>
        <w:t xml:space="preserve">) showed </w:t>
      </w:r>
      <w:r w:rsidR="00422E30" w:rsidRPr="008C6002">
        <w:rPr>
          <w:rFonts w:ascii="Arial" w:hAnsi="Arial" w:cs="Arial"/>
          <w:i/>
          <w:iCs/>
        </w:rPr>
        <w:t>Csnk1e</w:t>
      </w:r>
      <w:r w:rsidR="00422E30" w:rsidRPr="008C6002">
        <w:rPr>
          <w:rFonts w:ascii="Arial" w:hAnsi="Arial" w:cs="Arial"/>
        </w:rPr>
        <w:t xml:space="preserve"> specific knockout in mice where CK1</w:t>
      </w:r>
      <w:r w:rsidR="00422E30" w:rsidRPr="008C6002">
        <w:rPr>
          <w:rFonts w:ascii="Arial" w:hAnsi="Arial" w:cs="Arial"/>
        </w:rPr>
        <w:sym w:font="Symbol" w:char="F065"/>
      </w:r>
      <w:r w:rsidR="00422E30" w:rsidRPr="008C6002">
        <w:rPr>
          <w:rFonts w:ascii="Arial" w:hAnsi="Arial" w:cs="Arial"/>
        </w:rPr>
        <w:t xml:space="preserve"> was not detected in </w:t>
      </w:r>
      <w:r w:rsidR="00422E30" w:rsidRPr="008C6002">
        <w:rPr>
          <w:rFonts w:ascii="Arial" w:hAnsi="Arial" w:cs="Arial"/>
          <w:i/>
          <w:iCs/>
        </w:rPr>
        <w:t>Csnk1e</w:t>
      </w:r>
      <w:r w:rsidR="00422E30" w:rsidRPr="008C6002">
        <w:rPr>
          <w:rFonts w:ascii="Arial" w:hAnsi="Arial" w:cs="Arial"/>
        </w:rPr>
        <w:t>-KO samples (D) but CK1</w:t>
      </w:r>
      <w:r w:rsidR="00422E30" w:rsidRPr="008C6002">
        <w:rPr>
          <w:rFonts w:ascii="Arial" w:hAnsi="Arial" w:cs="Arial"/>
        </w:rPr>
        <w:sym w:font="Symbol" w:char="F064"/>
      </w:r>
      <w:r w:rsidR="00422E30" w:rsidRPr="008C6002">
        <w:rPr>
          <w:rFonts w:ascii="Arial" w:hAnsi="Arial" w:cs="Arial"/>
        </w:rPr>
        <w:t xml:space="preserve"> could still be detected (E). (</w:t>
      </w:r>
      <w:r w:rsidR="00A545CB">
        <w:rPr>
          <w:rFonts w:ascii="Arial" w:hAnsi="Arial" w:cs="Arial"/>
        </w:rPr>
        <w:t>f-g</w:t>
      </w:r>
      <w:r w:rsidR="00422E30" w:rsidRPr="008C6002">
        <w:rPr>
          <w:rFonts w:ascii="Arial" w:hAnsi="Arial" w:cs="Arial"/>
        </w:rPr>
        <w:t xml:space="preserve">) qRT-PCR data of gene expression for mouse-specific </w:t>
      </w:r>
      <w:r w:rsidR="00422E30" w:rsidRPr="008C6002">
        <w:rPr>
          <w:rFonts w:ascii="Arial" w:hAnsi="Arial" w:cs="Arial"/>
          <w:i/>
          <w:iCs/>
        </w:rPr>
        <w:t>Tardbp</w:t>
      </w:r>
      <w:r w:rsidR="00422E30" w:rsidRPr="008C6002">
        <w:rPr>
          <w:rFonts w:ascii="Arial" w:hAnsi="Arial" w:cs="Arial"/>
        </w:rPr>
        <w:t xml:space="preserve"> and human-specific </w:t>
      </w:r>
      <w:r w:rsidR="00422E30" w:rsidRPr="008C6002">
        <w:rPr>
          <w:rFonts w:ascii="Arial" w:hAnsi="Arial" w:cs="Arial"/>
          <w:i/>
          <w:iCs/>
        </w:rPr>
        <w:t>TARDBP</w:t>
      </w:r>
      <w:r w:rsidR="00422E30" w:rsidRPr="008C6002">
        <w:rPr>
          <w:rFonts w:ascii="Arial" w:hAnsi="Arial" w:cs="Arial"/>
        </w:rPr>
        <w:t xml:space="preserve"> mRNA levels in mice. </w:t>
      </w:r>
      <w:r w:rsidR="00422E30" w:rsidRPr="008C6002">
        <w:rPr>
          <w:rFonts w:ascii="Arial" w:hAnsi="Arial" w:cs="Arial"/>
          <w:i/>
          <w:iCs/>
        </w:rPr>
        <w:t>GAPDH</w:t>
      </w:r>
      <w:r w:rsidR="00422E30" w:rsidRPr="008C6002">
        <w:rPr>
          <w:rFonts w:ascii="Arial" w:hAnsi="Arial" w:cs="Arial"/>
        </w:rPr>
        <w:t xml:space="preserve"> mRNA was used as endogenous control. Deletion of </w:t>
      </w:r>
      <w:r w:rsidR="00422E30" w:rsidRPr="008C6002">
        <w:rPr>
          <w:rFonts w:ascii="Arial" w:hAnsi="Arial" w:cs="Arial"/>
          <w:i/>
          <w:iCs/>
        </w:rPr>
        <w:t>Csnk1e</w:t>
      </w:r>
      <w:r w:rsidR="00422E30" w:rsidRPr="008C6002">
        <w:rPr>
          <w:rFonts w:ascii="Arial" w:hAnsi="Arial" w:cs="Arial"/>
        </w:rPr>
        <w:t xml:space="preserve"> in mice resulted in no significant effect on TDP-43 gene expression. Mann-Whitney </w:t>
      </w:r>
      <w:r w:rsidR="00973324" w:rsidRPr="008C6002">
        <w:rPr>
          <w:rFonts w:ascii="Arial" w:hAnsi="Arial" w:cs="Arial"/>
        </w:rPr>
        <w:t>U-test</w:t>
      </w:r>
      <w:r w:rsidR="00422E30" w:rsidRPr="008C6002">
        <w:rPr>
          <w:rFonts w:ascii="Arial" w:hAnsi="Arial" w:cs="Arial"/>
        </w:rPr>
        <w:t xml:space="preserve">, *p &lt; 0.03, **p &lt; 0.002, ***p &lt; 0.0002, ****p &lt; 0.0001. Error bars represent SEM. </w:t>
      </w:r>
    </w:p>
    <w:p w14:paraId="38DB5B44" w14:textId="0BDDC6FF" w:rsidR="00427DE1" w:rsidRPr="008C6002" w:rsidRDefault="00B909E6" w:rsidP="003C2614">
      <w:pPr>
        <w:spacing w:line="480" w:lineRule="auto"/>
        <w:jc w:val="both"/>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5627ED3E" wp14:editId="2B04DB2B">
            <wp:extent cx="4622453" cy="5124893"/>
            <wp:effectExtent l="0" t="0" r="635" b="6350"/>
            <wp:docPr id="605414338" name="Picture 2"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14338" name="Picture 2" descr="A collage of images of cell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44706" cy="5149565"/>
                    </a:xfrm>
                    <a:prstGeom prst="rect">
                      <a:avLst/>
                    </a:prstGeom>
                  </pic:spPr>
                </pic:pic>
              </a:graphicData>
            </a:graphic>
          </wp:inline>
        </w:drawing>
      </w:r>
    </w:p>
    <w:p w14:paraId="117363F8" w14:textId="2348EDE7" w:rsidR="003C2614" w:rsidRPr="008C6002" w:rsidRDefault="00241E46" w:rsidP="00C02547">
      <w:pPr>
        <w:jc w:val="both"/>
        <w:rPr>
          <w:rFonts w:ascii="Arial" w:hAnsi="Arial" w:cs="Arial"/>
        </w:rPr>
      </w:pPr>
      <w:r w:rsidRPr="008C6002">
        <w:rPr>
          <w:rFonts w:ascii="Arial" w:hAnsi="Arial" w:cs="Arial"/>
          <w:b/>
          <w:bCs/>
          <w:color w:val="000000" w:themeColor="text1"/>
        </w:rPr>
        <w:t>Supplementary Fig</w:t>
      </w:r>
      <w:r w:rsidR="007D368C" w:rsidRPr="008C6002">
        <w:rPr>
          <w:rFonts w:ascii="Arial" w:hAnsi="Arial" w:cs="Arial"/>
          <w:b/>
          <w:bCs/>
          <w:color w:val="000000" w:themeColor="text1"/>
        </w:rPr>
        <w:t>ure</w:t>
      </w:r>
      <w:r w:rsidRPr="008C6002">
        <w:rPr>
          <w:rFonts w:ascii="Arial" w:hAnsi="Arial" w:cs="Arial"/>
          <w:b/>
          <w:bCs/>
          <w:color w:val="000000" w:themeColor="text1"/>
        </w:rPr>
        <w:t xml:space="preserve"> S2</w:t>
      </w:r>
      <w:r w:rsidR="003D13DE" w:rsidRPr="008C6002">
        <w:rPr>
          <w:rFonts w:ascii="Arial" w:hAnsi="Arial" w:cs="Arial"/>
          <w:b/>
          <w:bCs/>
          <w:color w:val="000000" w:themeColor="text1"/>
        </w:rPr>
        <w:t>.</w:t>
      </w:r>
      <w:r w:rsidRPr="008C6002">
        <w:rPr>
          <w:rFonts w:ascii="Arial" w:hAnsi="Arial" w:cs="Arial"/>
          <w:b/>
          <w:bCs/>
          <w:color w:val="000000" w:themeColor="text1"/>
        </w:rPr>
        <w:t xml:space="preserve"> </w:t>
      </w:r>
      <w:bookmarkStart w:id="0" w:name="_Toc164868328"/>
      <w:r w:rsidR="00422E30" w:rsidRPr="008C6002">
        <w:rPr>
          <w:rFonts w:ascii="Arial" w:hAnsi="Arial" w:cs="Arial"/>
          <w:b/>
          <w:bCs/>
          <w:i/>
          <w:iCs/>
        </w:rPr>
        <w:t>Csnk1e</w:t>
      </w:r>
      <w:r w:rsidR="00422E30" w:rsidRPr="008C6002">
        <w:rPr>
          <w:rFonts w:ascii="Arial" w:hAnsi="Arial" w:cs="Arial"/>
          <w:b/>
          <w:bCs/>
        </w:rPr>
        <w:t>-KO mice developed cellular hallmarks of TDP-43 nuclear clearance and cytoplasmic phosphorylated TDP-43 expression in the brain and spinal cord.</w:t>
      </w:r>
      <w:bookmarkEnd w:id="0"/>
      <w:r w:rsidR="00422E30" w:rsidRPr="008C6002">
        <w:rPr>
          <w:rFonts w:ascii="Arial" w:hAnsi="Arial" w:cs="Arial"/>
          <w:b/>
          <w:bCs/>
        </w:rPr>
        <w:t xml:space="preserve"> </w:t>
      </w:r>
      <w:r w:rsidR="00422E30" w:rsidRPr="008C6002">
        <w:rPr>
          <w:rFonts w:ascii="Arial" w:hAnsi="Arial" w:cs="Arial"/>
        </w:rPr>
        <w:t>(</w:t>
      </w:r>
      <w:r w:rsidR="00A545CB">
        <w:rPr>
          <w:rFonts w:ascii="Arial" w:hAnsi="Arial" w:cs="Arial"/>
        </w:rPr>
        <w:t>a-b</w:t>
      </w:r>
      <w:r w:rsidR="00422E30" w:rsidRPr="008C6002">
        <w:rPr>
          <w:rFonts w:ascii="Arial" w:hAnsi="Arial" w:cs="Arial"/>
        </w:rPr>
        <w:t xml:space="preserve">) Representative immunofluorescence images of cortex and spinal cord tissue with TDP-43 (green), pTDP-43 (red), and DAPI (blue). No difference was observed in neurons in brain or spinal cord tissue from </w:t>
      </w:r>
      <w:r w:rsidR="00422E30" w:rsidRPr="008C6002">
        <w:rPr>
          <w:rFonts w:ascii="Arial" w:hAnsi="Arial" w:cs="Arial"/>
          <w:i/>
          <w:iCs/>
        </w:rPr>
        <w:t>Csnk1e</w:t>
      </w:r>
      <w:r w:rsidR="00422E30" w:rsidRPr="008C6002">
        <w:rPr>
          <w:rFonts w:ascii="Arial" w:hAnsi="Arial" w:cs="Arial"/>
        </w:rPr>
        <w:t xml:space="preserve">-KO mice as compared to </w:t>
      </w:r>
      <w:r w:rsidR="00422E30" w:rsidRPr="008C6002">
        <w:rPr>
          <w:rFonts w:ascii="Arial" w:hAnsi="Arial" w:cs="Arial"/>
          <w:i/>
          <w:iCs/>
        </w:rPr>
        <w:t>Csnk1e</w:t>
      </w:r>
      <w:r w:rsidR="00422E30" w:rsidRPr="008C6002">
        <w:rPr>
          <w:rFonts w:ascii="Arial" w:hAnsi="Arial" w:cs="Arial"/>
        </w:rPr>
        <w:t xml:space="preserve">-WT control mice. Scale bars represent 10 </w:t>
      </w:r>
      <w:r w:rsidR="00422E30" w:rsidRPr="008C6002">
        <w:rPr>
          <w:rFonts w:ascii="Arial" w:hAnsi="Arial" w:cs="Arial"/>
        </w:rPr>
        <w:sym w:font="Symbol" w:char="F06D"/>
      </w:r>
      <w:r w:rsidR="00422E30" w:rsidRPr="008C6002">
        <w:rPr>
          <w:rFonts w:ascii="Arial" w:hAnsi="Arial" w:cs="Arial"/>
        </w:rPr>
        <w:t>m.</w:t>
      </w:r>
    </w:p>
    <w:p w14:paraId="227BD66E" w14:textId="77777777" w:rsidR="00452F58" w:rsidRPr="008C6002" w:rsidRDefault="00452F58" w:rsidP="00C02547">
      <w:pPr>
        <w:jc w:val="both"/>
        <w:rPr>
          <w:rFonts w:ascii="Arial" w:hAnsi="Arial" w:cs="Arial"/>
        </w:rPr>
      </w:pPr>
    </w:p>
    <w:p w14:paraId="78D5BAB6" w14:textId="77777777" w:rsidR="00452F58" w:rsidRPr="008C6002" w:rsidRDefault="00452F58" w:rsidP="00C02547">
      <w:pPr>
        <w:jc w:val="both"/>
        <w:rPr>
          <w:rFonts w:ascii="Arial" w:hAnsi="Arial" w:cs="Arial"/>
        </w:rPr>
      </w:pPr>
    </w:p>
    <w:p w14:paraId="62E397AC" w14:textId="77777777" w:rsidR="00452F58" w:rsidRPr="008C6002" w:rsidRDefault="00452F58" w:rsidP="00C02547">
      <w:pPr>
        <w:jc w:val="both"/>
        <w:rPr>
          <w:rFonts w:ascii="Arial" w:hAnsi="Arial" w:cs="Arial"/>
        </w:rPr>
      </w:pPr>
    </w:p>
    <w:p w14:paraId="0B8BE89B" w14:textId="77777777" w:rsidR="00452F58" w:rsidRPr="008C6002" w:rsidRDefault="00452F58" w:rsidP="00C02547">
      <w:pPr>
        <w:jc w:val="both"/>
        <w:rPr>
          <w:rFonts w:ascii="Arial" w:hAnsi="Arial" w:cs="Arial"/>
        </w:rPr>
      </w:pPr>
    </w:p>
    <w:p w14:paraId="42DCEB48" w14:textId="77777777" w:rsidR="00452F58" w:rsidRPr="008C6002" w:rsidRDefault="00452F58" w:rsidP="00C02547">
      <w:pPr>
        <w:jc w:val="both"/>
        <w:rPr>
          <w:rFonts w:ascii="Arial" w:hAnsi="Arial" w:cs="Arial"/>
        </w:rPr>
      </w:pPr>
    </w:p>
    <w:p w14:paraId="636A5CBF" w14:textId="77777777" w:rsidR="00452F58" w:rsidRPr="008C6002" w:rsidRDefault="00452F58" w:rsidP="00C02547">
      <w:pPr>
        <w:jc w:val="both"/>
        <w:rPr>
          <w:rFonts w:ascii="Arial" w:hAnsi="Arial" w:cs="Arial"/>
        </w:rPr>
      </w:pPr>
    </w:p>
    <w:p w14:paraId="35472574" w14:textId="77777777" w:rsidR="00452F58" w:rsidRPr="008C6002" w:rsidRDefault="00452F58" w:rsidP="00C02547">
      <w:pPr>
        <w:jc w:val="both"/>
        <w:rPr>
          <w:rFonts w:ascii="Arial" w:hAnsi="Arial" w:cs="Arial"/>
        </w:rPr>
      </w:pPr>
    </w:p>
    <w:tbl>
      <w:tblPr>
        <w:tblStyle w:val="TableGrid"/>
        <w:tblW w:w="0" w:type="auto"/>
        <w:tblLook w:val="04A0" w:firstRow="1" w:lastRow="0" w:firstColumn="1" w:lastColumn="0" w:noHBand="0" w:noVBand="1"/>
      </w:tblPr>
      <w:tblGrid>
        <w:gridCol w:w="2785"/>
        <w:gridCol w:w="1350"/>
        <w:gridCol w:w="1399"/>
        <w:gridCol w:w="8"/>
        <w:gridCol w:w="1563"/>
        <w:gridCol w:w="1530"/>
      </w:tblGrid>
      <w:tr w:rsidR="00B17429" w:rsidRPr="008C6002" w14:paraId="3ACC8F19" w14:textId="67EA66F3" w:rsidTr="00B17429">
        <w:tc>
          <w:tcPr>
            <w:tcW w:w="2785" w:type="dxa"/>
            <w:vAlign w:val="center"/>
          </w:tcPr>
          <w:p w14:paraId="1AD4EBC3" w14:textId="77777777" w:rsidR="00B17429" w:rsidRPr="008C6002" w:rsidRDefault="00B17429" w:rsidP="00B17429">
            <w:pPr>
              <w:jc w:val="center"/>
              <w:rPr>
                <w:rFonts w:ascii="Arial" w:hAnsi="Arial" w:cs="Arial"/>
              </w:rPr>
            </w:pPr>
          </w:p>
        </w:tc>
        <w:tc>
          <w:tcPr>
            <w:tcW w:w="2757" w:type="dxa"/>
            <w:gridSpan w:val="3"/>
            <w:vAlign w:val="center"/>
          </w:tcPr>
          <w:p w14:paraId="6F8E3911" w14:textId="77777777" w:rsidR="00B17429" w:rsidRDefault="00B17429" w:rsidP="00B17429">
            <w:pPr>
              <w:jc w:val="center"/>
              <w:rPr>
                <w:rFonts w:ascii="Arial" w:hAnsi="Arial" w:cs="Arial"/>
                <w:b/>
                <w:bCs/>
              </w:rPr>
            </w:pPr>
            <w:r w:rsidRPr="002F414A">
              <w:rPr>
                <w:rFonts w:ascii="Arial" w:hAnsi="Arial" w:cs="Arial"/>
                <w:b/>
                <w:bCs/>
              </w:rPr>
              <w:t>PF-05236216</w:t>
            </w:r>
          </w:p>
          <w:p w14:paraId="0A69693C" w14:textId="3E302F05" w:rsidR="00B17429" w:rsidRPr="002F414A" w:rsidRDefault="00B17429" w:rsidP="00B17429">
            <w:pPr>
              <w:jc w:val="center"/>
              <w:rPr>
                <w:rFonts w:ascii="Arial" w:hAnsi="Arial" w:cs="Arial"/>
                <w:b/>
                <w:bCs/>
              </w:rPr>
            </w:pPr>
            <w:r w:rsidRPr="008C6002">
              <w:rPr>
                <w:rFonts w:ascii="Arial" w:hAnsi="Arial" w:cs="Arial"/>
              </w:rPr>
              <w:t>CK1</w:t>
            </w:r>
            <w:r w:rsidRPr="008C6002">
              <w:rPr>
                <w:rFonts w:ascii="Arial" w:hAnsi="Arial" w:cs="Arial"/>
              </w:rPr>
              <w:sym w:font="Symbol" w:char="F064"/>
            </w:r>
            <w:r>
              <w:rPr>
                <w:rFonts w:ascii="Arial" w:hAnsi="Arial" w:cs="Arial"/>
              </w:rPr>
              <w:t>/</w:t>
            </w:r>
            <w:r w:rsidRPr="008C6002">
              <w:rPr>
                <w:rFonts w:ascii="Arial" w:hAnsi="Arial" w:cs="Arial"/>
              </w:rPr>
              <w:sym w:font="Symbol" w:char="F065"/>
            </w:r>
            <w:r>
              <w:rPr>
                <w:rFonts w:ascii="Arial" w:hAnsi="Arial" w:cs="Arial"/>
              </w:rPr>
              <w:t>-selective</w:t>
            </w:r>
          </w:p>
        </w:tc>
        <w:tc>
          <w:tcPr>
            <w:tcW w:w="3093" w:type="dxa"/>
            <w:gridSpan w:val="2"/>
            <w:vAlign w:val="center"/>
          </w:tcPr>
          <w:p w14:paraId="13AE0391" w14:textId="77777777" w:rsidR="00B17429" w:rsidRDefault="00B17429" w:rsidP="00B17429">
            <w:pPr>
              <w:jc w:val="center"/>
              <w:rPr>
                <w:rFonts w:ascii="Arial" w:hAnsi="Arial" w:cs="Arial"/>
                <w:b/>
                <w:bCs/>
              </w:rPr>
            </w:pPr>
            <w:r w:rsidRPr="002F414A">
              <w:rPr>
                <w:rFonts w:ascii="Arial" w:hAnsi="Arial" w:cs="Arial"/>
                <w:b/>
                <w:bCs/>
              </w:rPr>
              <w:t>PF-4800567</w:t>
            </w:r>
          </w:p>
          <w:p w14:paraId="267C6A9F" w14:textId="15CB85C1" w:rsidR="00B17429" w:rsidRPr="002F414A" w:rsidRDefault="00B17429" w:rsidP="00B17429">
            <w:pPr>
              <w:jc w:val="center"/>
              <w:rPr>
                <w:rFonts w:ascii="Arial" w:hAnsi="Arial" w:cs="Arial"/>
                <w:b/>
                <w:bCs/>
              </w:rPr>
            </w:pPr>
            <w:r w:rsidRPr="008C6002">
              <w:rPr>
                <w:rFonts w:ascii="Arial" w:hAnsi="Arial" w:cs="Arial"/>
              </w:rPr>
              <w:t>CK1</w:t>
            </w:r>
            <w:r w:rsidRPr="008C6002">
              <w:rPr>
                <w:rFonts w:ascii="Arial" w:hAnsi="Arial" w:cs="Arial"/>
              </w:rPr>
              <w:sym w:font="Symbol" w:char="F065"/>
            </w:r>
            <w:r>
              <w:rPr>
                <w:rFonts w:ascii="Arial" w:hAnsi="Arial" w:cs="Arial"/>
              </w:rPr>
              <w:t>-selective</w:t>
            </w:r>
          </w:p>
        </w:tc>
      </w:tr>
      <w:tr w:rsidR="00B17429" w:rsidRPr="008C6002" w14:paraId="130C2F74" w14:textId="03F6B87F" w:rsidTr="00B17429">
        <w:tc>
          <w:tcPr>
            <w:tcW w:w="2785" w:type="dxa"/>
            <w:vAlign w:val="center"/>
          </w:tcPr>
          <w:p w14:paraId="549A7751" w14:textId="458E7CC8" w:rsidR="00B17429" w:rsidRPr="002F414A" w:rsidRDefault="00B17429" w:rsidP="00B17429">
            <w:pPr>
              <w:jc w:val="center"/>
              <w:rPr>
                <w:rFonts w:ascii="Arial" w:hAnsi="Arial" w:cs="Arial"/>
                <w:b/>
                <w:bCs/>
              </w:rPr>
            </w:pPr>
            <w:r w:rsidRPr="002F414A">
              <w:rPr>
                <w:rFonts w:ascii="Arial" w:hAnsi="Arial" w:cs="Arial"/>
                <w:b/>
                <w:bCs/>
              </w:rPr>
              <w:t>Chemical structure</w:t>
            </w:r>
          </w:p>
        </w:tc>
        <w:tc>
          <w:tcPr>
            <w:tcW w:w="2757" w:type="dxa"/>
            <w:gridSpan w:val="3"/>
            <w:vAlign w:val="center"/>
          </w:tcPr>
          <w:p w14:paraId="20694925" w14:textId="710958C9" w:rsidR="00B17429" w:rsidRPr="008C6002" w:rsidRDefault="00B17429" w:rsidP="00B17429">
            <w:pPr>
              <w:jc w:val="center"/>
              <w:rPr>
                <w:rFonts w:ascii="Arial" w:hAnsi="Arial" w:cs="Arial"/>
                <w:noProof/>
                <w14:ligatures w14:val="standardContextual"/>
              </w:rPr>
            </w:pPr>
            <w:r w:rsidRPr="008C6002">
              <w:rPr>
                <w:rFonts w:ascii="Arial" w:hAnsi="Arial" w:cs="Arial"/>
                <w:noProof/>
                <w14:ligatures w14:val="standardContextual"/>
              </w:rPr>
              <w:drawing>
                <wp:inline distT="0" distB="0" distL="0" distR="0" wp14:anchorId="3C2DDB47" wp14:editId="13CECE6C">
                  <wp:extent cx="1608455" cy="1387957"/>
                  <wp:effectExtent l="0" t="0" r="4445" b="0"/>
                  <wp:docPr id="1840196398" name="Picture 1" descr="A few chemical structures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96398" name="Picture 1" descr="A few chemical structures with black text&#10;&#10;Description automatically generated with medium confidence"/>
                          <pic:cNvPicPr/>
                        </pic:nvPicPr>
                        <pic:blipFill rotWithShape="1">
                          <a:blip r:embed="rId10">
                            <a:extLst>
                              <a:ext uri="{28A0092B-C50C-407E-A947-70E740481C1C}">
                                <a14:useLocalDpi xmlns:a14="http://schemas.microsoft.com/office/drawing/2010/main" val="0"/>
                              </a:ext>
                            </a:extLst>
                          </a:blip>
                          <a:srcRect l="56149" t="11107" b="18793"/>
                          <a:stretch/>
                        </pic:blipFill>
                        <pic:spPr bwMode="auto">
                          <a:xfrm>
                            <a:off x="0" y="0"/>
                            <a:ext cx="1608455" cy="1387957"/>
                          </a:xfrm>
                          <a:prstGeom prst="rect">
                            <a:avLst/>
                          </a:prstGeom>
                          <a:ln>
                            <a:noFill/>
                          </a:ln>
                          <a:extLst>
                            <a:ext uri="{53640926-AAD7-44D8-BBD7-CCE9431645EC}">
                              <a14:shadowObscured xmlns:a14="http://schemas.microsoft.com/office/drawing/2010/main"/>
                            </a:ext>
                          </a:extLst>
                        </pic:spPr>
                      </pic:pic>
                    </a:graphicData>
                  </a:graphic>
                </wp:inline>
              </w:drawing>
            </w:r>
          </w:p>
        </w:tc>
        <w:tc>
          <w:tcPr>
            <w:tcW w:w="3093" w:type="dxa"/>
            <w:gridSpan w:val="2"/>
            <w:vAlign w:val="center"/>
          </w:tcPr>
          <w:p w14:paraId="2B1084DA" w14:textId="3ED599D8" w:rsidR="00B17429" w:rsidRPr="008C6002" w:rsidRDefault="00B17429" w:rsidP="00B17429">
            <w:pPr>
              <w:jc w:val="center"/>
              <w:rPr>
                <w:rFonts w:ascii="Arial" w:hAnsi="Arial" w:cs="Arial"/>
                <w:noProof/>
                <w14:ligatures w14:val="standardContextual"/>
              </w:rPr>
            </w:pPr>
            <w:r w:rsidRPr="008C6002">
              <w:rPr>
                <w:rFonts w:ascii="Arial" w:hAnsi="Arial" w:cs="Arial"/>
                <w:noProof/>
                <w14:ligatures w14:val="standardContextual"/>
              </w:rPr>
              <w:drawing>
                <wp:inline distT="0" distB="0" distL="0" distR="0" wp14:anchorId="7F909664" wp14:editId="2595E83A">
                  <wp:extent cx="1411605" cy="1747777"/>
                  <wp:effectExtent l="0" t="0" r="0" b="5080"/>
                  <wp:docPr id="1122901910" name="Picture 1" descr="A few chemical structures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96398" name="Picture 1" descr="A few chemical structures with black text&#10;&#10;Description automatically generated with medium confidence"/>
                          <pic:cNvPicPr/>
                        </pic:nvPicPr>
                        <pic:blipFill rotWithShape="1">
                          <a:blip r:embed="rId10">
                            <a:extLst>
                              <a:ext uri="{28A0092B-C50C-407E-A947-70E740481C1C}">
                                <a14:useLocalDpi xmlns:a14="http://schemas.microsoft.com/office/drawing/2010/main" val="0"/>
                              </a:ext>
                            </a:extLst>
                          </a:blip>
                          <a:srcRect r="61526" b="11750"/>
                          <a:stretch/>
                        </pic:blipFill>
                        <pic:spPr bwMode="auto">
                          <a:xfrm>
                            <a:off x="0" y="0"/>
                            <a:ext cx="1412111" cy="1748404"/>
                          </a:xfrm>
                          <a:prstGeom prst="rect">
                            <a:avLst/>
                          </a:prstGeom>
                          <a:ln>
                            <a:noFill/>
                          </a:ln>
                          <a:extLst>
                            <a:ext uri="{53640926-AAD7-44D8-BBD7-CCE9431645EC}">
                              <a14:shadowObscured xmlns:a14="http://schemas.microsoft.com/office/drawing/2010/main"/>
                            </a:ext>
                          </a:extLst>
                        </pic:spPr>
                      </pic:pic>
                    </a:graphicData>
                  </a:graphic>
                </wp:inline>
              </w:drawing>
            </w:r>
          </w:p>
        </w:tc>
      </w:tr>
      <w:tr w:rsidR="00B17429" w:rsidRPr="008C6002" w14:paraId="1BF4B9EA" w14:textId="33C5792F" w:rsidTr="00B17429">
        <w:tc>
          <w:tcPr>
            <w:tcW w:w="2785" w:type="dxa"/>
            <w:vAlign w:val="center"/>
          </w:tcPr>
          <w:p w14:paraId="558523E5" w14:textId="0C467B0B" w:rsidR="00B17429" w:rsidRPr="002F414A" w:rsidRDefault="00B17429" w:rsidP="00B17429">
            <w:pPr>
              <w:jc w:val="center"/>
              <w:rPr>
                <w:rFonts w:ascii="Arial" w:hAnsi="Arial" w:cs="Arial"/>
                <w:b/>
                <w:bCs/>
              </w:rPr>
            </w:pPr>
            <w:r w:rsidRPr="002F414A">
              <w:rPr>
                <w:rFonts w:ascii="Arial" w:hAnsi="Arial" w:cs="Arial"/>
                <w:b/>
                <w:bCs/>
              </w:rPr>
              <w:t>CK1</w:t>
            </w:r>
            <w:r w:rsidRPr="002F414A">
              <w:rPr>
                <w:rFonts w:ascii="Arial" w:hAnsi="Arial" w:cs="Arial"/>
                <w:b/>
                <w:bCs/>
              </w:rPr>
              <w:sym w:font="Symbol" w:char="F064"/>
            </w:r>
            <w:r w:rsidRPr="002F414A">
              <w:rPr>
                <w:rFonts w:ascii="Arial" w:hAnsi="Arial" w:cs="Arial"/>
                <w:b/>
                <w:bCs/>
              </w:rPr>
              <w:t xml:space="preserve"> IC</w:t>
            </w:r>
            <w:r w:rsidRPr="002F414A">
              <w:rPr>
                <w:rFonts w:ascii="Arial" w:hAnsi="Arial" w:cs="Arial"/>
                <w:b/>
                <w:bCs/>
                <w:vertAlign w:val="subscript"/>
              </w:rPr>
              <w:t>50</w:t>
            </w:r>
            <w:r w:rsidRPr="002F414A">
              <w:rPr>
                <w:rFonts w:ascii="Arial" w:hAnsi="Arial" w:cs="Arial"/>
                <w:b/>
                <w:bCs/>
              </w:rPr>
              <w:t xml:space="preserve"> (nM)</w:t>
            </w:r>
          </w:p>
        </w:tc>
        <w:tc>
          <w:tcPr>
            <w:tcW w:w="2757" w:type="dxa"/>
            <w:gridSpan w:val="3"/>
            <w:vAlign w:val="center"/>
          </w:tcPr>
          <w:p w14:paraId="4EEF2DDD" w14:textId="5DB7EBE1" w:rsidR="00B17429" w:rsidRPr="008C6002" w:rsidRDefault="00B17429" w:rsidP="00A023AD">
            <w:pPr>
              <w:jc w:val="center"/>
              <w:rPr>
                <w:rFonts w:ascii="Arial" w:hAnsi="Arial" w:cs="Arial"/>
              </w:rPr>
            </w:pPr>
            <w:r w:rsidRPr="008C6002">
              <w:rPr>
                <w:rFonts w:ascii="Arial" w:hAnsi="Arial" w:cs="Arial"/>
              </w:rPr>
              <w:t>8</w:t>
            </w:r>
            <w:r w:rsidR="00A023AD">
              <w:rPr>
                <w:rFonts w:ascii="Arial" w:hAnsi="Arial" w:cs="Arial"/>
              </w:rPr>
              <w:t xml:space="preserve"> </w:t>
            </w:r>
            <w:r w:rsidRPr="008C6002">
              <w:rPr>
                <w:rFonts w:ascii="Arial" w:hAnsi="Arial" w:cs="Arial"/>
              </w:rPr>
              <w:fldChar w:fldCharType="begin"/>
            </w:r>
            <w:r w:rsidR="00A023AD">
              <w:rPr>
                <w:rFonts w:ascii="Arial" w:hAnsi="Arial" w:cs="Arial"/>
              </w:rPr>
              <w:instrText xml:space="preserve"> ADDIN ZOTERO_ITEM CSL_CITATION {"citationID":"mdmMhZVh","properties":{"formattedCitation":"[3]","plainCitation":"[3]","noteIndex":0},"citationItems":[{"id":1068,"uris":["http://zotero.org/users/6616471/items/UJUFLUPB"],"itemData":{"id":1068,"type":"article-journal","abstract":"To enable the clinical development of our CNS casein kinase 1 delta/epsilon (CK1δ/ε) inhibitor project, we investigated the possibility of developing a CNS positron emission tomography (PET) radioligand. For this e</w:instrText>
            </w:r>
            <w:r w:rsidR="00A023AD">
              <w:rPr>
                <w:rFonts w:ascii="Cambria Math" w:hAnsi="Cambria Math" w:cs="Cambria Math"/>
              </w:rPr>
              <w:instrText>ﬀ</w:instrText>
            </w:r>
            <w:r w:rsidR="00A023AD">
              <w:rPr>
                <w:rFonts w:ascii="Arial" w:hAnsi="Arial" w:cs="Arial"/>
              </w:rPr>
              <w:instrText>ort, we focused our design and synthesis e</w:instrText>
            </w:r>
            <w:r w:rsidR="00A023AD">
              <w:rPr>
                <w:rFonts w:ascii="Cambria Math" w:hAnsi="Cambria Math" w:cs="Cambria Math"/>
              </w:rPr>
              <w:instrText>ﬀ</w:instrText>
            </w:r>
            <w:r w:rsidR="00A023AD">
              <w:rPr>
                <w:rFonts w:ascii="Arial" w:hAnsi="Arial" w:cs="Arial"/>
              </w:rPr>
              <w:instrText>orts on the initial CK1δ/ε inhibitor HTS hits with the goal of identifying a compound that would fulﬁll a set of recommended PET ligand criteria. We identiﬁed [3H]PF-5236216 (9) as a tool ligand that meets most of the key CNS PET attributes including high CNS MPO PET desirability score and kinase selectivity, CNS penetration, and low nonspeciﬁc binding. We further used [3H]-9 to determine the binding a</w:instrText>
            </w:r>
            <w:r w:rsidR="00A023AD">
              <w:rPr>
                <w:rFonts w:ascii="Cambria Math" w:hAnsi="Cambria Math" w:cs="Cambria Math"/>
              </w:rPr>
              <w:instrText>ﬃ</w:instrText>
            </w:r>
            <w:r w:rsidR="00A023AD">
              <w:rPr>
                <w:rFonts w:ascii="Arial" w:hAnsi="Arial" w:cs="Arial"/>
              </w:rPr>
              <w:instrText xml:space="preserve">nity for PF-670462, a literature CK1δ/ε inhibitor tool compound. Lastly, [3H]-9 was used to measure in vivo target occupancy (TO) of PF-670462 in mouse and correlated TO with CK1δ/ε in vivo pharmacology (circadian rhythm modulation).","container-title":"ACS Chemical Neuroscience","DOI":"10.1021/acschemneuro.7b00155","ISSN":"1948-7193, 1948-7193","issue":"9","journalAbbreviation":"ACS Chem. Neurosci.","language":"en","page":"1995-2004","source":"DOI.org (Crossref)","title":"Identification and Profiling of a Selective and Brain Penetrant Radioligand for in Vivo Target Occupancy Measurement of Casein Kinase 1 (CK1) Inhibitors","volume":"8","author":[{"family":"Wager","given":"Travis T."},{"family":"Galatsis","given":"Paul"},{"family":"Chandrasekaran","given":"Ramalakshmi Y."},{"family":"Butler","given":"Todd W."},{"family":"Li","given":"Jianke"},{"family":"Zhang","given":"Lei"},{"family":"Mente","given":"Scot"},{"family":"Subramanyam","given":"Chakrapani"},{"family":"Liu","given":"Shenping"},{"family":"Doran","given":"Angela C."},{"family":"Chang","given":"Cheng"},{"family":"Fisher","given":"Katherine"},{"family":"Grimwood","given":"Sarah"},{"family":"Hedde","given":"Joseph R."},{"family":"Marconi","given":"Michael"},{"family":"Schildknegt","given":"Klaas"}],"issued":{"date-parts":[["2017",9,20]]}}}],"schema":"https://github.com/citation-style-language/schema/raw/master/csl-citation.json"} </w:instrText>
            </w:r>
            <w:r w:rsidRPr="008C6002">
              <w:rPr>
                <w:rFonts w:ascii="Arial" w:hAnsi="Arial" w:cs="Arial"/>
              </w:rPr>
              <w:fldChar w:fldCharType="separate"/>
            </w:r>
            <w:r w:rsidR="00A023AD">
              <w:rPr>
                <w:rFonts w:ascii="Arial" w:hAnsi="Arial" w:cs="Arial"/>
                <w:noProof/>
              </w:rPr>
              <w:t>[3]</w:t>
            </w:r>
            <w:r w:rsidRPr="008C6002">
              <w:rPr>
                <w:rFonts w:ascii="Arial" w:hAnsi="Arial" w:cs="Arial"/>
              </w:rPr>
              <w:fldChar w:fldCharType="end"/>
            </w:r>
          </w:p>
        </w:tc>
        <w:tc>
          <w:tcPr>
            <w:tcW w:w="3093" w:type="dxa"/>
            <w:gridSpan w:val="2"/>
            <w:vAlign w:val="center"/>
          </w:tcPr>
          <w:p w14:paraId="39C6DFAF" w14:textId="16412F15" w:rsidR="00B17429" w:rsidRPr="008C6002" w:rsidRDefault="00B17429" w:rsidP="00A023AD">
            <w:pPr>
              <w:jc w:val="center"/>
              <w:rPr>
                <w:rFonts w:ascii="Arial" w:hAnsi="Arial" w:cs="Arial"/>
              </w:rPr>
            </w:pPr>
            <w:r w:rsidRPr="008C6002">
              <w:rPr>
                <w:rFonts w:ascii="Arial" w:hAnsi="Arial" w:cs="Arial"/>
              </w:rPr>
              <w:t>711</w:t>
            </w:r>
            <w:r w:rsidR="00A023AD">
              <w:rPr>
                <w:rFonts w:ascii="Arial" w:hAnsi="Arial" w:cs="Arial"/>
              </w:rPr>
              <w:t xml:space="preserve"> </w:t>
            </w:r>
            <w:r w:rsidRPr="008C6002">
              <w:rPr>
                <w:rFonts w:ascii="Arial" w:hAnsi="Arial" w:cs="Arial"/>
              </w:rPr>
              <w:fldChar w:fldCharType="begin"/>
            </w:r>
            <w:r w:rsidR="00A023AD">
              <w:rPr>
                <w:rFonts w:ascii="Arial" w:hAnsi="Arial" w:cs="Arial"/>
              </w:rPr>
              <w:instrText xml:space="preserve"> ADDIN ZOTERO_ITEM CSL_CITATION {"citationID":"SRpkszXo","properties":{"formattedCitation":"[1, 2]","plainCitation":"[1, 2]","noteIndex":0},"citationItems":[{"id":1064,"uris":["http://zotero.org/users/6616471/items/RF9RHMB3"],"itemData":{"id":1064,"type":"article-journal","abstract":"Introduction: The conventional term ‘casein kinase’ (CK) denotes three classes of kinases -- CK1, CK2 and Golgi-CK (G-CK)/Fam20C (family with sequence similarity 20, member C) -- sharing the ability to phoshorylate casein in vitro, but otherwise unrelated to each other. All CKs have been reported to be implicated in human diseases, and reviews individually dealing with the druggability of CK1 and CK2 are available. Our aim is to provide a comparative analysis of the three classes of CKs as therapeutic targets. Areas covered: CK2 is the CK for which implication in neoplasia is best documented, with the survival of cancer cells often relying on its overexpression. An ample variety of cell-permeable CK2 inhibitors have been developed, with a couple of these now in clinical trials. Isoform-specific CK1 inhibitors that are expected to play a beneficial role in oncology and neurodegeneration have been also developed. In contrast, the pathogenic potential of G-CK/Fam20C is caused by its loss of function. Activators of Fam20C, notably sphingolipids and their analogs, may prove beneficial in this respect. Expert opinion: Optimization of CK2 and CK1 inhibitors will prove useful to develop new therapeutic strategies for treating cancer and neurodegenerative disorders, while the design of potent activators of G-CK/Fam20C will provide a new tool in the fields of bio-mineralization and hypophosphatemic diseases.","container-title":"Expert Opinion on Therapeutic Targets","DOI":"10.1517/14728222.2016.1091883","ISSN":"1472-8222, 1744-7631","issue":"3","journalAbbreviation":"Expert Opinion on Therapeutic Targets","language":"en","page":"319-340","source":"DOI.org (Crossref)","title":"Casein kinases as potential therapeutic targets","volume":"20","author":[{"family":"Cozza","given":"Giorgio"},{"family":"Pinna","given":"Lorenzo A"}],"issued":{"date-parts":[["2016",3,3]]}},"label":"page"},{"id":1066,"uris":["http://zotero.org/users/6616471/items/ZN38ISKN"],"itemData":{"id":1066,"type":"article-journal","abstract":"Methods: Using SciFinder® as a tool, the publications about the biology of CK1 and the recent developments of CK1 inhibitors were surveyed with an exclusion of those published as patents.\nResults: This review presents the current state of knowledge on the development of CK1 inhibitors, including both synthetic small molecular inhibitors that were divided into 7 categories according to structural features, and the natural compounds. An overview of the advancement of CK1 inhibitors was given, with the introduction of various existing CK1 inhibitors, their inhibitory activities, and the structure-activity relationships.\nConclusion: Through physicochemical characterization and biological investigations, it is possible to understand the structure-activity relationship of CK1 inhibitors, which will contribute to better design and discovery of potent and selective CK1 inhibitors as potential agents for severe disorders such as AD, ALS and cancer.","container-title":"Current Medicinal Chemistry","DOI":"10.2174/0929867327666200713185413","ISSN":"09298673","issue":"8","journalAbbreviation":"CMC","language":"en","page":"1585-1604","source":"DOI.org (Crossref)","title":"Recent Advances in the Development of Casein Kinase 1 Inhibitors","volume":"28","author":[{"family":"Li","given":"Sha-Sha"},{"family":"Dong","given":"Yue-Hui"},{"family":"Liu","given":"Zhao-Peng"}],"issued":{"date-parts":[["2021",3]]}},"label":"page"}],"schema":"https://github.com/citation-style-language/schema/raw/master/csl-citation.json"} </w:instrText>
            </w:r>
            <w:r w:rsidRPr="008C6002">
              <w:rPr>
                <w:rFonts w:ascii="Arial" w:hAnsi="Arial" w:cs="Arial"/>
              </w:rPr>
              <w:fldChar w:fldCharType="separate"/>
            </w:r>
            <w:r w:rsidR="00A023AD">
              <w:rPr>
                <w:rFonts w:ascii="Arial" w:hAnsi="Arial" w:cs="Arial"/>
                <w:noProof/>
              </w:rPr>
              <w:t>[1, 2]</w:t>
            </w:r>
            <w:r w:rsidRPr="008C6002">
              <w:rPr>
                <w:rFonts w:ascii="Arial" w:hAnsi="Arial" w:cs="Arial"/>
              </w:rPr>
              <w:fldChar w:fldCharType="end"/>
            </w:r>
          </w:p>
        </w:tc>
      </w:tr>
      <w:tr w:rsidR="00B17429" w:rsidRPr="008C6002" w14:paraId="1989B637" w14:textId="1D800DB9" w:rsidTr="00B17429">
        <w:tc>
          <w:tcPr>
            <w:tcW w:w="2785" w:type="dxa"/>
            <w:vAlign w:val="center"/>
          </w:tcPr>
          <w:p w14:paraId="168D0972" w14:textId="0655EB76" w:rsidR="00B17429" w:rsidRPr="002F414A" w:rsidRDefault="00B17429" w:rsidP="00B17429">
            <w:pPr>
              <w:jc w:val="center"/>
              <w:rPr>
                <w:rFonts w:ascii="Arial" w:hAnsi="Arial" w:cs="Arial"/>
                <w:b/>
                <w:bCs/>
              </w:rPr>
            </w:pPr>
            <w:r w:rsidRPr="002F414A">
              <w:rPr>
                <w:rFonts w:ascii="Arial" w:hAnsi="Arial" w:cs="Arial"/>
                <w:b/>
                <w:bCs/>
              </w:rPr>
              <w:t>CK1</w:t>
            </w:r>
            <w:r w:rsidRPr="002F414A">
              <w:rPr>
                <w:rFonts w:ascii="Arial" w:hAnsi="Arial" w:cs="Arial"/>
                <w:b/>
                <w:bCs/>
              </w:rPr>
              <w:sym w:font="Symbol" w:char="F065"/>
            </w:r>
            <w:r w:rsidRPr="002F414A">
              <w:rPr>
                <w:rFonts w:ascii="Arial" w:hAnsi="Arial" w:cs="Arial"/>
                <w:b/>
                <w:bCs/>
              </w:rPr>
              <w:t xml:space="preserve"> IC</w:t>
            </w:r>
            <w:r w:rsidRPr="002F414A">
              <w:rPr>
                <w:rFonts w:ascii="Arial" w:hAnsi="Arial" w:cs="Arial"/>
                <w:b/>
                <w:bCs/>
                <w:vertAlign w:val="subscript"/>
              </w:rPr>
              <w:t>50</w:t>
            </w:r>
            <w:r w:rsidRPr="002F414A">
              <w:rPr>
                <w:rFonts w:ascii="Arial" w:hAnsi="Arial" w:cs="Arial"/>
                <w:b/>
                <w:bCs/>
              </w:rPr>
              <w:t xml:space="preserve"> (nM)</w:t>
            </w:r>
          </w:p>
        </w:tc>
        <w:tc>
          <w:tcPr>
            <w:tcW w:w="2757" w:type="dxa"/>
            <w:gridSpan w:val="3"/>
            <w:vAlign w:val="center"/>
          </w:tcPr>
          <w:p w14:paraId="705E4CDD" w14:textId="18DE9F67" w:rsidR="00B17429" w:rsidRPr="008C6002" w:rsidRDefault="00B17429" w:rsidP="00A023AD">
            <w:pPr>
              <w:jc w:val="center"/>
              <w:rPr>
                <w:rFonts w:ascii="Arial" w:hAnsi="Arial" w:cs="Arial"/>
              </w:rPr>
            </w:pPr>
            <w:r w:rsidRPr="008C6002">
              <w:rPr>
                <w:rFonts w:ascii="Arial" w:hAnsi="Arial" w:cs="Arial"/>
              </w:rPr>
              <w:t>36</w:t>
            </w:r>
            <w:r w:rsidR="00A023AD">
              <w:rPr>
                <w:rFonts w:ascii="Arial" w:hAnsi="Arial" w:cs="Arial"/>
              </w:rPr>
              <w:t xml:space="preserve"> </w:t>
            </w:r>
            <w:r w:rsidRPr="008C6002">
              <w:rPr>
                <w:rFonts w:ascii="Arial" w:hAnsi="Arial" w:cs="Arial"/>
              </w:rPr>
              <w:fldChar w:fldCharType="begin"/>
            </w:r>
            <w:r w:rsidR="00A023AD">
              <w:rPr>
                <w:rFonts w:ascii="Arial" w:hAnsi="Arial" w:cs="Arial"/>
              </w:rPr>
              <w:instrText xml:space="preserve"> ADDIN ZOTERO_ITEM CSL_CITATION {"citationID":"zOkKqEzO","properties":{"formattedCitation":"[3]","plainCitation":"[3]","noteIndex":0},"citationItems":[{"id":1068,"uris":["http://zotero.org/users/6616471/items/UJUFLUPB"],"itemData":{"id":1068,"type":"article-journal","abstract":"To enable the clinical development of our CNS casein kinase 1 delta/epsilon (CK1δ/ε) inhibitor project, we investigated the possibility of developing a CNS positron emission tomography (PET) radioligand. For this e</w:instrText>
            </w:r>
            <w:r w:rsidR="00A023AD">
              <w:rPr>
                <w:rFonts w:ascii="Cambria Math" w:hAnsi="Cambria Math" w:cs="Cambria Math"/>
              </w:rPr>
              <w:instrText>ﬀ</w:instrText>
            </w:r>
            <w:r w:rsidR="00A023AD">
              <w:rPr>
                <w:rFonts w:ascii="Arial" w:hAnsi="Arial" w:cs="Arial"/>
              </w:rPr>
              <w:instrText>ort, we focused our design and synthesis e</w:instrText>
            </w:r>
            <w:r w:rsidR="00A023AD">
              <w:rPr>
                <w:rFonts w:ascii="Cambria Math" w:hAnsi="Cambria Math" w:cs="Cambria Math"/>
              </w:rPr>
              <w:instrText>ﬀ</w:instrText>
            </w:r>
            <w:r w:rsidR="00A023AD">
              <w:rPr>
                <w:rFonts w:ascii="Arial" w:hAnsi="Arial" w:cs="Arial"/>
              </w:rPr>
              <w:instrText>orts on the initial CK1δ/ε inhibitor HTS hits with the goal of identifying a compound that would fulﬁll a set of recommended PET ligand criteria. We identiﬁed [3H]PF-5236216 (9) as a tool ligand that meets most of the key CNS PET attributes including high CNS MPO PET desirability score and kinase selectivity, CNS penetration, and low nonspeciﬁc binding. We further used [3H]-9 to determine the binding a</w:instrText>
            </w:r>
            <w:r w:rsidR="00A023AD">
              <w:rPr>
                <w:rFonts w:ascii="Cambria Math" w:hAnsi="Cambria Math" w:cs="Cambria Math"/>
              </w:rPr>
              <w:instrText>ﬃ</w:instrText>
            </w:r>
            <w:r w:rsidR="00A023AD">
              <w:rPr>
                <w:rFonts w:ascii="Arial" w:hAnsi="Arial" w:cs="Arial"/>
              </w:rPr>
              <w:instrText xml:space="preserve">nity for PF-670462, a literature CK1δ/ε inhibitor tool compound. Lastly, [3H]-9 was used to measure in vivo target occupancy (TO) of PF-670462 in mouse and correlated TO with CK1δ/ε in vivo pharmacology (circadian rhythm modulation).","container-title":"ACS Chemical Neuroscience","DOI":"10.1021/acschemneuro.7b00155","ISSN":"1948-7193, 1948-7193","issue":"9","journalAbbreviation":"ACS Chem. Neurosci.","language":"en","page":"1995-2004","source":"DOI.org (Crossref)","title":"Identification and Profiling of a Selective and Brain Penetrant Radioligand for in Vivo Target Occupancy Measurement of Casein Kinase 1 (CK1) Inhibitors","volume":"8","author":[{"family":"Wager","given":"Travis T."},{"family":"Galatsis","given":"Paul"},{"family":"Chandrasekaran","given":"Ramalakshmi Y."},{"family":"Butler","given":"Todd W."},{"family":"Li","given":"Jianke"},{"family":"Zhang","given":"Lei"},{"family":"Mente","given":"Scot"},{"family":"Subramanyam","given":"Chakrapani"},{"family":"Liu","given":"Shenping"},{"family":"Doran","given":"Angela C."},{"family":"Chang","given":"Cheng"},{"family":"Fisher","given":"Katherine"},{"family":"Grimwood","given":"Sarah"},{"family":"Hedde","given":"Joseph R."},{"family":"Marconi","given":"Michael"},{"family":"Schildknegt","given":"Klaas"}],"issued":{"date-parts":[["2017",9,20]]}}}],"schema":"https://github.com/citation-style-language/schema/raw/master/csl-citation.json"} </w:instrText>
            </w:r>
            <w:r w:rsidRPr="008C6002">
              <w:rPr>
                <w:rFonts w:ascii="Arial" w:hAnsi="Arial" w:cs="Arial"/>
              </w:rPr>
              <w:fldChar w:fldCharType="separate"/>
            </w:r>
            <w:r w:rsidR="00A023AD">
              <w:rPr>
                <w:rFonts w:ascii="Arial" w:hAnsi="Arial" w:cs="Arial"/>
                <w:noProof/>
              </w:rPr>
              <w:t>[3]</w:t>
            </w:r>
            <w:r w:rsidRPr="008C6002">
              <w:rPr>
                <w:rFonts w:ascii="Arial" w:hAnsi="Arial" w:cs="Arial"/>
              </w:rPr>
              <w:fldChar w:fldCharType="end"/>
            </w:r>
          </w:p>
        </w:tc>
        <w:tc>
          <w:tcPr>
            <w:tcW w:w="3093" w:type="dxa"/>
            <w:gridSpan w:val="2"/>
            <w:vAlign w:val="center"/>
          </w:tcPr>
          <w:p w14:paraId="549B412E" w14:textId="287867A3" w:rsidR="00B17429" w:rsidRPr="008C6002" w:rsidRDefault="00B17429" w:rsidP="00A023AD">
            <w:pPr>
              <w:jc w:val="center"/>
              <w:rPr>
                <w:rFonts w:ascii="Arial" w:hAnsi="Arial" w:cs="Arial"/>
              </w:rPr>
            </w:pPr>
            <w:r w:rsidRPr="008C6002">
              <w:rPr>
                <w:rFonts w:ascii="Arial" w:hAnsi="Arial" w:cs="Arial"/>
              </w:rPr>
              <w:t>32</w:t>
            </w:r>
            <w:r w:rsidR="00A023AD">
              <w:rPr>
                <w:rFonts w:ascii="Arial" w:hAnsi="Arial" w:cs="Arial"/>
              </w:rPr>
              <w:t xml:space="preserve"> </w:t>
            </w:r>
            <w:r w:rsidRPr="008C6002">
              <w:rPr>
                <w:rFonts w:ascii="Arial" w:hAnsi="Arial" w:cs="Arial"/>
              </w:rPr>
              <w:fldChar w:fldCharType="begin"/>
            </w:r>
            <w:r w:rsidR="00A023AD">
              <w:rPr>
                <w:rFonts w:ascii="Arial" w:hAnsi="Arial" w:cs="Arial"/>
              </w:rPr>
              <w:instrText xml:space="preserve"> ADDIN ZOTERO_ITEM CSL_CITATION {"citationID":"w5P9iaBJ","properties":{"formattedCitation":"[1, 2]","plainCitation":"[1, 2]","noteIndex":0},"citationItems":[{"id":1064,"uris":["http://zotero.org/users/6616471/items/RF9RHMB3"],"itemData":{"id":1064,"type":"article-journal","abstract":"Introduction: The conventional term ‘casein kinase’ (CK) denotes three classes of kinases -- CK1, CK2 and Golgi-CK (G-CK)/Fam20C (family with sequence similarity 20, member C) -- sharing the ability to phoshorylate casein in vitro, but otherwise unrelated to each other. All CKs have been reported to be implicated in human diseases, and reviews individually dealing with the druggability of CK1 and CK2 are available. Our aim is to provide a comparative analysis of the three classes of CKs as therapeutic targets. Areas covered: CK2 is the CK for which implication in neoplasia is best documented, with the survival of cancer cells often relying on its overexpression. An ample variety of cell-permeable CK2 inhibitors have been developed, with a couple of these now in clinical trials. Isoform-specific CK1 inhibitors that are expected to play a beneficial role in oncology and neurodegeneration have been also developed. In contrast, the pathogenic potential of G-CK/Fam20C is caused by its loss of function. Activators of Fam20C, notably sphingolipids and their analogs, may prove beneficial in this respect. Expert opinion: Optimization of CK2 and CK1 inhibitors will prove useful to develop new therapeutic strategies for treating cancer and neurodegenerative disorders, while the design of potent activators of G-CK/Fam20C will provide a new tool in the fields of bio-mineralization and hypophosphatemic diseases.","container-title":"Expert Opinion on Therapeutic Targets","DOI":"10.1517/14728222.2016.1091883","ISSN":"1472-8222, 1744-7631","issue":"3","journalAbbreviation":"Expert Opinion on Therapeutic Targets","language":"en","page":"319-340","source":"DOI.org (Crossref)","title":"Casein kinases as potential therapeutic targets","volume":"20","author":[{"family":"Cozza","given":"Giorgio"},{"family":"Pinna","given":"Lorenzo A"}],"issued":{"date-parts":[["2016",3,3]]}},"label":"page"},{"id":1066,"uris":["http://zotero.org/users/6616471/items/ZN38ISKN"],"itemData":{"id":1066,"type":"article-journal","abstract":"Methods: Using SciFinder® as a tool, the publications about the biology of CK1 and the recent developments of CK1 inhibitors were surveyed with an exclusion of those published as patents.\nResults: This review presents the current state of knowledge on the development of CK1 inhibitors, including both synthetic small molecular inhibitors that were divided into 7 categories according to structural features, and the natural compounds. An overview of the advancement of CK1 inhibitors was given, with the introduction of various existing CK1 inhibitors, their inhibitory activities, and the structure-activity relationships.\nConclusion: Through physicochemical characterization and biological investigations, it is possible to understand the structure-activity relationship of CK1 inhibitors, which will contribute to better design and discovery of potent and selective CK1 inhibitors as potential agents for severe disorders such as AD, ALS and cancer.","container-title":"Current Medicinal Chemistry","DOI":"10.2174/0929867327666200713185413","ISSN":"09298673","issue":"8","journalAbbreviation":"CMC","language":"en","page":"1585-1604","source":"DOI.org (Crossref)","title":"Recent Advances in the Development of Casein Kinase 1 Inhibitors","volume":"28","author":[{"family":"Li","given":"Sha-Sha"},{"family":"Dong","given":"Yue-Hui"},{"family":"Liu","given":"Zhao-Peng"}],"issued":{"date-parts":[["2021",3]]}},"label":"page"}],"schema":"https://github.com/citation-style-language/schema/raw/master/csl-citation.json"} </w:instrText>
            </w:r>
            <w:r w:rsidRPr="008C6002">
              <w:rPr>
                <w:rFonts w:ascii="Arial" w:hAnsi="Arial" w:cs="Arial"/>
              </w:rPr>
              <w:fldChar w:fldCharType="separate"/>
            </w:r>
            <w:r w:rsidR="00A023AD">
              <w:rPr>
                <w:rFonts w:ascii="Arial" w:hAnsi="Arial" w:cs="Arial"/>
                <w:noProof/>
              </w:rPr>
              <w:t>[1, 2]</w:t>
            </w:r>
            <w:r w:rsidRPr="008C6002">
              <w:rPr>
                <w:rFonts w:ascii="Arial" w:hAnsi="Arial" w:cs="Arial"/>
              </w:rPr>
              <w:fldChar w:fldCharType="end"/>
            </w:r>
          </w:p>
        </w:tc>
      </w:tr>
      <w:tr w:rsidR="00B17429" w:rsidRPr="008C6002" w14:paraId="6955F4C8" w14:textId="63206CC8" w:rsidTr="00B17429">
        <w:tc>
          <w:tcPr>
            <w:tcW w:w="2785" w:type="dxa"/>
            <w:vAlign w:val="center"/>
          </w:tcPr>
          <w:p w14:paraId="731F1734" w14:textId="77777777" w:rsidR="00B17429" w:rsidRDefault="00B17429" w:rsidP="00B17429">
            <w:pPr>
              <w:jc w:val="center"/>
              <w:rPr>
                <w:rFonts w:ascii="Arial" w:hAnsi="Arial" w:cs="Arial"/>
                <w:b/>
                <w:bCs/>
              </w:rPr>
            </w:pPr>
          </w:p>
        </w:tc>
        <w:tc>
          <w:tcPr>
            <w:tcW w:w="1350" w:type="dxa"/>
            <w:vAlign w:val="center"/>
          </w:tcPr>
          <w:p w14:paraId="0ACA0CB2" w14:textId="3DEC4F0B" w:rsidR="00B17429" w:rsidRPr="00B17429" w:rsidRDefault="00B17429" w:rsidP="00B17429">
            <w:pPr>
              <w:jc w:val="center"/>
              <w:rPr>
                <w:rFonts w:ascii="Arial" w:hAnsi="Arial" w:cs="Arial"/>
                <w:b/>
                <w:bCs/>
              </w:rPr>
            </w:pPr>
            <w:r w:rsidRPr="00B17429">
              <w:rPr>
                <w:rFonts w:ascii="Arial" w:hAnsi="Arial" w:cs="Arial"/>
                <w:b/>
                <w:bCs/>
              </w:rPr>
              <w:t>Plasma</w:t>
            </w:r>
          </w:p>
        </w:tc>
        <w:tc>
          <w:tcPr>
            <w:tcW w:w="1399" w:type="dxa"/>
            <w:vAlign w:val="center"/>
          </w:tcPr>
          <w:p w14:paraId="5E354DB2" w14:textId="0584F2E3" w:rsidR="00B17429" w:rsidRPr="00B17429" w:rsidRDefault="00B17429" w:rsidP="00B17429">
            <w:pPr>
              <w:jc w:val="center"/>
              <w:rPr>
                <w:rFonts w:ascii="Arial" w:hAnsi="Arial" w:cs="Arial"/>
                <w:b/>
                <w:bCs/>
              </w:rPr>
            </w:pPr>
            <w:r w:rsidRPr="00B17429">
              <w:rPr>
                <w:rFonts w:ascii="Arial" w:hAnsi="Arial" w:cs="Arial"/>
                <w:b/>
                <w:bCs/>
              </w:rPr>
              <w:t>Brain</w:t>
            </w:r>
            <w:r>
              <w:rPr>
                <w:rFonts w:ascii="Arial" w:hAnsi="Arial" w:cs="Arial"/>
                <w:b/>
                <w:bCs/>
              </w:rPr>
              <w:t>*</w:t>
            </w:r>
          </w:p>
        </w:tc>
        <w:tc>
          <w:tcPr>
            <w:tcW w:w="1571" w:type="dxa"/>
            <w:gridSpan w:val="2"/>
            <w:vAlign w:val="center"/>
          </w:tcPr>
          <w:p w14:paraId="0455C43C" w14:textId="347F2236" w:rsidR="00B17429" w:rsidRDefault="00B17429" w:rsidP="00B17429">
            <w:pPr>
              <w:jc w:val="center"/>
              <w:rPr>
                <w:rFonts w:ascii="Arial" w:hAnsi="Arial" w:cs="Arial"/>
              </w:rPr>
            </w:pPr>
            <w:r w:rsidRPr="00B17429">
              <w:rPr>
                <w:rFonts w:ascii="Arial" w:hAnsi="Arial" w:cs="Arial"/>
                <w:b/>
                <w:bCs/>
              </w:rPr>
              <w:t>Plasma</w:t>
            </w:r>
          </w:p>
        </w:tc>
        <w:tc>
          <w:tcPr>
            <w:tcW w:w="1530" w:type="dxa"/>
            <w:vAlign w:val="center"/>
          </w:tcPr>
          <w:p w14:paraId="6DFA2426" w14:textId="5866A04A" w:rsidR="00B17429" w:rsidRDefault="00B17429" w:rsidP="00B17429">
            <w:pPr>
              <w:jc w:val="center"/>
              <w:rPr>
                <w:rFonts w:ascii="Arial" w:hAnsi="Arial" w:cs="Arial"/>
              </w:rPr>
            </w:pPr>
            <w:r w:rsidRPr="00B17429">
              <w:rPr>
                <w:rFonts w:ascii="Arial" w:hAnsi="Arial" w:cs="Arial"/>
                <w:b/>
                <w:bCs/>
              </w:rPr>
              <w:t>Brain</w:t>
            </w:r>
            <w:r>
              <w:rPr>
                <w:rFonts w:ascii="Arial" w:hAnsi="Arial" w:cs="Arial"/>
                <w:b/>
                <w:bCs/>
              </w:rPr>
              <w:t>*</w:t>
            </w:r>
          </w:p>
        </w:tc>
      </w:tr>
      <w:tr w:rsidR="00B17429" w:rsidRPr="008C6002" w14:paraId="45D51967" w14:textId="3049AA6F" w:rsidTr="00B17429">
        <w:tc>
          <w:tcPr>
            <w:tcW w:w="2785" w:type="dxa"/>
            <w:vAlign w:val="center"/>
          </w:tcPr>
          <w:p w14:paraId="5320129A" w14:textId="67A2BF69" w:rsidR="00B17429" w:rsidRPr="002F414A" w:rsidRDefault="00B17429" w:rsidP="00B17429">
            <w:pPr>
              <w:jc w:val="center"/>
              <w:rPr>
                <w:rFonts w:ascii="Arial" w:hAnsi="Arial" w:cs="Arial"/>
                <w:b/>
                <w:bCs/>
              </w:rPr>
            </w:pPr>
            <w:r>
              <w:rPr>
                <w:rFonts w:ascii="Arial" w:hAnsi="Arial" w:cs="Arial"/>
                <w:b/>
                <w:bCs/>
              </w:rPr>
              <w:t>AUC (</w:t>
            </w:r>
            <w:proofErr w:type="spellStart"/>
            <w:r>
              <w:rPr>
                <w:rFonts w:ascii="Arial" w:hAnsi="Arial" w:cs="Arial"/>
                <w:b/>
                <w:bCs/>
              </w:rPr>
              <w:t>hr</w:t>
            </w:r>
            <w:proofErr w:type="spellEnd"/>
            <w:r>
              <w:rPr>
                <w:rFonts w:ascii="Arial" w:hAnsi="Arial" w:cs="Arial"/>
                <w:b/>
                <w:bCs/>
              </w:rPr>
              <w:t>*ng/mL)</w:t>
            </w:r>
          </w:p>
        </w:tc>
        <w:tc>
          <w:tcPr>
            <w:tcW w:w="1350" w:type="dxa"/>
            <w:vAlign w:val="center"/>
          </w:tcPr>
          <w:p w14:paraId="107687BF" w14:textId="22D0226E" w:rsidR="00B17429" w:rsidRPr="008C6002" w:rsidRDefault="00B17429" w:rsidP="00B17429">
            <w:pPr>
              <w:jc w:val="center"/>
              <w:rPr>
                <w:rFonts w:ascii="Arial" w:hAnsi="Arial" w:cs="Arial"/>
              </w:rPr>
            </w:pPr>
            <w:r>
              <w:rPr>
                <w:rFonts w:ascii="Arial" w:hAnsi="Arial" w:cs="Arial"/>
              </w:rPr>
              <w:t>49909</w:t>
            </w:r>
          </w:p>
        </w:tc>
        <w:tc>
          <w:tcPr>
            <w:tcW w:w="1399" w:type="dxa"/>
            <w:vAlign w:val="center"/>
          </w:tcPr>
          <w:p w14:paraId="1BD00101" w14:textId="470E78B2" w:rsidR="00B17429" w:rsidRDefault="00B17429" w:rsidP="00B17429">
            <w:pPr>
              <w:jc w:val="center"/>
              <w:rPr>
                <w:rFonts w:ascii="Arial" w:hAnsi="Arial" w:cs="Arial"/>
              </w:rPr>
            </w:pPr>
            <w:r>
              <w:rPr>
                <w:rFonts w:ascii="Arial" w:hAnsi="Arial" w:cs="Arial"/>
              </w:rPr>
              <w:t>22344</w:t>
            </w:r>
          </w:p>
        </w:tc>
        <w:tc>
          <w:tcPr>
            <w:tcW w:w="1571" w:type="dxa"/>
            <w:gridSpan w:val="2"/>
            <w:vAlign w:val="center"/>
          </w:tcPr>
          <w:p w14:paraId="2E427025" w14:textId="3DF28473" w:rsidR="00B17429" w:rsidRPr="008C6002" w:rsidRDefault="00B17429" w:rsidP="00B17429">
            <w:pPr>
              <w:jc w:val="center"/>
              <w:rPr>
                <w:rFonts w:ascii="Arial" w:hAnsi="Arial" w:cs="Arial"/>
              </w:rPr>
            </w:pPr>
            <w:r>
              <w:rPr>
                <w:rFonts w:ascii="Arial" w:hAnsi="Arial" w:cs="Arial"/>
              </w:rPr>
              <w:t>7996</w:t>
            </w:r>
          </w:p>
        </w:tc>
        <w:tc>
          <w:tcPr>
            <w:tcW w:w="1530" w:type="dxa"/>
            <w:vAlign w:val="center"/>
          </w:tcPr>
          <w:p w14:paraId="151C3C11" w14:textId="4E8DA7DA" w:rsidR="00B17429" w:rsidRDefault="00B17429" w:rsidP="00B17429">
            <w:pPr>
              <w:jc w:val="center"/>
              <w:rPr>
                <w:rFonts w:ascii="Arial" w:hAnsi="Arial" w:cs="Arial"/>
              </w:rPr>
            </w:pPr>
            <w:r>
              <w:rPr>
                <w:rFonts w:ascii="Arial" w:hAnsi="Arial" w:cs="Arial"/>
              </w:rPr>
              <w:t>7490</w:t>
            </w:r>
          </w:p>
        </w:tc>
      </w:tr>
      <w:tr w:rsidR="00B17429" w:rsidRPr="008C6002" w14:paraId="03A01CF6" w14:textId="28907CD2" w:rsidTr="00B17429">
        <w:tc>
          <w:tcPr>
            <w:tcW w:w="2785" w:type="dxa"/>
            <w:vAlign w:val="center"/>
          </w:tcPr>
          <w:p w14:paraId="4C2CC863" w14:textId="69960D5D" w:rsidR="00B17429" w:rsidRPr="002F414A" w:rsidRDefault="00B17429" w:rsidP="00B17429">
            <w:pPr>
              <w:jc w:val="center"/>
              <w:rPr>
                <w:rFonts w:ascii="Arial" w:hAnsi="Arial" w:cs="Arial"/>
                <w:b/>
                <w:bCs/>
              </w:rPr>
            </w:pPr>
            <w:r>
              <w:rPr>
                <w:rFonts w:ascii="Arial" w:hAnsi="Arial" w:cs="Arial"/>
                <w:b/>
                <w:bCs/>
              </w:rPr>
              <w:t>Mean C</w:t>
            </w:r>
            <w:r w:rsidRPr="00DB347F">
              <w:rPr>
                <w:rFonts w:ascii="Arial" w:hAnsi="Arial" w:cs="Arial"/>
                <w:b/>
                <w:bCs/>
                <w:vertAlign w:val="subscript"/>
              </w:rPr>
              <w:t>max</w:t>
            </w:r>
            <w:r>
              <w:rPr>
                <w:rFonts w:ascii="Arial" w:hAnsi="Arial" w:cs="Arial"/>
                <w:b/>
                <w:bCs/>
              </w:rPr>
              <w:t xml:space="preserve"> (ng/mL)</w:t>
            </w:r>
          </w:p>
        </w:tc>
        <w:tc>
          <w:tcPr>
            <w:tcW w:w="1350" w:type="dxa"/>
            <w:vAlign w:val="center"/>
          </w:tcPr>
          <w:p w14:paraId="6D104EA9" w14:textId="54F08772" w:rsidR="00B17429" w:rsidRPr="008C6002" w:rsidRDefault="00B17429" w:rsidP="00B17429">
            <w:pPr>
              <w:jc w:val="center"/>
              <w:rPr>
                <w:rFonts w:ascii="Arial" w:hAnsi="Arial" w:cs="Arial"/>
              </w:rPr>
            </w:pPr>
            <w:r>
              <w:rPr>
                <w:rFonts w:ascii="Arial" w:hAnsi="Arial" w:cs="Arial"/>
              </w:rPr>
              <w:t>17483</w:t>
            </w:r>
          </w:p>
        </w:tc>
        <w:tc>
          <w:tcPr>
            <w:tcW w:w="1399" w:type="dxa"/>
            <w:vAlign w:val="center"/>
          </w:tcPr>
          <w:p w14:paraId="6189FB54" w14:textId="25F2FFE9" w:rsidR="00B17429" w:rsidRDefault="00B17429" w:rsidP="00B17429">
            <w:pPr>
              <w:jc w:val="center"/>
              <w:rPr>
                <w:rFonts w:ascii="Arial" w:hAnsi="Arial" w:cs="Arial"/>
              </w:rPr>
            </w:pPr>
            <w:r>
              <w:rPr>
                <w:rFonts w:ascii="Arial" w:hAnsi="Arial" w:cs="Arial"/>
              </w:rPr>
              <w:t>8447</w:t>
            </w:r>
          </w:p>
        </w:tc>
        <w:tc>
          <w:tcPr>
            <w:tcW w:w="1571" w:type="dxa"/>
            <w:gridSpan w:val="2"/>
            <w:vAlign w:val="center"/>
          </w:tcPr>
          <w:p w14:paraId="25A69B4A" w14:textId="42B2D45E" w:rsidR="00B17429" w:rsidRPr="008C6002" w:rsidRDefault="00B17429" w:rsidP="00B17429">
            <w:pPr>
              <w:jc w:val="center"/>
              <w:rPr>
                <w:rFonts w:ascii="Arial" w:hAnsi="Arial" w:cs="Arial"/>
              </w:rPr>
            </w:pPr>
            <w:r>
              <w:rPr>
                <w:rFonts w:ascii="Arial" w:hAnsi="Arial" w:cs="Arial"/>
              </w:rPr>
              <w:t>5523</w:t>
            </w:r>
          </w:p>
        </w:tc>
        <w:tc>
          <w:tcPr>
            <w:tcW w:w="1530" w:type="dxa"/>
            <w:vAlign w:val="center"/>
          </w:tcPr>
          <w:p w14:paraId="4A114686" w14:textId="5416D934" w:rsidR="00B17429" w:rsidRDefault="00B17429" w:rsidP="00B17429">
            <w:pPr>
              <w:jc w:val="center"/>
              <w:rPr>
                <w:rFonts w:ascii="Arial" w:hAnsi="Arial" w:cs="Arial"/>
              </w:rPr>
            </w:pPr>
            <w:r>
              <w:rPr>
                <w:rFonts w:ascii="Arial" w:hAnsi="Arial" w:cs="Arial"/>
              </w:rPr>
              <w:t>5050</w:t>
            </w:r>
          </w:p>
        </w:tc>
      </w:tr>
      <w:tr w:rsidR="00B17429" w:rsidRPr="008C6002" w14:paraId="6568DFCF" w14:textId="6C5A2A5F" w:rsidTr="00B17429">
        <w:tc>
          <w:tcPr>
            <w:tcW w:w="2785" w:type="dxa"/>
            <w:vAlign w:val="center"/>
          </w:tcPr>
          <w:p w14:paraId="1658E43E" w14:textId="1C20FA59" w:rsidR="00B17429" w:rsidRPr="002F414A" w:rsidRDefault="00B17429" w:rsidP="00B17429">
            <w:pPr>
              <w:jc w:val="center"/>
              <w:rPr>
                <w:rFonts w:ascii="Arial" w:hAnsi="Arial" w:cs="Arial"/>
                <w:b/>
                <w:bCs/>
              </w:rPr>
            </w:pPr>
            <w:r>
              <w:rPr>
                <w:rFonts w:ascii="Arial" w:hAnsi="Arial" w:cs="Arial"/>
                <w:b/>
                <w:bCs/>
              </w:rPr>
              <w:t xml:space="preserve">Mean terminal </w:t>
            </w:r>
            <w:r w:rsidR="004431D9">
              <w:rPr>
                <w:rFonts w:ascii="Arial" w:hAnsi="Arial" w:cs="Arial"/>
                <w:b/>
                <w:bCs/>
              </w:rPr>
              <w:t>t</w:t>
            </w:r>
            <w:r w:rsidRPr="00005069">
              <w:rPr>
                <w:rFonts w:ascii="Arial" w:hAnsi="Arial" w:cs="Arial"/>
                <w:b/>
                <w:bCs/>
                <w:vertAlign w:val="subscript"/>
              </w:rPr>
              <w:t xml:space="preserve">1/2 </w:t>
            </w:r>
            <w:r>
              <w:rPr>
                <w:rFonts w:ascii="Arial" w:hAnsi="Arial" w:cs="Arial"/>
                <w:b/>
                <w:bCs/>
              </w:rPr>
              <w:t>(</w:t>
            </w:r>
            <w:proofErr w:type="spellStart"/>
            <w:r>
              <w:rPr>
                <w:rFonts w:ascii="Arial" w:hAnsi="Arial" w:cs="Arial"/>
                <w:b/>
                <w:bCs/>
              </w:rPr>
              <w:t>hr</w:t>
            </w:r>
            <w:proofErr w:type="spellEnd"/>
            <w:r>
              <w:rPr>
                <w:rFonts w:ascii="Arial" w:hAnsi="Arial" w:cs="Arial"/>
                <w:b/>
                <w:bCs/>
              </w:rPr>
              <w:t>)</w:t>
            </w:r>
          </w:p>
        </w:tc>
        <w:tc>
          <w:tcPr>
            <w:tcW w:w="1350" w:type="dxa"/>
            <w:vAlign w:val="center"/>
          </w:tcPr>
          <w:p w14:paraId="6B38D585" w14:textId="3A1DBE17" w:rsidR="00B17429" w:rsidRPr="008C6002" w:rsidRDefault="00B17429" w:rsidP="00B17429">
            <w:pPr>
              <w:jc w:val="center"/>
              <w:rPr>
                <w:rFonts w:ascii="Arial" w:hAnsi="Arial" w:cs="Arial"/>
              </w:rPr>
            </w:pPr>
            <w:r>
              <w:rPr>
                <w:rFonts w:ascii="Arial" w:hAnsi="Arial" w:cs="Arial"/>
              </w:rPr>
              <w:t>2</w:t>
            </w:r>
          </w:p>
        </w:tc>
        <w:tc>
          <w:tcPr>
            <w:tcW w:w="1399" w:type="dxa"/>
            <w:vAlign w:val="center"/>
          </w:tcPr>
          <w:p w14:paraId="02D1BD6A" w14:textId="4B6D7858" w:rsidR="00B17429" w:rsidRDefault="00B17429" w:rsidP="00B17429">
            <w:pPr>
              <w:jc w:val="center"/>
              <w:rPr>
                <w:rFonts w:ascii="Arial" w:hAnsi="Arial" w:cs="Arial"/>
              </w:rPr>
            </w:pPr>
            <w:r>
              <w:rPr>
                <w:rFonts w:ascii="Arial" w:hAnsi="Arial" w:cs="Arial"/>
              </w:rPr>
              <w:t>2.5</w:t>
            </w:r>
          </w:p>
        </w:tc>
        <w:tc>
          <w:tcPr>
            <w:tcW w:w="1571" w:type="dxa"/>
            <w:gridSpan w:val="2"/>
            <w:vAlign w:val="center"/>
          </w:tcPr>
          <w:p w14:paraId="7E643597" w14:textId="3D3A5B6A" w:rsidR="00B17429" w:rsidRPr="008C6002" w:rsidRDefault="00B17429" w:rsidP="00B17429">
            <w:pPr>
              <w:jc w:val="center"/>
              <w:rPr>
                <w:rFonts w:ascii="Arial" w:hAnsi="Arial" w:cs="Arial"/>
              </w:rPr>
            </w:pPr>
            <w:r>
              <w:rPr>
                <w:rFonts w:ascii="Arial" w:hAnsi="Arial" w:cs="Arial"/>
              </w:rPr>
              <w:t>3.2</w:t>
            </w:r>
          </w:p>
        </w:tc>
        <w:tc>
          <w:tcPr>
            <w:tcW w:w="1530" w:type="dxa"/>
            <w:vAlign w:val="center"/>
          </w:tcPr>
          <w:p w14:paraId="5A186D7B" w14:textId="371A7700" w:rsidR="00B17429" w:rsidRDefault="00B17429" w:rsidP="00B17429">
            <w:pPr>
              <w:jc w:val="center"/>
              <w:rPr>
                <w:rFonts w:ascii="Arial" w:hAnsi="Arial" w:cs="Arial"/>
              </w:rPr>
            </w:pPr>
            <w:r>
              <w:rPr>
                <w:rFonts w:ascii="Arial" w:hAnsi="Arial" w:cs="Arial"/>
              </w:rPr>
              <w:t>6.7</w:t>
            </w:r>
          </w:p>
        </w:tc>
      </w:tr>
    </w:tbl>
    <w:p w14:paraId="64B8D1E9" w14:textId="498AA9B3" w:rsidR="00452F58" w:rsidRDefault="0020726B" w:rsidP="0020726B">
      <w:pPr>
        <w:jc w:val="both"/>
        <w:rPr>
          <w:rFonts w:ascii="Arial" w:hAnsi="Arial" w:cs="Arial"/>
        </w:rPr>
      </w:pPr>
      <w:r>
        <w:rPr>
          <w:rFonts w:ascii="Arial" w:hAnsi="Arial" w:cs="Arial"/>
        </w:rPr>
        <w:t xml:space="preserve">* Concentration in brain is in ng/g </w:t>
      </w:r>
    </w:p>
    <w:p w14:paraId="44FFED96" w14:textId="77777777" w:rsidR="0020726B" w:rsidRPr="0020726B" w:rsidRDefault="0020726B" w:rsidP="0020726B">
      <w:pPr>
        <w:jc w:val="both"/>
        <w:rPr>
          <w:rFonts w:ascii="Arial" w:hAnsi="Arial" w:cs="Arial"/>
        </w:rPr>
      </w:pPr>
    </w:p>
    <w:p w14:paraId="0B29DD08" w14:textId="77777777" w:rsidR="00AD1C51" w:rsidRDefault="00452F58" w:rsidP="00452F58">
      <w:pPr>
        <w:jc w:val="both"/>
        <w:rPr>
          <w:rFonts w:ascii="Arial" w:hAnsi="Arial" w:cs="Arial"/>
          <w:b/>
          <w:bCs/>
          <w:color w:val="000000" w:themeColor="text1"/>
        </w:rPr>
      </w:pPr>
      <w:r w:rsidRPr="008C6002">
        <w:rPr>
          <w:rFonts w:ascii="Arial" w:hAnsi="Arial" w:cs="Arial"/>
          <w:b/>
          <w:bCs/>
          <w:color w:val="000000" w:themeColor="text1"/>
        </w:rPr>
        <w:t xml:space="preserve">Supplementary Table </w:t>
      </w:r>
      <w:r w:rsidR="007D368C" w:rsidRPr="008C6002">
        <w:rPr>
          <w:rFonts w:ascii="Arial" w:hAnsi="Arial" w:cs="Arial"/>
          <w:b/>
          <w:bCs/>
          <w:color w:val="000000" w:themeColor="text1"/>
        </w:rPr>
        <w:t>S</w:t>
      </w:r>
      <w:r w:rsidRPr="008C6002">
        <w:rPr>
          <w:rFonts w:ascii="Arial" w:hAnsi="Arial" w:cs="Arial"/>
          <w:b/>
          <w:bCs/>
          <w:color w:val="000000" w:themeColor="text1"/>
        </w:rPr>
        <w:t>1. CK1 inhibitor compound profiles</w:t>
      </w:r>
      <w:r w:rsidR="00AD1C51">
        <w:rPr>
          <w:rFonts w:ascii="Arial" w:hAnsi="Arial" w:cs="Arial"/>
          <w:b/>
          <w:bCs/>
          <w:color w:val="000000" w:themeColor="text1"/>
        </w:rPr>
        <w:t xml:space="preserve">. </w:t>
      </w:r>
    </w:p>
    <w:p w14:paraId="30B02E1D" w14:textId="40B76C43" w:rsidR="00452F58" w:rsidRPr="008C6002" w:rsidRDefault="00E5019C" w:rsidP="00452F58">
      <w:pPr>
        <w:jc w:val="both"/>
        <w:rPr>
          <w:rFonts w:ascii="Arial" w:hAnsi="Arial" w:cs="Arial"/>
        </w:rPr>
      </w:pPr>
      <w:r w:rsidRPr="008C6002">
        <w:rPr>
          <w:rFonts w:ascii="Arial" w:hAnsi="Arial" w:cs="Arial"/>
        </w:rPr>
        <w:t xml:space="preserve">Additional characteristics of the CK1 inhibitor compounds are outlined. </w:t>
      </w:r>
      <w:r w:rsidR="00617851" w:rsidRPr="008C6002">
        <w:rPr>
          <w:rFonts w:ascii="Arial" w:hAnsi="Arial" w:cs="Arial"/>
        </w:rPr>
        <w:t>The chemical structure</w:t>
      </w:r>
      <w:r w:rsidRPr="008C6002">
        <w:rPr>
          <w:rFonts w:ascii="Arial" w:hAnsi="Arial" w:cs="Arial"/>
        </w:rPr>
        <w:t xml:space="preserve"> was made using </w:t>
      </w:r>
      <w:proofErr w:type="spellStart"/>
      <w:r w:rsidRPr="008C6002">
        <w:rPr>
          <w:rFonts w:ascii="Arial" w:hAnsi="Arial" w:cs="Arial"/>
        </w:rPr>
        <w:t>ChemDraw</w:t>
      </w:r>
      <w:proofErr w:type="spellEnd"/>
      <w:r w:rsidRPr="008C6002">
        <w:rPr>
          <w:rFonts w:ascii="Arial" w:hAnsi="Arial" w:cs="Arial"/>
        </w:rPr>
        <w:t>.</w:t>
      </w:r>
      <w:r w:rsidR="00A5673A">
        <w:rPr>
          <w:rFonts w:ascii="Arial" w:hAnsi="Arial" w:cs="Arial"/>
        </w:rPr>
        <w:t xml:space="preserve"> </w:t>
      </w:r>
    </w:p>
    <w:p w14:paraId="12CEC98F" w14:textId="77777777" w:rsidR="003C2614" w:rsidRPr="008C6002" w:rsidRDefault="003C2614" w:rsidP="003C2614">
      <w:pPr>
        <w:spacing w:line="480" w:lineRule="auto"/>
        <w:jc w:val="both"/>
        <w:rPr>
          <w:rFonts w:ascii="Arial" w:hAnsi="Arial" w:cs="Arial"/>
          <w:color w:val="000000" w:themeColor="text1"/>
        </w:rPr>
      </w:pPr>
    </w:p>
    <w:p w14:paraId="4E831964" w14:textId="1C82D742" w:rsidR="00A164E1" w:rsidRPr="008C6002" w:rsidRDefault="00B909E6" w:rsidP="003C2614">
      <w:pPr>
        <w:spacing w:line="480" w:lineRule="auto"/>
        <w:jc w:val="both"/>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6288CA0E" wp14:editId="008C8CDE">
            <wp:extent cx="4938652" cy="5964865"/>
            <wp:effectExtent l="0" t="0" r="1905" b="4445"/>
            <wp:docPr id="1415684275" name="Picture 3"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684275" name="Picture 3" descr="A close-up of a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88170" cy="6024672"/>
                    </a:xfrm>
                    <a:prstGeom prst="rect">
                      <a:avLst/>
                    </a:prstGeom>
                  </pic:spPr>
                </pic:pic>
              </a:graphicData>
            </a:graphic>
          </wp:inline>
        </w:drawing>
      </w:r>
    </w:p>
    <w:p w14:paraId="34BAC98B" w14:textId="3E93DF07" w:rsidR="00454452" w:rsidRPr="008C6002" w:rsidRDefault="00241E46" w:rsidP="00422E30">
      <w:pPr>
        <w:jc w:val="both"/>
        <w:rPr>
          <w:rFonts w:ascii="Arial" w:hAnsi="Arial" w:cs="Arial"/>
          <w:color w:val="000000" w:themeColor="text1"/>
        </w:rPr>
      </w:pPr>
      <w:r w:rsidRPr="008C6002">
        <w:rPr>
          <w:rFonts w:ascii="Arial" w:hAnsi="Arial" w:cs="Arial"/>
          <w:b/>
          <w:bCs/>
          <w:color w:val="000000" w:themeColor="text1"/>
        </w:rPr>
        <w:t>Supplementary Fig</w:t>
      </w:r>
      <w:r w:rsidR="007D368C" w:rsidRPr="008C6002">
        <w:rPr>
          <w:rFonts w:ascii="Arial" w:hAnsi="Arial" w:cs="Arial"/>
          <w:b/>
          <w:bCs/>
          <w:color w:val="000000" w:themeColor="text1"/>
        </w:rPr>
        <w:t>ure</w:t>
      </w:r>
      <w:r w:rsidRPr="008C6002">
        <w:rPr>
          <w:rFonts w:ascii="Arial" w:hAnsi="Arial" w:cs="Arial"/>
          <w:b/>
          <w:bCs/>
          <w:color w:val="000000" w:themeColor="text1"/>
        </w:rPr>
        <w:t xml:space="preserve"> S3</w:t>
      </w:r>
      <w:r w:rsidR="003D13DE" w:rsidRPr="008C6002">
        <w:rPr>
          <w:rFonts w:ascii="Arial" w:hAnsi="Arial" w:cs="Arial"/>
          <w:b/>
          <w:bCs/>
          <w:color w:val="000000" w:themeColor="text1"/>
        </w:rPr>
        <w:t>.</w:t>
      </w:r>
      <w:r w:rsidRPr="008C6002">
        <w:rPr>
          <w:rFonts w:ascii="Arial" w:hAnsi="Arial" w:cs="Arial"/>
          <w:b/>
          <w:bCs/>
          <w:color w:val="000000" w:themeColor="text1"/>
        </w:rPr>
        <w:t xml:space="preserve"> </w:t>
      </w:r>
      <w:bookmarkStart w:id="1" w:name="_Toc164868337"/>
      <w:r w:rsidR="00422E30" w:rsidRPr="008C6002">
        <w:rPr>
          <w:rFonts w:ascii="Arial" w:hAnsi="Arial" w:cs="Arial"/>
          <w:b/>
          <w:bCs/>
        </w:rPr>
        <w:t>Transcriptomic study revealed potential side effects of long-term CK1</w:t>
      </w:r>
      <w:r w:rsidR="00422E30" w:rsidRPr="008C6002">
        <w:rPr>
          <w:rFonts w:ascii="Arial" w:hAnsi="Arial" w:cs="Arial"/>
          <w:b/>
          <w:bCs/>
        </w:rPr>
        <w:sym w:font="Symbol" w:char="F064"/>
      </w:r>
      <w:r w:rsidR="00422E30" w:rsidRPr="008C6002">
        <w:rPr>
          <w:rFonts w:ascii="Arial" w:hAnsi="Arial" w:cs="Arial"/>
          <w:b/>
          <w:bCs/>
        </w:rPr>
        <w:t>/</w:t>
      </w:r>
      <w:r w:rsidR="00422E30" w:rsidRPr="008C6002">
        <w:rPr>
          <w:rFonts w:ascii="Arial" w:hAnsi="Arial" w:cs="Arial"/>
          <w:b/>
          <w:bCs/>
        </w:rPr>
        <w:sym w:font="Symbol" w:char="F065"/>
      </w:r>
      <w:r w:rsidR="00422E30" w:rsidRPr="008C6002">
        <w:rPr>
          <w:rFonts w:ascii="Arial" w:hAnsi="Arial" w:cs="Arial"/>
          <w:b/>
          <w:bCs/>
        </w:rPr>
        <w:t>-selective inhibitor treatment.</w:t>
      </w:r>
      <w:bookmarkEnd w:id="1"/>
      <w:r w:rsidR="00422E30" w:rsidRPr="008C6002">
        <w:rPr>
          <w:rFonts w:ascii="Arial" w:hAnsi="Arial" w:cs="Arial"/>
          <w:b/>
          <w:bCs/>
        </w:rPr>
        <w:t xml:space="preserve"> </w:t>
      </w:r>
      <w:r w:rsidR="00422E30" w:rsidRPr="008C6002">
        <w:rPr>
          <w:rFonts w:ascii="Arial" w:hAnsi="Arial" w:cs="Arial"/>
        </w:rPr>
        <w:t>(</w:t>
      </w:r>
      <w:r w:rsidR="00A545CB">
        <w:rPr>
          <w:rFonts w:ascii="Arial" w:hAnsi="Arial" w:cs="Arial"/>
        </w:rPr>
        <w:t>a</w:t>
      </w:r>
      <w:r w:rsidR="00422E30" w:rsidRPr="008C6002">
        <w:rPr>
          <w:rFonts w:ascii="Arial" w:hAnsi="Arial" w:cs="Arial"/>
        </w:rPr>
        <w:t>) Schematic of experimental design to perform bulk-RNA sequencing of samples from the 14-day and 22-day treated and untreated mice groups. (</w:t>
      </w:r>
      <w:r w:rsidR="00A545CB">
        <w:rPr>
          <w:rFonts w:ascii="Arial" w:hAnsi="Arial" w:cs="Arial"/>
        </w:rPr>
        <w:t>b</w:t>
      </w:r>
      <w:r w:rsidR="00422E30" w:rsidRPr="008C6002">
        <w:rPr>
          <w:rFonts w:ascii="Arial" w:hAnsi="Arial" w:cs="Arial"/>
        </w:rPr>
        <w:t xml:space="preserve">) Venn diagram comparing highly differentiated genes between treated and untreated mice for 14 and 22 days. </w:t>
      </w:r>
      <w:r w:rsidR="00422E30" w:rsidRPr="008C6002">
        <w:rPr>
          <w:rFonts w:ascii="Arial" w:hAnsi="Arial" w:cs="Arial"/>
          <w:i/>
          <w:iCs/>
        </w:rPr>
        <w:t>MAP3K6</w:t>
      </w:r>
      <w:r w:rsidR="00422E30" w:rsidRPr="008C6002">
        <w:rPr>
          <w:rFonts w:ascii="Arial" w:hAnsi="Arial" w:cs="Arial"/>
        </w:rPr>
        <w:t xml:space="preserve"> was identified to be significantly upregulated in the treated groups compared to untreated groups at both timepoints. (</w:t>
      </w:r>
      <w:r w:rsidR="00A545CB">
        <w:rPr>
          <w:rFonts w:ascii="Arial" w:hAnsi="Arial" w:cs="Arial"/>
        </w:rPr>
        <w:t>c-d</w:t>
      </w:r>
      <w:r w:rsidR="00422E30" w:rsidRPr="008C6002">
        <w:rPr>
          <w:rFonts w:ascii="Arial" w:hAnsi="Arial" w:cs="Arial"/>
        </w:rPr>
        <w:t xml:space="preserve">) Gene set enrichment analysis (GSEA) of </w:t>
      </w:r>
      <w:r w:rsidR="00620B9D" w:rsidRPr="008C6002">
        <w:rPr>
          <w:rFonts w:ascii="Arial" w:hAnsi="Arial" w:cs="Arial"/>
        </w:rPr>
        <w:t xml:space="preserve">22-day treated, 22-day untreated, and non-Tg WT mice </w:t>
      </w:r>
      <w:r w:rsidR="00422E30" w:rsidRPr="008C6002">
        <w:rPr>
          <w:rFonts w:ascii="Arial" w:hAnsi="Arial" w:cs="Arial"/>
        </w:rPr>
        <w:t>did not identify any significant differences between the gene ontology groups and enrichment scores.</w:t>
      </w:r>
      <w:r w:rsidR="00620B9D" w:rsidRPr="008C6002">
        <w:rPr>
          <w:rFonts w:ascii="Arial" w:hAnsi="Arial" w:cs="Arial"/>
        </w:rPr>
        <w:t xml:space="preserve"> </w:t>
      </w:r>
    </w:p>
    <w:p w14:paraId="5ECF8284" w14:textId="4E0E8314" w:rsidR="00A164E1" w:rsidRPr="008C6002" w:rsidRDefault="00B909E6" w:rsidP="003C2614">
      <w:pPr>
        <w:spacing w:line="480" w:lineRule="auto"/>
        <w:jc w:val="both"/>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1DC764CB" wp14:editId="0D4A9040">
            <wp:extent cx="5943600" cy="3245485"/>
            <wp:effectExtent l="0" t="0" r="0" b="5715"/>
            <wp:docPr id="1277733027" name="Picture 4" descr="A diagram of a test resul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33027" name="Picture 4" descr="A diagram of a test result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245485"/>
                    </a:xfrm>
                    <a:prstGeom prst="rect">
                      <a:avLst/>
                    </a:prstGeom>
                  </pic:spPr>
                </pic:pic>
              </a:graphicData>
            </a:graphic>
          </wp:inline>
        </w:drawing>
      </w:r>
    </w:p>
    <w:p w14:paraId="6E4ADBD8" w14:textId="41E711D3" w:rsidR="00422E30" w:rsidRPr="008C6002" w:rsidRDefault="00241E46" w:rsidP="00422E30">
      <w:pPr>
        <w:jc w:val="both"/>
        <w:rPr>
          <w:rFonts w:ascii="Arial" w:hAnsi="Arial" w:cs="Arial"/>
          <w:b/>
          <w:bCs/>
        </w:rPr>
      </w:pPr>
      <w:r w:rsidRPr="008C6002">
        <w:rPr>
          <w:rFonts w:ascii="Arial" w:hAnsi="Arial" w:cs="Arial"/>
          <w:b/>
          <w:bCs/>
          <w:color w:val="000000" w:themeColor="text1"/>
        </w:rPr>
        <w:t>Supplementary Fig</w:t>
      </w:r>
      <w:r w:rsidR="007D368C" w:rsidRPr="008C6002">
        <w:rPr>
          <w:rFonts w:ascii="Arial" w:hAnsi="Arial" w:cs="Arial"/>
          <w:b/>
          <w:bCs/>
          <w:color w:val="000000" w:themeColor="text1"/>
        </w:rPr>
        <w:t>ure</w:t>
      </w:r>
      <w:r w:rsidRPr="008C6002">
        <w:rPr>
          <w:rFonts w:ascii="Arial" w:hAnsi="Arial" w:cs="Arial"/>
          <w:b/>
          <w:bCs/>
          <w:color w:val="000000" w:themeColor="text1"/>
        </w:rPr>
        <w:t xml:space="preserve"> S4</w:t>
      </w:r>
      <w:r w:rsidR="003D13DE" w:rsidRPr="008C6002">
        <w:rPr>
          <w:rFonts w:ascii="Arial" w:hAnsi="Arial" w:cs="Arial"/>
          <w:b/>
          <w:bCs/>
          <w:color w:val="000000" w:themeColor="text1"/>
        </w:rPr>
        <w:t>.</w:t>
      </w:r>
      <w:r w:rsidRPr="008C6002">
        <w:rPr>
          <w:rFonts w:ascii="Arial" w:hAnsi="Arial" w:cs="Arial"/>
          <w:b/>
          <w:bCs/>
          <w:color w:val="000000" w:themeColor="text1"/>
        </w:rPr>
        <w:t xml:space="preserve"> </w:t>
      </w:r>
      <w:r w:rsidR="00422E30" w:rsidRPr="008C6002">
        <w:rPr>
          <w:rFonts w:ascii="Arial" w:hAnsi="Arial" w:cs="Arial"/>
          <w:b/>
          <w:bCs/>
        </w:rPr>
        <w:t xml:space="preserve">Analysis of alternative dosing route via continuous chow infusion showed comparable results as that of daily single IP dosing. </w:t>
      </w:r>
      <w:r w:rsidR="00422E30" w:rsidRPr="008C6002">
        <w:rPr>
          <w:rFonts w:ascii="Arial" w:hAnsi="Arial" w:cs="Arial"/>
        </w:rPr>
        <w:t>(</w:t>
      </w:r>
      <w:r w:rsidR="00A545CB">
        <w:rPr>
          <w:rFonts w:ascii="Arial" w:hAnsi="Arial" w:cs="Arial"/>
        </w:rPr>
        <w:t>a</w:t>
      </w:r>
      <w:r w:rsidR="00422E30" w:rsidRPr="008C6002">
        <w:rPr>
          <w:rFonts w:ascii="Arial" w:hAnsi="Arial" w:cs="Arial"/>
        </w:rPr>
        <w:t>) Immunoblots of untreated mice and mice treated with 20 mg/kg CK1</w:t>
      </w:r>
      <w:r w:rsidR="00422E30" w:rsidRPr="008C6002">
        <w:rPr>
          <w:rFonts w:ascii="Arial" w:hAnsi="Arial" w:cs="Arial"/>
        </w:rPr>
        <w:sym w:font="Symbol" w:char="F064"/>
      </w:r>
      <w:r w:rsidR="00422E30" w:rsidRPr="008C6002">
        <w:rPr>
          <w:rFonts w:ascii="Arial" w:hAnsi="Arial" w:cs="Arial"/>
        </w:rPr>
        <w:t>/</w:t>
      </w:r>
      <w:r w:rsidR="00422E30" w:rsidRPr="008C6002">
        <w:rPr>
          <w:rFonts w:ascii="Arial" w:hAnsi="Arial" w:cs="Arial"/>
        </w:rPr>
        <w:sym w:font="Symbol" w:char="F065"/>
      </w:r>
      <w:r w:rsidR="00422E30" w:rsidRPr="008C6002">
        <w:rPr>
          <w:rFonts w:ascii="Arial" w:hAnsi="Arial" w:cs="Arial"/>
        </w:rPr>
        <w:t>-specific inhibitor PF-05236216 in chow format. Samples are of brain cortex collected on the last day, end of the 31-day study. There was no difference in pTDP-43 levels detected in both soluble and insoluble protein fractions between untreated and treated groups. (</w:t>
      </w:r>
      <w:r w:rsidR="00A545CB">
        <w:rPr>
          <w:rFonts w:ascii="Arial" w:hAnsi="Arial" w:cs="Arial"/>
        </w:rPr>
        <w:t>b-e</w:t>
      </w:r>
      <w:r w:rsidR="00422E30" w:rsidRPr="008C6002">
        <w:rPr>
          <w:rFonts w:ascii="Arial" w:hAnsi="Arial" w:cs="Arial"/>
        </w:rPr>
        <w:t xml:space="preserve">) </w:t>
      </w:r>
      <w:r w:rsidR="002E7CCF">
        <w:rPr>
          <w:rFonts w:ascii="Arial" w:hAnsi="Arial" w:cs="Arial"/>
        </w:rPr>
        <w:t xml:space="preserve">The cohort for </w:t>
      </w:r>
      <w:r w:rsidR="002E7CCF">
        <w:rPr>
          <w:rFonts w:ascii="Arial" w:hAnsi="Arial" w:cs="Arial"/>
        </w:rPr>
        <w:t xml:space="preserve">Nf-L, body mass, </w:t>
      </w:r>
      <w:r w:rsidR="002E7CCF">
        <w:rPr>
          <w:rFonts w:ascii="Arial" w:hAnsi="Arial" w:cs="Arial"/>
        </w:rPr>
        <w:t xml:space="preserve">rotarod, </w:t>
      </w:r>
      <w:r w:rsidR="002E7CCF">
        <w:rPr>
          <w:rFonts w:ascii="Arial" w:hAnsi="Arial" w:cs="Arial"/>
        </w:rPr>
        <w:t xml:space="preserve">and </w:t>
      </w:r>
      <w:r w:rsidR="002E7CCF">
        <w:rPr>
          <w:rFonts w:ascii="Arial" w:hAnsi="Arial" w:cs="Arial"/>
        </w:rPr>
        <w:t>CMAP</w:t>
      </w:r>
      <w:r w:rsidR="002E7CCF">
        <w:rPr>
          <w:rFonts w:ascii="Arial" w:hAnsi="Arial" w:cs="Arial"/>
        </w:rPr>
        <w:t xml:space="preserve"> </w:t>
      </w:r>
      <w:r w:rsidR="002E7CCF">
        <w:rPr>
          <w:rFonts w:ascii="Arial" w:hAnsi="Arial" w:cs="Arial"/>
        </w:rPr>
        <w:t xml:space="preserve">included </w:t>
      </w:r>
      <w:r w:rsidR="002E7CCF">
        <w:rPr>
          <w:rFonts w:ascii="Arial" w:hAnsi="Arial" w:cs="Arial"/>
        </w:rPr>
        <w:t xml:space="preserve">9 </w:t>
      </w:r>
      <w:r w:rsidR="002E7CCF">
        <w:rPr>
          <w:rFonts w:ascii="Arial" w:hAnsi="Arial" w:cs="Arial"/>
        </w:rPr>
        <w:t xml:space="preserve">untreated </w:t>
      </w:r>
      <w:r w:rsidR="002E7CCF" w:rsidRPr="00C650DE">
        <w:rPr>
          <w:rFonts w:ascii="Arial" w:hAnsi="Arial" w:cs="Arial"/>
        </w:rPr>
        <w:t>hTDP-43-</w:t>
      </w:r>
      <w:r w:rsidR="002E7CCF" w:rsidRPr="00C650DE">
        <w:rPr>
          <w:rFonts w:ascii="Arial" w:hAnsi="Arial" w:cs="Arial"/>
        </w:rPr>
        <w:sym w:font="Symbol" w:char="F044"/>
      </w:r>
      <w:r w:rsidR="002E7CCF" w:rsidRPr="00C650DE">
        <w:rPr>
          <w:rFonts w:ascii="Arial" w:hAnsi="Arial" w:cs="Arial"/>
        </w:rPr>
        <w:t>NLS</w:t>
      </w:r>
      <w:r w:rsidR="002E7CCF">
        <w:rPr>
          <w:rFonts w:ascii="Arial" w:hAnsi="Arial" w:cs="Arial"/>
        </w:rPr>
        <w:t xml:space="preserve"> mice (</w:t>
      </w:r>
      <w:r w:rsidR="00555993">
        <w:rPr>
          <w:rFonts w:ascii="Arial" w:hAnsi="Arial" w:cs="Arial"/>
        </w:rPr>
        <w:t>3</w:t>
      </w:r>
      <w:r w:rsidR="002E7CCF">
        <w:rPr>
          <w:rFonts w:ascii="Arial" w:hAnsi="Arial" w:cs="Arial"/>
        </w:rPr>
        <w:t xml:space="preserve"> male, </w:t>
      </w:r>
      <w:r w:rsidR="00555993">
        <w:rPr>
          <w:rFonts w:ascii="Arial" w:hAnsi="Arial" w:cs="Arial"/>
        </w:rPr>
        <w:t>6</w:t>
      </w:r>
      <w:r w:rsidR="002E7CCF">
        <w:rPr>
          <w:rFonts w:ascii="Arial" w:hAnsi="Arial" w:cs="Arial"/>
        </w:rPr>
        <w:t xml:space="preserve"> female) and 1</w:t>
      </w:r>
      <w:r w:rsidR="002E7CCF">
        <w:rPr>
          <w:rFonts w:ascii="Arial" w:hAnsi="Arial" w:cs="Arial"/>
        </w:rPr>
        <w:t>1</w:t>
      </w:r>
      <w:r w:rsidR="002E7CCF">
        <w:rPr>
          <w:rFonts w:ascii="Arial" w:hAnsi="Arial" w:cs="Arial"/>
        </w:rPr>
        <w:t xml:space="preserve"> treated </w:t>
      </w:r>
      <w:r w:rsidR="002E7CCF" w:rsidRPr="00C650DE">
        <w:rPr>
          <w:rFonts w:ascii="Arial" w:hAnsi="Arial" w:cs="Arial"/>
        </w:rPr>
        <w:t>hTDP-43-</w:t>
      </w:r>
      <w:r w:rsidR="002E7CCF" w:rsidRPr="00C650DE">
        <w:rPr>
          <w:rFonts w:ascii="Arial" w:hAnsi="Arial" w:cs="Arial"/>
        </w:rPr>
        <w:sym w:font="Symbol" w:char="F044"/>
      </w:r>
      <w:r w:rsidR="002E7CCF" w:rsidRPr="00C650DE">
        <w:rPr>
          <w:rFonts w:ascii="Arial" w:hAnsi="Arial" w:cs="Arial"/>
        </w:rPr>
        <w:t>NLS</w:t>
      </w:r>
      <w:r w:rsidR="002E7CCF">
        <w:rPr>
          <w:rFonts w:ascii="Arial" w:hAnsi="Arial" w:cs="Arial"/>
        </w:rPr>
        <w:t xml:space="preserve"> mice (</w:t>
      </w:r>
      <w:r w:rsidR="00555993">
        <w:rPr>
          <w:rFonts w:ascii="Arial" w:hAnsi="Arial" w:cs="Arial"/>
        </w:rPr>
        <w:t>5</w:t>
      </w:r>
      <w:r w:rsidR="002E7CCF">
        <w:rPr>
          <w:rFonts w:ascii="Arial" w:hAnsi="Arial" w:cs="Arial"/>
        </w:rPr>
        <w:t xml:space="preserve"> male, </w:t>
      </w:r>
      <w:r w:rsidR="00555993">
        <w:rPr>
          <w:rFonts w:ascii="Arial" w:hAnsi="Arial" w:cs="Arial"/>
        </w:rPr>
        <w:t>6</w:t>
      </w:r>
      <w:r w:rsidR="002E7CCF">
        <w:rPr>
          <w:rFonts w:ascii="Arial" w:hAnsi="Arial" w:cs="Arial"/>
        </w:rPr>
        <w:t xml:space="preserve"> female).</w:t>
      </w:r>
      <w:r w:rsidR="002E7CCF">
        <w:rPr>
          <w:rFonts w:ascii="Arial" w:hAnsi="Arial" w:cs="Arial"/>
        </w:rPr>
        <w:t xml:space="preserve"> </w:t>
      </w:r>
      <w:r w:rsidR="00422E30" w:rsidRPr="008C6002">
        <w:rPr>
          <w:rFonts w:ascii="Arial" w:hAnsi="Arial" w:cs="Arial"/>
        </w:rPr>
        <w:t>No significant difference was detected between treatment groups throughout the study for Nf-L (</w:t>
      </w:r>
      <w:r w:rsidR="00A545CB">
        <w:rPr>
          <w:rFonts w:ascii="Arial" w:hAnsi="Arial" w:cs="Arial"/>
        </w:rPr>
        <w:t>b</w:t>
      </w:r>
      <w:r w:rsidR="00422E30" w:rsidRPr="008C6002">
        <w:rPr>
          <w:rFonts w:ascii="Arial" w:hAnsi="Arial" w:cs="Arial"/>
        </w:rPr>
        <w:t>), body mass (</w:t>
      </w:r>
      <w:r w:rsidR="00A545CB">
        <w:rPr>
          <w:rFonts w:ascii="Arial" w:hAnsi="Arial" w:cs="Arial"/>
        </w:rPr>
        <w:t>c</w:t>
      </w:r>
      <w:r w:rsidR="00422E30" w:rsidRPr="008C6002">
        <w:rPr>
          <w:rFonts w:ascii="Arial" w:hAnsi="Arial" w:cs="Arial"/>
        </w:rPr>
        <w:t>), rotarod (</w:t>
      </w:r>
      <w:r w:rsidR="00A545CB">
        <w:rPr>
          <w:rFonts w:ascii="Arial" w:hAnsi="Arial" w:cs="Arial"/>
        </w:rPr>
        <w:t>d</w:t>
      </w:r>
      <w:r w:rsidR="00422E30" w:rsidRPr="008C6002">
        <w:rPr>
          <w:rFonts w:ascii="Arial" w:hAnsi="Arial" w:cs="Arial"/>
        </w:rPr>
        <w:t>), or CMAP of TA muscle (</w:t>
      </w:r>
      <w:r w:rsidR="00A545CB">
        <w:rPr>
          <w:rFonts w:ascii="Arial" w:hAnsi="Arial" w:cs="Arial"/>
        </w:rPr>
        <w:t>e</w:t>
      </w:r>
      <w:r w:rsidR="00422E30" w:rsidRPr="008C6002">
        <w:rPr>
          <w:rFonts w:ascii="Arial" w:hAnsi="Arial" w:cs="Arial"/>
        </w:rPr>
        <w:t xml:space="preserve">). </w:t>
      </w:r>
    </w:p>
    <w:p w14:paraId="25B09D29" w14:textId="48E0DB17" w:rsidR="00C02547" w:rsidRPr="008C6002" w:rsidRDefault="00C02547" w:rsidP="00C02547">
      <w:pPr>
        <w:jc w:val="both"/>
        <w:rPr>
          <w:rFonts w:ascii="Arial" w:hAnsi="Arial" w:cs="Arial"/>
          <w:color w:val="000000" w:themeColor="text1"/>
        </w:rPr>
      </w:pPr>
    </w:p>
    <w:p w14:paraId="2853FCA8" w14:textId="77777777" w:rsidR="00C02547" w:rsidRPr="008C6002" w:rsidRDefault="00C02547" w:rsidP="00C02547">
      <w:pPr>
        <w:jc w:val="both"/>
        <w:rPr>
          <w:rFonts w:ascii="Arial" w:hAnsi="Arial" w:cs="Arial"/>
          <w:color w:val="000000" w:themeColor="text1"/>
        </w:rPr>
      </w:pPr>
    </w:p>
    <w:p w14:paraId="61E68667" w14:textId="77777777" w:rsidR="008C6002" w:rsidRPr="008C6002" w:rsidRDefault="008C6002" w:rsidP="00C02547">
      <w:pPr>
        <w:jc w:val="both"/>
        <w:rPr>
          <w:rFonts w:ascii="Arial" w:hAnsi="Arial" w:cs="Arial"/>
          <w:color w:val="000000" w:themeColor="text1"/>
        </w:rPr>
      </w:pPr>
    </w:p>
    <w:p w14:paraId="348FDD91" w14:textId="77777777" w:rsidR="008C6002" w:rsidRPr="008C6002" w:rsidRDefault="008C6002" w:rsidP="00C02547">
      <w:pPr>
        <w:jc w:val="both"/>
        <w:rPr>
          <w:rFonts w:ascii="Arial" w:hAnsi="Arial" w:cs="Arial"/>
          <w:color w:val="000000" w:themeColor="text1"/>
        </w:rPr>
      </w:pPr>
    </w:p>
    <w:p w14:paraId="74395FFB" w14:textId="77777777" w:rsidR="008C6002" w:rsidRPr="008C6002" w:rsidRDefault="008C6002" w:rsidP="00C02547">
      <w:pPr>
        <w:jc w:val="both"/>
        <w:rPr>
          <w:rFonts w:ascii="Arial" w:hAnsi="Arial" w:cs="Arial"/>
          <w:color w:val="000000" w:themeColor="text1"/>
        </w:rPr>
      </w:pPr>
    </w:p>
    <w:p w14:paraId="79609126" w14:textId="77777777" w:rsidR="008C6002" w:rsidRPr="008C6002" w:rsidRDefault="008C6002" w:rsidP="00C02547">
      <w:pPr>
        <w:jc w:val="both"/>
        <w:rPr>
          <w:rFonts w:ascii="Arial" w:hAnsi="Arial" w:cs="Arial"/>
          <w:color w:val="000000" w:themeColor="text1"/>
        </w:rPr>
      </w:pPr>
    </w:p>
    <w:p w14:paraId="7B17A471" w14:textId="77777777" w:rsidR="008C6002" w:rsidRPr="008C6002" w:rsidRDefault="008C6002" w:rsidP="00C02547">
      <w:pPr>
        <w:jc w:val="both"/>
        <w:rPr>
          <w:rFonts w:ascii="Arial" w:hAnsi="Arial" w:cs="Arial"/>
          <w:color w:val="000000" w:themeColor="text1"/>
        </w:rPr>
      </w:pPr>
    </w:p>
    <w:p w14:paraId="5CA6BFB0" w14:textId="77777777" w:rsidR="008C6002" w:rsidRPr="008C6002" w:rsidRDefault="008C6002" w:rsidP="00C02547">
      <w:pPr>
        <w:jc w:val="both"/>
        <w:rPr>
          <w:rFonts w:ascii="Arial" w:hAnsi="Arial" w:cs="Arial"/>
          <w:color w:val="000000" w:themeColor="text1"/>
        </w:rPr>
      </w:pPr>
    </w:p>
    <w:p w14:paraId="28BD8E36" w14:textId="77777777" w:rsidR="008C6002" w:rsidRPr="008C6002" w:rsidRDefault="008C6002" w:rsidP="00C02547">
      <w:pPr>
        <w:jc w:val="both"/>
        <w:rPr>
          <w:rFonts w:ascii="Arial" w:hAnsi="Arial" w:cs="Arial"/>
          <w:color w:val="000000" w:themeColor="text1"/>
        </w:rPr>
      </w:pPr>
    </w:p>
    <w:p w14:paraId="6DE28868" w14:textId="77777777" w:rsidR="008C6002" w:rsidRPr="008C6002" w:rsidRDefault="008C6002" w:rsidP="00C02547">
      <w:pPr>
        <w:jc w:val="both"/>
        <w:rPr>
          <w:rFonts w:ascii="Arial" w:hAnsi="Arial" w:cs="Arial"/>
          <w:color w:val="000000" w:themeColor="text1"/>
        </w:rPr>
      </w:pPr>
    </w:p>
    <w:p w14:paraId="2E1773D1" w14:textId="77777777" w:rsidR="008C6002" w:rsidRPr="008C6002" w:rsidRDefault="008C6002" w:rsidP="00C02547">
      <w:pPr>
        <w:jc w:val="both"/>
        <w:rPr>
          <w:rFonts w:ascii="Arial" w:hAnsi="Arial" w:cs="Arial"/>
          <w:color w:val="000000" w:themeColor="text1"/>
        </w:rPr>
      </w:pPr>
    </w:p>
    <w:p w14:paraId="557DBFA9" w14:textId="77777777" w:rsidR="008C6002" w:rsidRPr="008C6002" w:rsidRDefault="008C6002" w:rsidP="00C02547">
      <w:pPr>
        <w:jc w:val="both"/>
        <w:rPr>
          <w:rFonts w:ascii="Arial" w:hAnsi="Arial" w:cs="Arial"/>
          <w:color w:val="000000" w:themeColor="text1"/>
        </w:rPr>
      </w:pPr>
    </w:p>
    <w:p w14:paraId="192981EE" w14:textId="77777777" w:rsidR="008C6002" w:rsidRPr="008C6002" w:rsidRDefault="008C6002" w:rsidP="00C02547">
      <w:pPr>
        <w:jc w:val="both"/>
        <w:rPr>
          <w:rFonts w:ascii="Arial" w:hAnsi="Arial" w:cs="Arial"/>
          <w:color w:val="000000" w:themeColor="text1"/>
        </w:rPr>
      </w:pPr>
    </w:p>
    <w:p w14:paraId="4E8EF8EB" w14:textId="77777777" w:rsidR="008C6002" w:rsidRPr="008C6002" w:rsidRDefault="008C6002" w:rsidP="00C02547">
      <w:pPr>
        <w:jc w:val="both"/>
        <w:rPr>
          <w:rFonts w:ascii="Arial" w:hAnsi="Arial" w:cs="Arial"/>
          <w:color w:val="000000" w:themeColor="text1"/>
        </w:rPr>
      </w:pPr>
    </w:p>
    <w:p w14:paraId="63949554" w14:textId="77777777" w:rsidR="008C6002" w:rsidRPr="008C6002" w:rsidRDefault="008C6002" w:rsidP="00C02547">
      <w:pPr>
        <w:jc w:val="both"/>
        <w:rPr>
          <w:rFonts w:ascii="Arial" w:hAnsi="Arial" w:cs="Arial"/>
          <w:color w:val="000000" w:themeColor="text1"/>
        </w:rPr>
      </w:pPr>
    </w:p>
    <w:p w14:paraId="481AB0CA" w14:textId="77777777" w:rsidR="008C6002" w:rsidRPr="008C6002" w:rsidRDefault="008C6002" w:rsidP="00C02547">
      <w:pPr>
        <w:jc w:val="both"/>
        <w:rPr>
          <w:rFonts w:ascii="Arial" w:hAnsi="Arial" w:cs="Arial"/>
          <w:color w:val="000000" w:themeColor="text1"/>
        </w:rPr>
      </w:pPr>
    </w:p>
    <w:p w14:paraId="631DEE71" w14:textId="77777777" w:rsidR="008C6002" w:rsidRPr="00A545CB" w:rsidRDefault="008C6002" w:rsidP="008C6002">
      <w:pPr>
        <w:spacing w:line="480" w:lineRule="auto"/>
        <w:jc w:val="both"/>
        <w:rPr>
          <w:rFonts w:ascii="Arial" w:hAnsi="Arial" w:cs="Arial"/>
          <w:b/>
          <w:bCs/>
          <w:color w:val="000000" w:themeColor="text1"/>
        </w:rPr>
      </w:pPr>
      <w:r w:rsidRPr="00A545CB">
        <w:rPr>
          <w:rFonts w:ascii="Arial" w:hAnsi="Arial" w:cs="Arial"/>
          <w:b/>
          <w:bCs/>
          <w:color w:val="000000" w:themeColor="text1"/>
        </w:rPr>
        <w:t>References</w:t>
      </w:r>
    </w:p>
    <w:p w14:paraId="17F085B1" w14:textId="77777777" w:rsidR="00A023AD" w:rsidRPr="00A545CB" w:rsidRDefault="008C6002" w:rsidP="00A023AD">
      <w:pPr>
        <w:pStyle w:val="Bibliography"/>
        <w:rPr>
          <w:rFonts w:ascii="Arial" w:hAnsi="Arial" w:cs="Arial"/>
          <w:color w:val="000000"/>
        </w:rPr>
      </w:pPr>
      <w:r w:rsidRPr="00A545CB">
        <w:rPr>
          <w:rFonts w:ascii="Arial" w:hAnsi="Arial" w:cs="Arial"/>
          <w:color w:val="000000" w:themeColor="text1"/>
        </w:rPr>
        <w:fldChar w:fldCharType="begin"/>
      </w:r>
      <w:r w:rsidR="00A023AD" w:rsidRPr="00A545CB">
        <w:rPr>
          <w:rFonts w:ascii="Arial" w:hAnsi="Arial" w:cs="Arial"/>
          <w:color w:val="000000" w:themeColor="text1"/>
        </w:rPr>
        <w:instrText xml:space="preserve"> ADDIN ZOTERO_BIBL {"uncited":[],"omitted":[],"custom":[]} CSL_BIBLIOGRAPHY </w:instrText>
      </w:r>
      <w:r w:rsidRPr="00A545CB">
        <w:rPr>
          <w:rFonts w:ascii="Arial" w:hAnsi="Arial" w:cs="Arial"/>
          <w:color w:val="000000" w:themeColor="text1"/>
        </w:rPr>
        <w:fldChar w:fldCharType="separate"/>
      </w:r>
      <w:r w:rsidR="00A023AD" w:rsidRPr="00A545CB">
        <w:rPr>
          <w:rFonts w:ascii="Arial" w:hAnsi="Arial" w:cs="Arial"/>
          <w:color w:val="000000"/>
        </w:rPr>
        <w:t xml:space="preserve">1. </w:t>
      </w:r>
      <w:r w:rsidR="00A023AD" w:rsidRPr="00A545CB">
        <w:rPr>
          <w:rFonts w:ascii="Arial" w:hAnsi="Arial" w:cs="Arial"/>
          <w:color w:val="000000"/>
        </w:rPr>
        <w:tab/>
        <w:t>Cozza G, Pinna LA (2016) Casein kinases as potential therapeutic targets. Expert Opin Ther Targets 20:319–340. doi: 10.1517/14728222.2016.1091883</w:t>
      </w:r>
    </w:p>
    <w:p w14:paraId="014587B5" w14:textId="77777777" w:rsidR="00A023AD" w:rsidRPr="00A545CB" w:rsidRDefault="00A023AD" w:rsidP="00A023AD">
      <w:pPr>
        <w:pStyle w:val="Bibliography"/>
        <w:rPr>
          <w:rFonts w:ascii="Arial" w:hAnsi="Arial" w:cs="Arial"/>
          <w:color w:val="000000"/>
        </w:rPr>
      </w:pPr>
      <w:r w:rsidRPr="00A545CB">
        <w:rPr>
          <w:rFonts w:ascii="Arial" w:hAnsi="Arial" w:cs="Arial"/>
          <w:color w:val="000000"/>
        </w:rPr>
        <w:t xml:space="preserve">2. </w:t>
      </w:r>
      <w:r w:rsidRPr="00A545CB">
        <w:rPr>
          <w:rFonts w:ascii="Arial" w:hAnsi="Arial" w:cs="Arial"/>
          <w:color w:val="000000"/>
        </w:rPr>
        <w:tab/>
        <w:t>Li S-S, Dong Y-H, Liu Z-P (2021) Recent Advances in the Development of Casein Kinase 1 Inhibitors. Curr Med Chem 28:1585–1604. doi: 10.2174/0929867327666200713185413</w:t>
      </w:r>
    </w:p>
    <w:p w14:paraId="6373EB44" w14:textId="77777777" w:rsidR="00A023AD" w:rsidRPr="00A545CB" w:rsidRDefault="00A023AD" w:rsidP="00A023AD">
      <w:pPr>
        <w:pStyle w:val="Bibliography"/>
        <w:rPr>
          <w:rFonts w:ascii="Arial" w:hAnsi="Arial" w:cs="Arial"/>
          <w:color w:val="000000"/>
        </w:rPr>
      </w:pPr>
      <w:r w:rsidRPr="00A545CB">
        <w:rPr>
          <w:rFonts w:ascii="Arial" w:hAnsi="Arial" w:cs="Arial"/>
          <w:color w:val="000000"/>
        </w:rPr>
        <w:t xml:space="preserve">3. </w:t>
      </w:r>
      <w:r w:rsidRPr="00A545CB">
        <w:rPr>
          <w:rFonts w:ascii="Arial" w:hAnsi="Arial" w:cs="Arial"/>
          <w:color w:val="000000"/>
        </w:rPr>
        <w:tab/>
        <w:t>Wager TT, Galatsis P, Chandrasekaran RY, Butler TW, Li J, Zhang L, Mente S, Subramanyam C, Liu S, Doran AC, Chang C, Fisher K, Grimwood S, Hedde JR, Marconi M, Schildknegt K (2017) Identification and Profiling of a Selective and Brain Penetrant Radioligand for in Vivo Target Occupancy Measurement of Casein Kinase 1 (CK1) Inhibitors. ACS Chem Neurosci 8:1995–2004. doi: 10.1021/acschemneuro.7b00155</w:t>
      </w:r>
    </w:p>
    <w:p w14:paraId="4162CEDD" w14:textId="5FC09CA3" w:rsidR="008C6002" w:rsidRPr="008C6002" w:rsidRDefault="008C6002" w:rsidP="008C6002">
      <w:pPr>
        <w:spacing w:line="480" w:lineRule="auto"/>
        <w:jc w:val="both"/>
        <w:rPr>
          <w:rFonts w:ascii="Arial" w:hAnsi="Arial" w:cs="Arial"/>
          <w:color w:val="000000" w:themeColor="text1"/>
        </w:rPr>
      </w:pPr>
      <w:r w:rsidRPr="00A545CB">
        <w:rPr>
          <w:rFonts w:ascii="Arial" w:hAnsi="Arial" w:cs="Arial"/>
          <w:color w:val="000000" w:themeColor="text1"/>
        </w:rPr>
        <w:fldChar w:fldCharType="end"/>
      </w:r>
    </w:p>
    <w:p w14:paraId="63197803" w14:textId="77777777" w:rsidR="008C6002" w:rsidRPr="008C6002" w:rsidRDefault="008C6002" w:rsidP="00C02547">
      <w:pPr>
        <w:jc w:val="both"/>
        <w:rPr>
          <w:rFonts w:ascii="Arial" w:hAnsi="Arial" w:cs="Arial"/>
          <w:color w:val="000000" w:themeColor="text1"/>
        </w:rPr>
      </w:pPr>
    </w:p>
    <w:sectPr w:rsidR="008C6002" w:rsidRPr="008C6002" w:rsidSect="00DD7193">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EF41C" w14:textId="77777777" w:rsidR="00226C27" w:rsidRDefault="00226C27">
      <w:r>
        <w:separator/>
      </w:r>
    </w:p>
  </w:endnote>
  <w:endnote w:type="continuationSeparator" w:id="0">
    <w:p w14:paraId="2CAE6CA2" w14:textId="77777777" w:rsidR="00226C27" w:rsidRDefault="00226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78105638"/>
      <w:docPartObj>
        <w:docPartGallery w:val="Page Numbers (Bottom of Page)"/>
        <w:docPartUnique/>
      </w:docPartObj>
    </w:sdtPr>
    <w:sdtContent>
      <w:p w14:paraId="3B15F9A7" w14:textId="77777777" w:rsidR="00E213B8" w:rsidRDefault="00000000" w:rsidP="007740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17416D" w14:textId="77777777" w:rsidR="00E213B8" w:rsidRDefault="00E213B8" w:rsidP="008B38A6">
    <w:pPr>
      <w:pStyle w:val="Footer"/>
      <w:ind w:right="360"/>
    </w:pPr>
  </w:p>
  <w:p w14:paraId="7835D08E" w14:textId="77777777" w:rsidR="00E213B8" w:rsidRDefault="00E213B8"/>
  <w:p w14:paraId="438ECF3F" w14:textId="77777777" w:rsidR="00E213B8" w:rsidRDefault="00E213B8"/>
  <w:p w14:paraId="58B180DF" w14:textId="77777777" w:rsidR="00E213B8" w:rsidRDefault="00E213B8"/>
  <w:p w14:paraId="2CA9D4D0" w14:textId="77777777" w:rsidR="00E213B8" w:rsidRDefault="00E213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66105377"/>
      <w:docPartObj>
        <w:docPartGallery w:val="Page Numbers (Bottom of Page)"/>
        <w:docPartUnique/>
      </w:docPartObj>
    </w:sdtPr>
    <w:sdtContent>
      <w:p w14:paraId="1EB128C0" w14:textId="77777777" w:rsidR="00E213B8" w:rsidRDefault="00000000" w:rsidP="007740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751F0D" w14:textId="77777777" w:rsidR="00E213B8" w:rsidRDefault="00E213B8" w:rsidP="008B38A6">
    <w:pPr>
      <w:pStyle w:val="Footer"/>
      <w:ind w:right="360"/>
    </w:pPr>
  </w:p>
  <w:p w14:paraId="6134EC45" w14:textId="77777777" w:rsidR="00E213B8" w:rsidRDefault="00E213B8"/>
  <w:p w14:paraId="4658F5E6" w14:textId="77777777" w:rsidR="00E213B8" w:rsidRDefault="00E213B8"/>
  <w:p w14:paraId="5DDE426F" w14:textId="77777777" w:rsidR="00E213B8" w:rsidRDefault="00E213B8"/>
  <w:p w14:paraId="32A779E9" w14:textId="77777777" w:rsidR="00E213B8" w:rsidRDefault="00E213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DC86D" w14:textId="77777777" w:rsidR="00226C27" w:rsidRDefault="00226C27">
      <w:r>
        <w:separator/>
      </w:r>
    </w:p>
  </w:footnote>
  <w:footnote w:type="continuationSeparator" w:id="0">
    <w:p w14:paraId="2EC60A6D" w14:textId="77777777" w:rsidR="00226C27" w:rsidRDefault="00226C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83079"/>
    <w:multiLevelType w:val="hybridMultilevel"/>
    <w:tmpl w:val="AF5C0CE8"/>
    <w:lvl w:ilvl="0" w:tplc="25069C04">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195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614"/>
    <w:rsid w:val="00005069"/>
    <w:rsid w:val="0006085A"/>
    <w:rsid w:val="00085CBF"/>
    <w:rsid w:val="000F15A1"/>
    <w:rsid w:val="001A2A0F"/>
    <w:rsid w:val="001D7CC0"/>
    <w:rsid w:val="0020552F"/>
    <w:rsid w:val="0020726B"/>
    <w:rsid w:val="00226C27"/>
    <w:rsid w:val="00241E46"/>
    <w:rsid w:val="00281CC4"/>
    <w:rsid w:val="002B0AD9"/>
    <w:rsid w:val="002E3ED8"/>
    <w:rsid w:val="002E7CCF"/>
    <w:rsid w:val="002F414A"/>
    <w:rsid w:val="0038382E"/>
    <w:rsid w:val="003C2614"/>
    <w:rsid w:val="003D13DE"/>
    <w:rsid w:val="00422E30"/>
    <w:rsid w:val="00427DE1"/>
    <w:rsid w:val="004431D9"/>
    <w:rsid w:val="00452F58"/>
    <w:rsid w:val="00454452"/>
    <w:rsid w:val="00555993"/>
    <w:rsid w:val="00600EBA"/>
    <w:rsid w:val="00617851"/>
    <w:rsid w:val="00620B9D"/>
    <w:rsid w:val="00655A28"/>
    <w:rsid w:val="006C73D5"/>
    <w:rsid w:val="007558A2"/>
    <w:rsid w:val="007D368C"/>
    <w:rsid w:val="00805476"/>
    <w:rsid w:val="00886ABC"/>
    <w:rsid w:val="008C6002"/>
    <w:rsid w:val="009041CD"/>
    <w:rsid w:val="00933D78"/>
    <w:rsid w:val="00973324"/>
    <w:rsid w:val="00973E7A"/>
    <w:rsid w:val="009B4926"/>
    <w:rsid w:val="00A023AD"/>
    <w:rsid w:val="00A164E1"/>
    <w:rsid w:val="00A22EA9"/>
    <w:rsid w:val="00A45CCD"/>
    <w:rsid w:val="00A545CB"/>
    <w:rsid w:val="00A5673A"/>
    <w:rsid w:val="00A61F7F"/>
    <w:rsid w:val="00A70495"/>
    <w:rsid w:val="00AD1C51"/>
    <w:rsid w:val="00B17429"/>
    <w:rsid w:val="00B44C39"/>
    <w:rsid w:val="00B829A1"/>
    <w:rsid w:val="00B84892"/>
    <w:rsid w:val="00B8493C"/>
    <w:rsid w:val="00B909E6"/>
    <w:rsid w:val="00BB1CEB"/>
    <w:rsid w:val="00BE164F"/>
    <w:rsid w:val="00BF77E5"/>
    <w:rsid w:val="00C02547"/>
    <w:rsid w:val="00C71AC4"/>
    <w:rsid w:val="00CC150C"/>
    <w:rsid w:val="00D10835"/>
    <w:rsid w:val="00D35AF2"/>
    <w:rsid w:val="00D4015A"/>
    <w:rsid w:val="00DB347F"/>
    <w:rsid w:val="00DD7193"/>
    <w:rsid w:val="00E213B8"/>
    <w:rsid w:val="00E22036"/>
    <w:rsid w:val="00E5019C"/>
    <w:rsid w:val="00EB250D"/>
    <w:rsid w:val="00ED7D06"/>
    <w:rsid w:val="00EF2136"/>
    <w:rsid w:val="00F35EC0"/>
    <w:rsid w:val="00FB1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85625"/>
  <w15:chartTrackingRefBased/>
  <w15:docId w15:val="{96BC1522-C4EB-1E4A-B123-4491D124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614"/>
    <w:pPr>
      <w:spacing w:after="0" w:line="240" w:lineRule="auto"/>
    </w:pPr>
    <w:rPr>
      <w:kern w:val="0"/>
      <w14:ligatures w14:val="none"/>
    </w:rPr>
  </w:style>
  <w:style w:type="paragraph" w:styleId="Heading1">
    <w:name w:val="heading 1"/>
    <w:basedOn w:val="Normal"/>
    <w:next w:val="Normal"/>
    <w:link w:val="Heading1Char"/>
    <w:uiPriority w:val="9"/>
    <w:qFormat/>
    <w:rsid w:val="003C261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C261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C261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C2614"/>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C2614"/>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C2614"/>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C2614"/>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C2614"/>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C2614"/>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6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6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6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6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6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6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6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6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614"/>
    <w:rPr>
      <w:rFonts w:eastAsiaTheme="majorEastAsia" w:cstheme="majorBidi"/>
      <w:color w:val="272727" w:themeColor="text1" w:themeTint="D8"/>
    </w:rPr>
  </w:style>
  <w:style w:type="paragraph" w:styleId="Title">
    <w:name w:val="Title"/>
    <w:basedOn w:val="Normal"/>
    <w:next w:val="Normal"/>
    <w:link w:val="TitleChar"/>
    <w:uiPriority w:val="10"/>
    <w:qFormat/>
    <w:rsid w:val="003C261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C26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614"/>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C26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614"/>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3C2614"/>
    <w:rPr>
      <w:i/>
      <w:iCs/>
      <w:color w:val="404040" w:themeColor="text1" w:themeTint="BF"/>
    </w:rPr>
  </w:style>
  <w:style w:type="paragraph" w:styleId="ListParagraph">
    <w:name w:val="List Paragraph"/>
    <w:basedOn w:val="Normal"/>
    <w:uiPriority w:val="34"/>
    <w:qFormat/>
    <w:rsid w:val="003C2614"/>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3C2614"/>
    <w:rPr>
      <w:i/>
      <w:iCs/>
      <w:color w:val="0F4761" w:themeColor="accent1" w:themeShade="BF"/>
    </w:rPr>
  </w:style>
  <w:style w:type="paragraph" w:styleId="IntenseQuote">
    <w:name w:val="Intense Quote"/>
    <w:basedOn w:val="Normal"/>
    <w:next w:val="Normal"/>
    <w:link w:val="IntenseQuoteChar"/>
    <w:uiPriority w:val="30"/>
    <w:qFormat/>
    <w:rsid w:val="003C261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C2614"/>
    <w:rPr>
      <w:i/>
      <w:iCs/>
      <w:color w:val="0F4761" w:themeColor="accent1" w:themeShade="BF"/>
    </w:rPr>
  </w:style>
  <w:style w:type="character" w:styleId="IntenseReference">
    <w:name w:val="Intense Reference"/>
    <w:basedOn w:val="DefaultParagraphFont"/>
    <w:uiPriority w:val="32"/>
    <w:qFormat/>
    <w:rsid w:val="003C2614"/>
    <w:rPr>
      <w:b/>
      <w:bCs/>
      <w:smallCaps/>
      <w:color w:val="0F4761" w:themeColor="accent1" w:themeShade="BF"/>
      <w:spacing w:val="5"/>
    </w:rPr>
  </w:style>
  <w:style w:type="paragraph" w:styleId="Footer">
    <w:name w:val="footer"/>
    <w:basedOn w:val="Normal"/>
    <w:link w:val="FooterChar"/>
    <w:uiPriority w:val="99"/>
    <w:unhideWhenUsed/>
    <w:rsid w:val="003C2614"/>
    <w:pPr>
      <w:tabs>
        <w:tab w:val="center" w:pos="4680"/>
        <w:tab w:val="right" w:pos="9360"/>
      </w:tabs>
    </w:pPr>
  </w:style>
  <w:style w:type="character" w:customStyle="1" w:styleId="FooterChar">
    <w:name w:val="Footer Char"/>
    <w:basedOn w:val="DefaultParagraphFont"/>
    <w:link w:val="Footer"/>
    <w:uiPriority w:val="99"/>
    <w:rsid w:val="003C2614"/>
    <w:rPr>
      <w:kern w:val="0"/>
      <w14:ligatures w14:val="none"/>
    </w:rPr>
  </w:style>
  <w:style w:type="character" w:styleId="PageNumber">
    <w:name w:val="page number"/>
    <w:basedOn w:val="DefaultParagraphFont"/>
    <w:uiPriority w:val="99"/>
    <w:semiHidden/>
    <w:unhideWhenUsed/>
    <w:rsid w:val="003C2614"/>
  </w:style>
  <w:style w:type="character" w:styleId="LineNumber">
    <w:name w:val="line number"/>
    <w:basedOn w:val="DefaultParagraphFont"/>
    <w:uiPriority w:val="99"/>
    <w:semiHidden/>
    <w:unhideWhenUsed/>
    <w:rsid w:val="003C2614"/>
  </w:style>
  <w:style w:type="table" w:styleId="TableGrid">
    <w:name w:val="Table Grid"/>
    <w:basedOn w:val="TableNormal"/>
    <w:uiPriority w:val="39"/>
    <w:rsid w:val="00452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C6002"/>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9F8EB-5806-B344-A15F-0345281D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6</Pages>
  <Words>2515</Words>
  <Characters>14342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Ko</dc:creator>
  <cp:keywords/>
  <dc:description/>
  <cp:lastModifiedBy>Ko, Vivian</cp:lastModifiedBy>
  <cp:revision>51</cp:revision>
  <dcterms:created xsi:type="dcterms:W3CDTF">2024-02-27T20:08:00Z</dcterms:created>
  <dcterms:modified xsi:type="dcterms:W3CDTF">2024-11-18T23:24:00Z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id="PLCJPM6N"/&gt;&lt;style id="http://www.zotero.org/styles/acta-neuropathologica"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ies>
</file>