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5CAC">
      <w:r>
        <w:rPr>
          <w:rFonts w:ascii="Times New Roman" w:hAnsi="Times New Roman"/>
          <w:b/>
          <w:color w:val="000000"/>
          <w:sz w:val="32"/>
          <w:szCs w:val="32"/>
        </w:rPr>
        <w:t>Supplementary Figures and Tables</w:t>
      </w:r>
    </w:p>
    <w:p w14:paraId="3CEA322A">
      <w:pPr>
        <w:adjustRightInd w:val="0"/>
        <w:snapToGrid w:val="0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Figure S1. </w:t>
      </w:r>
      <w:r>
        <w:rPr>
          <w:rFonts w:ascii="Times New Roman" w:hAnsi="Times New Roman" w:eastAsia="宋体"/>
          <w:b/>
          <w:bCs/>
          <w:sz w:val="24"/>
          <w:szCs w:val="24"/>
        </w:rPr>
        <w:t>NAMPT inhibitors inhibit NSCLC subcutaneous tumor growth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(A-C)</w:t>
      </w:r>
      <w:r>
        <w:rPr>
          <w:rFonts w:ascii="Times New Roman" w:hAnsi="Times New Roman"/>
          <w:color w:val="000000"/>
          <w:sz w:val="24"/>
          <w:szCs w:val="24"/>
        </w:rPr>
        <w:t xml:space="preserve"> C57BL/6J mice (n=5-8 mice per group) were injected subcutaneously with LLC cells. LLC-bearing mice were treated with vehicle, FK866, GMX1778 on tumor implation day 7. </w:t>
      </w:r>
      <w:r>
        <w:rPr>
          <w:rFonts w:ascii="Times New Roman" w:hAnsi="Times New Roman"/>
          <w:sz w:val="24"/>
          <w:szCs w:val="24"/>
        </w:rPr>
        <w:t xml:space="preserve">On day 14, </w:t>
      </w:r>
      <w:r>
        <w:rPr>
          <w:rFonts w:ascii="Times New Roman" w:hAnsi="Times New Roman"/>
          <w:color w:val="000000"/>
          <w:sz w:val="24"/>
          <w:szCs w:val="24"/>
        </w:rPr>
        <w:t xml:space="preserve">the mice were pictured (A), then tumors were removed (B) and weighed (C). </w:t>
      </w:r>
      <w:r>
        <w:rPr>
          <w:rStyle w:val="6"/>
          <w:rFonts w:ascii="Times New Roman" w:hAnsi="Times New Roman"/>
          <w:sz w:val="24"/>
          <w:szCs w:val="24"/>
        </w:rPr>
        <w:t>*</w:t>
      </w:r>
      <w:r>
        <w:rPr>
          <w:rStyle w:val="6"/>
          <w:rFonts w:ascii="Times New Roman" w:hAnsi="Times New Roman"/>
          <w:i/>
          <w:sz w:val="24"/>
          <w:szCs w:val="24"/>
        </w:rPr>
        <w:t>P</w:t>
      </w:r>
      <w:r>
        <w:rPr>
          <w:rStyle w:val="6"/>
          <w:rFonts w:hint="eastAsia" w:ascii="MS Gothic" w:hAnsi="MS Gothic" w:eastAsia="MS Gothic" w:cs="MS Gothic"/>
          <w:sz w:val="24"/>
          <w:szCs w:val="24"/>
        </w:rPr>
        <w:t>＜</w:t>
      </w:r>
      <w:r>
        <w:rPr>
          <w:rStyle w:val="6"/>
          <w:rFonts w:ascii="Times New Roman" w:hAnsi="Times New Roman"/>
          <w:sz w:val="24"/>
          <w:szCs w:val="24"/>
        </w:rPr>
        <w:t xml:space="preserve">0.05, </w:t>
      </w:r>
      <w:r>
        <w:rPr>
          <w:rFonts w:ascii="Times New Roman" w:hAnsi="Times New Roman" w:eastAsia="宋体"/>
          <w:sz w:val="24"/>
          <w:szCs w:val="24"/>
        </w:rPr>
        <w:t>**</w:t>
      </w:r>
      <w:r>
        <w:rPr>
          <w:rFonts w:ascii="Times New Roman" w:hAnsi="Times New Roman" w:eastAsia="宋体"/>
          <w:i/>
          <w:iCs/>
          <w:sz w:val="24"/>
          <w:szCs w:val="24"/>
        </w:rPr>
        <w:t xml:space="preserve"> P</w:t>
      </w:r>
      <w:r>
        <w:rPr>
          <w:rFonts w:ascii="Times New Roman" w:hAnsi="Times New Roman" w:eastAsia="宋体"/>
          <w:sz w:val="24"/>
          <w:szCs w:val="24"/>
        </w:rPr>
        <w:t>&lt;0.01.</w:t>
      </w:r>
    </w:p>
    <w:p w14:paraId="7F933C83">
      <w:pPr>
        <w:adjustRightInd w:val="0"/>
        <w:snapToGrid w:val="0"/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14:paraId="4E8563D3">
      <w:pPr>
        <w:adjustRightInd w:val="0"/>
        <w:snapToGrid w:val="0"/>
        <w:spacing w:line="48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Figure S2. </w:t>
      </w:r>
      <w:r>
        <w:rPr>
          <w:rFonts w:ascii="Times New Roman" w:hAnsi="Times New Roman" w:eastAsia="宋体"/>
          <w:b/>
          <w:bCs/>
          <w:szCs w:val="21"/>
        </w:rPr>
        <w:t xml:space="preserve">NAMPT inhibitors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 NSCLC cell </w:t>
      </w:r>
      <w:r>
        <w:rPr>
          <w:rFonts w:ascii="Times New Roman" w:hAnsi="Times New Roman" w:eastAsia="宋体"/>
          <w:b/>
          <w:sz w:val="24"/>
          <w:szCs w:val="24"/>
        </w:rPr>
        <w:t>viability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(A-B) </w:t>
      </w:r>
      <w:r>
        <w:rPr>
          <w:rFonts w:ascii="Times New Roman" w:hAnsi="Times New Roman"/>
          <w:color w:val="000000"/>
          <w:sz w:val="24"/>
          <w:szCs w:val="24"/>
        </w:rPr>
        <w:t xml:space="preserve">H460, A549 and LLC cells were treated with 0.1% DMSO, FK866 and GMX1778 for 72h, and then </w:t>
      </w:r>
      <w:r>
        <w:rPr>
          <w:rFonts w:ascii="Times New Roman" w:hAnsi="Times New Roman" w:eastAsia="宋体"/>
          <w:sz w:val="24"/>
          <w:szCs w:val="24"/>
        </w:rPr>
        <w:t>cell viability measured by CCK-8 assay.</w:t>
      </w:r>
    </w:p>
    <w:p w14:paraId="6E5387C4">
      <w:pPr>
        <w:adjustRightInd w:val="0"/>
        <w:snapToGrid w:val="0"/>
        <w:spacing w:line="480" w:lineRule="auto"/>
        <w:rPr>
          <w:rFonts w:ascii="Times New Roman" w:hAnsi="Times New Roman" w:eastAsia="宋体"/>
          <w:sz w:val="24"/>
          <w:szCs w:val="24"/>
        </w:rPr>
      </w:pPr>
    </w:p>
    <w:p w14:paraId="158C5C8C">
      <w:pPr>
        <w:adjustRightInd w:val="0"/>
        <w:snapToGrid w:val="0"/>
        <w:spacing w:line="480" w:lineRule="auto"/>
        <w:rPr>
          <w:rFonts w:ascii="Times New Roman" w:hAnsi="Times New Roman" w:eastAsia="等线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S3. NAMPT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inhibit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DNA synthesis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in NSCLC cells. </w:t>
      </w:r>
      <w:r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H460, A549 </w:t>
      </w:r>
      <w:r>
        <w:rPr>
          <w:rFonts w:ascii="Times New Roman" w:hAnsi="Times New Roman"/>
          <w:color w:val="000000"/>
          <w:sz w:val="24"/>
          <w:szCs w:val="24"/>
        </w:rPr>
        <w:t xml:space="preserve">and LLC 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treated with different concentrations of FK866 and GMX1778 for 48h were tested for DNA synthesis</w:t>
      </w:r>
      <w:r>
        <w:rPr>
          <w:rFonts w:ascii="Times New Roman" w:hAnsi="Times New Roman"/>
          <w:color w:val="000000"/>
          <w:sz w:val="24"/>
          <w:szCs w:val="24"/>
        </w:rPr>
        <w:t xml:space="preserve"> by EdU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assay.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/>
          <w:color w:val="000000"/>
          <w:sz w:val="24"/>
          <w:szCs w:val="24"/>
        </w:rPr>
        <w:t xml:space="preserve"> The impact of supplementation with 1mmol/L NMN for 48h on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DNA synthesis</w:t>
      </w:r>
      <w:r>
        <w:rPr>
          <w:rFonts w:ascii="Times New Roman" w:hAnsi="Times New Roman"/>
          <w:color w:val="000000"/>
          <w:sz w:val="24"/>
          <w:szCs w:val="24"/>
        </w:rPr>
        <w:t xml:space="preserve"> examined by EdU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assay. </w:t>
      </w:r>
      <w:r>
        <w:rPr>
          <w:rStyle w:val="6"/>
          <w:rFonts w:ascii="Times New Roman" w:hAnsi="Times New Roman"/>
          <w:sz w:val="24"/>
          <w:szCs w:val="24"/>
        </w:rPr>
        <w:t>( H460: FK866 30nmol/L, GMX1778 30nmol/L; A549: FK866 3nmol/L, GMX1778 20nmol/L; LLC:FK866 3nmol/L, GMX1778 15 nmol/L)</w:t>
      </w:r>
      <w:r>
        <w:rPr>
          <w:rFonts w:ascii="Times New Roman" w:hAnsi="Times New Roman" w:eastAsia="宋体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: 200 μm)</w:t>
      </w:r>
    </w:p>
    <w:p w14:paraId="44C72187">
      <w:pPr>
        <w:adjustRightInd w:val="0"/>
        <w:snapToGrid w:val="0"/>
        <w:spacing w:line="480" w:lineRule="auto"/>
        <w:rPr>
          <w:rFonts w:ascii="Times New Roman" w:hAnsi="Times New Roman"/>
          <w:sz w:val="21"/>
          <w:szCs w:val="21"/>
        </w:rPr>
      </w:pPr>
    </w:p>
    <w:p w14:paraId="265E1A80">
      <w:pPr>
        <w:adjustRightInd w:val="0"/>
        <w:snapToGrid w:val="0"/>
        <w:spacing w:line="480" w:lineRule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S4. NAMPT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inhibit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colony formation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by NSCLC cells. (A)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H460, A549 </w:t>
      </w:r>
      <w:r>
        <w:rPr>
          <w:rFonts w:ascii="Times New Roman" w:hAnsi="Times New Roman"/>
          <w:color w:val="000000"/>
          <w:sz w:val="24"/>
          <w:szCs w:val="24"/>
        </w:rPr>
        <w:t xml:space="preserve">and LLC 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and GMX1778 were assayed for colony formation.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(B and C)</w:t>
      </w:r>
      <w:r>
        <w:rPr>
          <w:rFonts w:ascii="Times New Roman" w:hAnsi="Times New Roman"/>
          <w:color w:val="000000"/>
          <w:sz w:val="24"/>
          <w:szCs w:val="24"/>
        </w:rPr>
        <w:t xml:space="preserve"> Impact of supplementation with 1mmol/L NMN for 12 days on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colony formation was measured. </w:t>
      </w:r>
      <w:r>
        <w:rPr>
          <w:rStyle w:val="6"/>
          <w:rFonts w:ascii="Times New Roman" w:hAnsi="Times New Roman"/>
          <w:sz w:val="24"/>
          <w:szCs w:val="24"/>
        </w:rPr>
        <w:t xml:space="preserve">(H460: FK866 30nmol/L, GMX1778 30nmol/L; A549: FK866 3nmol/L, GMX1778 20nmol/L; LLC:FK866 3nmol/L, GMX1778 15 nmol/L) </w:t>
      </w:r>
      <w:r>
        <w:rPr>
          <w:rFonts w:ascii="Times New Roman" w:hAnsi="Times New Roman"/>
          <w:color w:val="000000"/>
          <w:szCs w:val="21"/>
        </w:rPr>
        <w:t>*</w:t>
      </w:r>
      <w:r>
        <w:rPr>
          <w:rFonts w:ascii="Times New Roman" w:hAnsi="Times New Roman"/>
          <w:i/>
          <w:color w:val="000000"/>
          <w:szCs w:val="21"/>
        </w:rPr>
        <w:t>P</w:t>
      </w:r>
      <w:r>
        <w:rPr>
          <w:rFonts w:hint="eastAsia" w:ascii="MS Gothic" w:hAnsi="MS Gothic" w:eastAsia="MS Gothic" w:cs="MS Gothic"/>
          <w:color w:val="000000"/>
          <w:szCs w:val="21"/>
        </w:rPr>
        <w:t>＜</w:t>
      </w:r>
      <w:r>
        <w:rPr>
          <w:rFonts w:ascii="Times New Roman" w:hAnsi="Times New Roman"/>
          <w:color w:val="000000"/>
          <w:szCs w:val="21"/>
        </w:rPr>
        <w:t>0.05</w:t>
      </w:r>
      <w:r>
        <w:rPr>
          <w:rFonts w:ascii="Times New Roman" w:hAnsi="Times New Roman"/>
          <w:color w:val="000000"/>
          <w:sz w:val="18"/>
          <w:szCs w:val="21"/>
        </w:rPr>
        <w:t xml:space="preserve">, </w:t>
      </w:r>
      <w:r>
        <w:rPr>
          <w:rFonts w:ascii="Times New Roman" w:hAnsi="Times New Roman" w:eastAsia="宋体"/>
          <w:szCs w:val="21"/>
        </w:rPr>
        <w:t>**</w:t>
      </w:r>
      <w:r>
        <w:rPr>
          <w:rFonts w:ascii="Times New Roman" w:hAnsi="Times New Roman" w:eastAsia="宋体"/>
          <w:i/>
          <w:iCs/>
          <w:szCs w:val="21"/>
        </w:rPr>
        <w:t xml:space="preserve"> P</w:t>
      </w:r>
      <w:r>
        <w:rPr>
          <w:rFonts w:ascii="Times New Roman" w:hAnsi="Times New Roman" w:eastAsia="宋体"/>
          <w:szCs w:val="21"/>
        </w:rPr>
        <w:t xml:space="preserve">&lt;0.01, ***, </w:t>
      </w:r>
      <w:r>
        <w:rPr>
          <w:rFonts w:ascii="Times New Roman" w:hAnsi="Times New Roman" w:eastAsia="宋体"/>
          <w:i/>
          <w:iCs/>
          <w:szCs w:val="21"/>
        </w:rPr>
        <w:t>P</w:t>
      </w:r>
      <w:r>
        <w:rPr>
          <w:rFonts w:ascii="Times New Roman" w:hAnsi="Times New Roman" w:eastAsia="宋体"/>
          <w:szCs w:val="21"/>
        </w:rPr>
        <w:t>&lt;0.001.</w:t>
      </w:r>
    </w:p>
    <w:p w14:paraId="032B6DE8">
      <w:pPr>
        <w:adjustRightInd w:val="0"/>
        <w:snapToGrid w:val="0"/>
        <w:spacing w:line="480" w:lineRule="auto"/>
        <w:rPr>
          <w:rFonts w:ascii="Times New Roman" w:hAnsi="Times New Roman" w:eastAsia="宋体"/>
          <w:szCs w:val="21"/>
        </w:rPr>
      </w:pPr>
    </w:p>
    <w:p w14:paraId="342402BF">
      <w:pPr>
        <w:snapToGrid w:val="0"/>
        <w:spacing w:line="480" w:lineRule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S5.</w:t>
      </w:r>
      <w:r>
        <w:rPr>
          <w:rFonts w:ascii="Times New Roman" w:hAnsi="Times New Roman"/>
          <w:b/>
          <w:color w:val="000000"/>
          <w:szCs w:val="21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NAMPT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induce </w:t>
      </w:r>
      <w:r>
        <w:rPr>
          <w:rFonts w:ascii="Times New Roman" w:hAnsi="Times New Roman"/>
          <w:b/>
          <w:sz w:val="24"/>
        </w:rPr>
        <w:t xml:space="preserve">apoptosis and arrest cell cycle. (A)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Flow cytometry analysis of H460, A549 and LLC </w:t>
      </w:r>
      <w:r>
        <w:rPr>
          <w:rFonts w:ascii="Times New Roman" w:hAnsi="Times New Roman"/>
          <w:color w:val="000000"/>
          <w:sz w:val="24"/>
          <w:szCs w:val="24"/>
        </w:rPr>
        <w:t xml:space="preserve">cells apoptosis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and GMX1778 for 48h. </w:t>
      </w:r>
      <w:r>
        <w:rPr>
          <w:rFonts w:ascii="Times New Roman" w:hAnsi="Times New Roman"/>
          <w:color w:val="000000"/>
          <w:sz w:val="24"/>
          <w:szCs w:val="24"/>
        </w:rPr>
        <w:t>Quantification of the total</w:t>
      </w:r>
      <w:r>
        <w:rPr>
          <w:rFonts w:ascii="Times New Roman" w:hAnsi="Times New Roman" w:eastAsia="宋体"/>
          <w:sz w:val="24"/>
          <w:szCs w:val="24"/>
        </w:rPr>
        <w:t xml:space="preserve"> proportion</w:t>
      </w:r>
      <w:r>
        <w:rPr>
          <w:rFonts w:ascii="Times New Roman" w:hAnsi="Times New Roman"/>
          <w:color w:val="000000"/>
          <w:sz w:val="24"/>
          <w:szCs w:val="24"/>
        </w:rPr>
        <w:t xml:space="preserve"> of </w:t>
      </w:r>
      <w:r>
        <w:rPr>
          <w:rFonts w:ascii="Times New Roman" w:hAnsi="Times New Roman" w:eastAsia="宋体"/>
          <w:sz w:val="24"/>
          <w:szCs w:val="24"/>
        </w:rPr>
        <w:t>Annexin V-positive (early apoptotic) cells and 7ADD-stained double positive (late apoptotic) cells.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Western blot analysis of cell </w:t>
      </w:r>
      <w:r>
        <w:rPr>
          <w:rFonts w:ascii="Times New Roman" w:hAnsi="Times New Roman"/>
          <w:sz w:val="24"/>
          <w:szCs w:val="24"/>
        </w:rPr>
        <w:t xml:space="preserve">apoptosis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proteins in H460, A549 and LLC </w:t>
      </w:r>
      <w:r>
        <w:rPr>
          <w:rFonts w:ascii="Times New Roman" w:hAnsi="Times New Roman"/>
          <w:color w:val="000000"/>
          <w:sz w:val="24"/>
          <w:szCs w:val="24"/>
        </w:rPr>
        <w:t xml:space="preserve">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for 48h.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(C)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Western blot analysis of cell </w:t>
      </w:r>
      <w:r>
        <w:rPr>
          <w:rFonts w:ascii="Times New Roman" w:hAnsi="Times New Roman"/>
          <w:sz w:val="24"/>
        </w:rPr>
        <w:t xml:space="preserve">apoptosis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proteins in H460 and LLC </w:t>
      </w:r>
      <w:r>
        <w:rPr>
          <w:rFonts w:ascii="Times New Roman" w:hAnsi="Times New Roman"/>
          <w:color w:val="000000"/>
          <w:sz w:val="24"/>
          <w:szCs w:val="24"/>
        </w:rPr>
        <w:t xml:space="preserve">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GMX1778 for 48h.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(D)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Flow cytometry analysis of H460, A549 and LLC </w:t>
      </w:r>
      <w:r>
        <w:rPr>
          <w:rFonts w:ascii="Times New Roman" w:hAnsi="Times New Roman"/>
          <w:color w:val="000000"/>
          <w:sz w:val="24"/>
          <w:szCs w:val="24"/>
        </w:rPr>
        <w:t xml:space="preserve">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treated with different concentrations of FK866 for 48h.</w:t>
      </w:r>
      <w:r>
        <w:rPr>
          <w:rFonts w:ascii="Times New Roman" w:hAnsi="Times New Roman"/>
          <w:color w:val="000000"/>
          <w:sz w:val="24"/>
          <w:szCs w:val="24"/>
        </w:rPr>
        <w:t xml:space="preserve"> Quantification of the cell cycle </w:t>
      </w:r>
      <w:r>
        <w:rPr>
          <w:rFonts w:ascii="Times New Roman" w:hAnsi="Times New Roman" w:eastAsia="宋体"/>
          <w:sz w:val="24"/>
          <w:szCs w:val="24"/>
        </w:rPr>
        <w:t>profile.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  <w:t>E-F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) Western blot analysis of cell </w:t>
      </w:r>
      <w:r>
        <w:rPr>
          <w:rFonts w:ascii="Times New Roman" w:hAnsi="Times New Roman"/>
          <w:sz w:val="24"/>
          <w:szCs w:val="24"/>
        </w:rPr>
        <w:t xml:space="preserve">cycle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proteins in H460 and LLC </w:t>
      </w:r>
      <w:r>
        <w:rPr>
          <w:rFonts w:ascii="Times New Roman" w:hAnsi="Times New Roman"/>
          <w:color w:val="000000"/>
          <w:sz w:val="24"/>
          <w:szCs w:val="24"/>
        </w:rPr>
        <w:t xml:space="preserve">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</w:t>
      </w:r>
      <w:r>
        <w:rPr>
          <w:rFonts w:ascii="Times New Roman" w:hAnsi="Times New Roman"/>
          <w:bCs/>
          <w:color w:val="212121"/>
          <w:sz w:val="24"/>
          <w:szCs w:val="24"/>
          <w:shd w:val="clear" w:color="auto" w:fill="FFFFFF"/>
        </w:rPr>
        <w:t xml:space="preserve">(E)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and GMX1778 (F) for 48h.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(G)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Cell </w:t>
      </w:r>
      <w:r>
        <w:rPr>
          <w:rFonts w:ascii="Times New Roman" w:hAnsi="Times New Roman"/>
          <w:sz w:val="24"/>
          <w:szCs w:val="24"/>
        </w:rPr>
        <w:t>apoptosis proteins and cell cycle proteins were measured by western blot with and without</w:t>
      </w:r>
      <w:r>
        <w:rPr>
          <w:rFonts w:ascii="Times New Roman" w:hAnsi="Times New Roman"/>
          <w:color w:val="000000"/>
          <w:sz w:val="24"/>
          <w:szCs w:val="24"/>
        </w:rPr>
        <w:t xml:space="preserve"> supplementation with 1mmol NMN for 48h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Style w:val="6"/>
          <w:rFonts w:ascii="Times New Roman" w:hAnsi="Times New Roman"/>
          <w:sz w:val="24"/>
          <w:szCs w:val="24"/>
        </w:rPr>
        <w:t>(H460: FK866 30nmol/L, GMX1778 30nmol/L; A549: FK866 3nmol/L, GMX1778 20nmol/L; LLC:FK866 3nmol/L, GMX1778 15 nmol/L)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β-actin was used as loading control for western blot. *</w:t>
      </w:r>
      <w:r>
        <w:rPr>
          <w:rFonts w:ascii="Times New Roman" w:hAnsi="Times New Roman"/>
          <w:i/>
          <w:color w:val="000000"/>
          <w:sz w:val="24"/>
          <w:szCs w:val="24"/>
        </w:rPr>
        <w:t>P</w:t>
      </w:r>
      <w:r>
        <w:rPr>
          <w:rFonts w:hint="eastAsia" w:ascii="MS Gothic" w:hAnsi="MS Gothic" w:eastAsia="MS Gothic" w:cs="MS Gothic"/>
          <w:color w:val="000000"/>
          <w:sz w:val="24"/>
          <w:szCs w:val="24"/>
        </w:rPr>
        <w:t>＜</w:t>
      </w:r>
      <w:r>
        <w:rPr>
          <w:rFonts w:ascii="Times New Roman" w:hAnsi="Times New Roman"/>
          <w:color w:val="000000"/>
          <w:sz w:val="24"/>
          <w:szCs w:val="24"/>
        </w:rPr>
        <w:t xml:space="preserve">0.05, </w:t>
      </w:r>
      <w:r>
        <w:rPr>
          <w:rFonts w:ascii="Times New Roman" w:hAnsi="Times New Roman" w:eastAsia="宋体"/>
          <w:sz w:val="24"/>
          <w:szCs w:val="24"/>
        </w:rPr>
        <w:t>**</w:t>
      </w:r>
      <w:r>
        <w:rPr>
          <w:rFonts w:ascii="Times New Roman" w:hAnsi="Times New Roman" w:eastAsia="宋体"/>
          <w:i/>
          <w:iCs/>
          <w:sz w:val="24"/>
          <w:szCs w:val="24"/>
        </w:rPr>
        <w:t xml:space="preserve"> P</w:t>
      </w:r>
      <w:r>
        <w:rPr>
          <w:rFonts w:ascii="Times New Roman" w:hAnsi="Times New Roman" w:eastAsia="宋体"/>
          <w:sz w:val="24"/>
          <w:szCs w:val="24"/>
        </w:rPr>
        <w:t xml:space="preserve">&lt;0.01, ***, </w:t>
      </w:r>
      <w:r>
        <w:rPr>
          <w:rFonts w:ascii="Times New Roman" w:hAnsi="Times New Roman" w:eastAsia="宋体"/>
          <w:i/>
          <w:iCs/>
          <w:sz w:val="24"/>
          <w:szCs w:val="24"/>
        </w:rPr>
        <w:t>P</w:t>
      </w:r>
      <w:r>
        <w:rPr>
          <w:rFonts w:ascii="Times New Roman" w:hAnsi="Times New Roman" w:eastAsia="宋体"/>
          <w:sz w:val="24"/>
          <w:szCs w:val="24"/>
        </w:rPr>
        <w:t>&lt;0.001</w:t>
      </w:r>
      <w:r>
        <w:rPr>
          <w:rFonts w:ascii="Times New Roman" w:hAnsi="Times New Roman" w:eastAsia="宋体"/>
          <w:szCs w:val="21"/>
        </w:rPr>
        <w:t>.</w:t>
      </w:r>
    </w:p>
    <w:p w14:paraId="648A2C55">
      <w:pPr>
        <w:snapToGrid w:val="0"/>
        <w:spacing w:line="480" w:lineRule="auto"/>
        <w:rPr>
          <w:rFonts w:ascii="AdvOT61751f86" w:hAnsi="AdvOT61751f86" w:eastAsia="等线"/>
          <w:color w:val="000000"/>
          <w:sz w:val="14"/>
          <w:szCs w:val="14"/>
        </w:rPr>
      </w:pPr>
    </w:p>
    <w:p w14:paraId="23D3ACA5">
      <w:pPr>
        <w:adjustRightInd w:val="0"/>
        <w:snapToGrid w:val="0"/>
        <w:spacing w:line="480" w:lineRule="auto"/>
        <w:rPr>
          <w:rFonts w:ascii="Times New Roman" w:hAnsi="Times New Roman" w:eastAsia="宋体"/>
          <w:sz w:val="21"/>
          <w:szCs w:val="21"/>
        </w:rPr>
      </w:pP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Figure S6.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NAMPT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induce </w:t>
      </w:r>
      <w:r>
        <w:rPr>
          <w:rFonts w:ascii="Times New Roman" w:hAnsi="Times New Roman"/>
          <w:b/>
          <w:sz w:val="24"/>
        </w:rPr>
        <w:t>apoptosis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in A549 cells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(A)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NAMPT inhibitor-induced (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3 nmol/L FK866, 20nmol/L GMX1778) </w:t>
      </w:r>
      <w:r>
        <w:rPr>
          <w:rFonts w:ascii="Times New Roman" w:hAnsi="Times New Roman"/>
          <w:sz w:val="24"/>
          <w:szCs w:val="24"/>
        </w:rPr>
        <w:t xml:space="preserve">apoptosis was measured by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flow cytometry</w:t>
      </w:r>
      <w:r>
        <w:rPr>
          <w:rFonts w:ascii="Times New Roman" w:hAnsi="Times New Roman"/>
          <w:color w:val="000000"/>
          <w:sz w:val="24"/>
          <w:szCs w:val="24"/>
        </w:rPr>
        <w:t xml:space="preserve"> with and without supplementation with 1mmol NMN</w:t>
      </w:r>
      <w:r>
        <w:rPr>
          <w:rStyle w:val="5"/>
          <w:rFonts w:ascii="Times New Roman" w:hAnsi="Times New Roman"/>
          <w:sz w:val="24"/>
          <w:szCs w:val="24"/>
        </w:rPr>
        <w:t xml:space="preserve"> for 48h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/>
          <w:color w:val="000000"/>
          <w:sz w:val="24"/>
          <w:szCs w:val="24"/>
        </w:rPr>
        <w:t xml:space="preserve"> Quantification of the total</w:t>
      </w:r>
      <w:r>
        <w:rPr>
          <w:rFonts w:ascii="Times New Roman" w:hAnsi="Times New Roman" w:eastAsia="宋体"/>
          <w:sz w:val="24"/>
          <w:szCs w:val="24"/>
        </w:rPr>
        <w:t xml:space="preserve"> proportion</w:t>
      </w:r>
      <w:r>
        <w:rPr>
          <w:rFonts w:ascii="Times New Roman" w:hAnsi="Times New Roman"/>
          <w:color w:val="000000"/>
          <w:sz w:val="24"/>
          <w:szCs w:val="24"/>
        </w:rPr>
        <w:t xml:space="preserve"> of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cell </w:t>
      </w:r>
      <w:r>
        <w:rPr>
          <w:rFonts w:ascii="Times New Roman" w:hAnsi="Times New Roman"/>
          <w:sz w:val="24"/>
          <w:szCs w:val="24"/>
        </w:rPr>
        <w:t>apoptosis.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>**</w:t>
      </w:r>
      <w:r>
        <w:rPr>
          <w:rFonts w:ascii="Times New Roman" w:hAnsi="Times New Roman" w:eastAsia="宋体"/>
          <w:i/>
          <w:iCs/>
          <w:sz w:val="24"/>
          <w:szCs w:val="24"/>
        </w:rPr>
        <w:t xml:space="preserve"> P</w:t>
      </w:r>
      <w:r>
        <w:rPr>
          <w:rFonts w:ascii="Times New Roman" w:hAnsi="Times New Roman" w:eastAsia="宋体"/>
          <w:sz w:val="24"/>
          <w:szCs w:val="24"/>
        </w:rPr>
        <w:t>&lt;0.01.</w:t>
      </w:r>
    </w:p>
    <w:p w14:paraId="0A9301C6">
      <w:pPr>
        <w:adjustRightInd w:val="0"/>
        <w:snapToGrid w:val="0"/>
        <w:spacing w:line="480" w:lineRule="auto"/>
        <w:rPr>
          <w:rFonts w:ascii="Times New Roman" w:hAnsi="Times New Roman" w:eastAsia="宋体"/>
          <w:szCs w:val="21"/>
        </w:rPr>
      </w:pPr>
    </w:p>
    <w:p w14:paraId="44B7B583">
      <w:pPr>
        <w:snapToGrid w:val="0"/>
        <w:spacing w:line="480" w:lineRule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S7. NAMPT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reduce migration of NSCLC cells. (A-B)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H460, A549 </w:t>
      </w:r>
      <w:r>
        <w:rPr>
          <w:rFonts w:ascii="Times New Roman" w:hAnsi="Times New Roman"/>
          <w:color w:val="000000"/>
          <w:sz w:val="24"/>
          <w:szCs w:val="24"/>
        </w:rPr>
        <w:t xml:space="preserve">and LLC cells were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for 48h. Cell migration was measured by wound-healing assays.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(C-D)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H460 </w:t>
      </w:r>
      <w:r>
        <w:rPr>
          <w:rFonts w:ascii="Times New Roman" w:hAnsi="Times New Roman"/>
          <w:color w:val="000000"/>
          <w:sz w:val="24"/>
          <w:szCs w:val="24"/>
        </w:rPr>
        <w:t xml:space="preserve">and LLC cells were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treated with different concentrations of GMX1778 for 48h. Cell migration was measured by wound-healing assays.</w:t>
      </w:r>
      <w:r>
        <w:rPr>
          <w:rFonts w:ascii="Times New Roman" w:hAnsi="Times New Roman"/>
          <w:color w:val="000000"/>
          <w:sz w:val="24"/>
          <w:szCs w:val="24"/>
        </w:rPr>
        <w:t xml:space="preserve"> *</w:t>
      </w:r>
      <w:r>
        <w:rPr>
          <w:rFonts w:ascii="Times New Roman" w:hAnsi="Times New Roman"/>
          <w:i/>
          <w:color w:val="000000"/>
          <w:sz w:val="24"/>
          <w:szCs w:val="24"/>
        </w:rPr>
        <w:t>P</w:t>
      </w:r>
      <w:r>
        <w:rPr>
          <w:rFonts w:hint="eastAsia" w:ascii="MS Gothic" w:hAnsi="MS Gothic" w:eastAsia="MS Gothic" w:cs="MS Gothic"/>
          <w:color w:val="000000"/>
          <w:sz w:val="24"/>
          <w:szCs w:val="24"/>
        </w:rPr>
        <w:t>＜</w:t>
      </w:r>
      <w:r>
        <w:rPr>
          <w:rFonts w:ascii="Times New Roman" w:hAnsi="Times New Roman"/>
          <w:color w:val="000000"/>
          <w:sz w:val="24"/>
          <w:szCs w:val="24"/>
        </w:rPr>
        <w:t xml:space="preserve">0.05, </w:t>
      </w:r>
      <w:r>
        <w:rPr>
          <w:rFonts w:ascii="Times New Roman" w:hAnsi="Times New Roman" w:eastAsia="宋体"/>
          <w:sz w:val="24"/>
          <w:szCs w:val="24"/>
        </w:rPr>
        <w:t>**</w:t>
      </w:r>
      <w:r>
        <w:rPr>
          <w:rFonts w:ascii="Times New Roman" w:hAnsi="Times New Roman" w:eastAsia="宋体"/>
          <w:i/>
          <w:iCs/>
          <w:sz w:val="24"/>
          <w:szCs w:val="24"/>
        </w:rPr>
        <w:t xml:space="preserve"> P</w:t>
      </w:r>
      <w:r>
        <w:rPr>
          <w:rFonts w:ascii="Times New Roman" w:hAnsi="Times New Roman" w:eastAsia="宋体"/>
          <w:sz w:val="24"/>
          <w:szCs w:val="24"/>
        </w:rPr>
        <w:t xml:space="preserve">&lt;0.01, ***, </w:t>
      </w:r>
      <w:r>
        <w:rPr>
          <w:rFonts w:ascii="Times New Roman" w:hAnsi="Times New Roman" w:eastAsia="宋体"/>
          <w:i/>
          <w:iCs/>
          <w:sz w:val="24"/>
          <w:szCs w:val="24"/>
        </w:rPr>
        <w:t>P</w:t>
      </w:r>
      <w:r>
        <w:rPr>
          <w:rFonts w:ascii="Times New Roman" w:hAnsi="Times New Roman" w:eastAsia="宋体"/>
          <w:sz w:val="24"/>
          <w:szCs w:val="24"/>
        </w:rPr>
        <w:t>&lt;0.001.</w:t>
      </w:r>
    </w:p>
    <w:p w14:paraId="56BB3F5A">
      <w:pPr>
        <w:snapToGrid w:val="0"/>
        <w:spacing w:line="480" w:lineRule="auto"/>
        <w:rPr>
          <w:rFonts w:ascii="Times New Roman" w:hAnsi="Times New Roman" w:eastAsia="宋体"/>
          <w:szCs w:val="21"/>
        </w:rPr>
      </w:pPr>
    </w:p>
    <w:p w14:paraId="687A3496">
      <w:pPr>
        <w:adjustRightInd w:val="0"/>
        <w:snapToGrid w:val="0"/>
        <w:spacing w:line="480" w:lineRule="auto"/>
        <w:rPr>
          <w:rFonts w:ascii="Times New Roman" w:hAnsi="Times New Roman" w:eastAsia="宋体"/>
          <w:szCs w:val="21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Figure S8. NAMPT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inhibitors reduce transwell migration of NSCLC cells. (A)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H460, A549 </w:t>
      </w:r>
      <w:r>
        <w:rPr>
          <w:rFonts w:ascii="Times New Roman" w:hAnsi="Times New Roman"/>
          <w:color w:val="000000"/>
          <w:sz w:val="24"/>
          <w:szCs w:val="24"/>
        </w:rPr>
        <w:t xml:space="preserve">and LLC cells were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FK866 and GMX1778 for 48h. Cell migration was measured by transwell assays.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(B)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Cell migration was measured by transwell assays with and without </w:t>
      </w:r>
      <w:r>
        <w:rPr>
          <w:rFonts w:ascii="Times New Roman" w:hAnsi="Times New Roman"/>
          <w:color w:val="000000"/>
          <w:sz w:val="24"/>
          <w:szCs w:val="24"/>
        </w:rPr>
        <w:t>supplementation with 1mmol/L NMN for 48h.</w:t>
      </w:r>
      <w:r>
        <w:rPr>
          <w:rStyle w:val="6"/>
          <w:rFonts w:ascii="Times New Roman" w:hAnsi="Times New Roman"/>
          <w:sz w:val="24"/>
          <w:szCs w:val="24"/>
        </w:rPr>
        <w:t>(H460: FK866 30nmol/L, GMX1778 30nmol/L; A549: FK866 3nmol/L, GMX1778 20nmol/L; LLC:FK866 3nmol/L, GMX1778 15 nmol/L)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宋体"/>
          <w:sz w:val="24"/>
          <w:szCs w:val="24"/>
        </w:rPr>
        <w:t>**</w:t>
      </w:r>
      <w:r>
        <w:rPr>
          <w:rFonts w:ascii="Times New Roman" w:hAnsi="Times New Roman" w:eastAsia="宋体"/>
          <w:i/>
          <w:iCs/>
          <w:sz w:val="24"/>
          <w:szCs w:val="24"/>
        </w:rPr>
        <w:t xml:space="preserve"> P</w:t>
      </w:r>
      <w:r>
        <w:rPr>
          <w:rFonts w:ascii="Times New Roman" w:hAnsi="Times New Roman" w:eastAsia="宋体"/>
          <w:sz w:val="24"/>
          <w:szCs w:val="24"/>
        </w:rPr>
        <w:t xml:space="preserve">&lt;0.01, ***, </w:t>
      </w:r>
      <w:r>
        <w:rPr>
          <w:rFonts w:ascii="Times New Roman" w:hAnsi="Times New Roman" w:eastAsia="宋体"/>
          <w:i/>
          <w:iCs/>
          <w:sz w:val="24"/>
          <w:szCs w:val="24"/>
        </w:rPr>
        <w:t>P</w:t>
      </w:r>
      <w:r>
        <w:rPr>
          <w:rFonts w:ascii="Times New Roman" w:hAnsi="Times New Roman" w:eastAsia="宋体"/>
          <w:sz w:val="24"/>
          <w:szCs w:val="24"/>
        </w:rPr>
        <w:t>&lt;0.001.</w:t>
      </w:r>
    </w:p>
    <w:p w14:paraId="334056FA">
      <w:pPr>
        <w:adjustRightInd w:val="0"/>
        <w:snapToGrid w:val="0"/>
        <w:spacing w:line="480" w:lineRule="auto"/>
        <w:rPr>
          <w:rFonts w:ascii="Times New Roman" w:hAnsi="Times New Roman" w:eastAsia="宋体"/>
          <w:szCs w:val="21"/>
        </w:rPr>
      </w:pPr>
    </w:p>
    <w:p w14:paraId="465591A8">
      <w:pPr>
        <w:snapToGrid w:val="0"/>
        <w:spacing w:line="480" w:lineRule="auto"/>
        <w:rPr>
          <w:rFonts w:ascii="Times New Roman" w:hAnsi="Times New Roman" w:eastAsia="等线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Figure S9.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NAMPT inhibitors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downregulate TGF-β1/Smads/RAB26 signaling axis proteins in NSCLC cells. </w:t>
      </w:r>
      <w:r>
        <w:rPr>
          <w:rFonts w:ascii="Times New Roman" w:hAnsi="Times New Roman"/>
          <w:color w:val="000000"/>
          <w:sz w:val="24"/>
          <w:szCs w:val="24"/>
        </w:rPr>
        <w:t xml:space="preserve">Western blot analysis of TGF-β1/Smads/RAB26 axis key protein expression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in H460 and A549 </w:t>
      </w:r>
      <w:r>
        <w:rPr>
          <w:rFonts w:ascii="Times New Roman" w:hAnsi="Times New Roman"/>
          <w:color w:val="000000"/>
          <w:sz w:val="24"/>
          <w:szCs w:val="24"/>
        </w:rPr>
        <w:t xml:space="preserve">cells </w:t>
      </w: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treated with different concentrations of GMX1778 for 48h. </w:t>
      </w:r>
      <w:r>
        <w:rPr>
          <w:rFonts w:ascii="Times New Roman" w:hAnsi="Times New Roman"/>
          <w:color w:val="000000"/>
          <w:sz w:val="24"/>
          <w:szCs w:val="24"/>
        </w:rPr>
        <w:t>β-actin was used as loading control.</w:t>
      </w:r>
    </w:p>
    <w:p w14:paraId="5BC1B5E4">
      <w:pPr>
        <w:snapToGrid w:val="0"/>
        <w:spacing w:line="48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16BE031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Figure S10.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 xml:space="preserve">A patient who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underwent surgical </w:t>
      </w:r>
      <w:r>
        <w:rPr>
          <w:rFonts w:ascii="Times New Roman" w:hAnsi="Times New Roman" w:eastAsia="宋体"/>
          <w:b/>
          <w:color w:val="000000"/>
          <w:sz w:val="24"/>
          <w:szCs w:val="24"/>
        </w:rPr>
        <w:t xml:space="preserve">resection for primary NSCLC and NSCLC BM. </w:t>
      </w:r>
      <w:r>
        <w:rPr>
          <w:rFonts w:ascii="Times New Roman" w:hAnsi="Times New Roman" w:eastAsia="宋体"/>
          <w:bCs/>
          <w:color w:val="000000"/>
          <w:sz w:val="24"/>
          <w:szCs w:val="24"/>
        </w:rPr>
        <w:t xml:space="preserve">Hematoxylin and eosin staining of tumor tissues (A, BM and B, primary) and the corresponding peri-tumor tissues. </w:t>
      </w:r>
      <w:r>
        <w:rPr>
          <w:rFonts w:ascii="Times New Roman" w:hAnsi="Times New Roman" w:eastAsia="宋体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: 150μm)</w:t>
      </w:r>
    </w:p>
    <w:p w14:paraId="12849504">
      <w:pPr>
        <w:snapToGrid w:val="0"/>
        <w:spacing w:line="480" w:lineRule="auto"/>
        <w:rPr>
          <w:rFonts w:ascii="Times New Roman" w:hAnsi="Times New Roman" w:eastAsia="宋体"/>
          <w:b/>
          <w:color w:val="000000"/>
          <w:sz w:val="24"/>
          <w:szCs w:val="24"/>
        </w:rPr>
      </w:pPr>
    </w:p>
    <w:p w14:paraId="4891BD05">
      <w:pPr>
        <w:snapToGrid w:val="0"/>
        <w:spacing w:line="480" w:lineRule="auto"/>
      </w:pPr>
      <w:r>
        <w:rPr>
          <w:rFonts w:ascii="Times New Roman" w:hAnsi="Times New Roman"/>
          <w:b/>
          <w:color w:val="000000"/>
          <w:sz w:val="24"/>
          <w:szCs w:val="24"/>
        </w:rPr>
        <w:t>Figure S11. NAMPT-TGF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>-β1-smads-RAB26 axis protein expression in 2 cases of primary NSCLC and NSCLC BM</w:t>
      </w:r>
      <w:r>
        <w:rPr>
          <w:rFonts w:ascii="Times New Roman" w:hAnsi="Times New Roman" w:eastAsia="宋体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宋体"/>
          <w:bCs/>
          <w:color w:val="000000"/>
          <w:sz w:val="24"/>
          <w:szCs w:val="24"/>
        </w:rPr>
        <w:t xml:space="preserve">Immunohistochemistry for the indicated proteins is presented. </w:t>
      </w:r>
      <w:r>
        <w:rPr>
          <w:rFonts w:ascii="Times New Roman" w:hAnsi="Times New Roman" w:eastAsia="宋体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Scale bar</w:t>
      </w:r>
      <w:r>
        <w:rPr>
          <w:rFonts w:ascii="Times New Roman" w:hAnsi="Times New Roman"/>
          <w:sz w:val="24"/>
          <w:szCs w:val="24"/>
        </w:rPr>
        <w:t>: 150 μm)</w:t>
      </w:r>
    </w:p>
    <w:p w14:paraId="6BF70BF5">
      <w:r>
        <w:drawing>
          <wp:inline distT="0" distB="0" distL="114300" distR="114300">
            <wp:extent cx="5724525" cy="5788025"/>
            <wp:effectExtent l="0" t="0" r="3175" b="3175"/>
            <wp:docPr id="11" name="图片 11" descr="S11_副本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11_副本_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8335" cy="4535805"/>
            <wp:effectExtent l="0" t="0" r="12065" b="10795"/>
            <wp:docPr id="12" name="图片 12" descr="HE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E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31510" cy="326898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E684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26430" cy="3272155"/>
            <wp:effectExtent l="0" t="0" r="1270" b="4445"/>
            <wp:docPr id="13" name="图片 13" descr="transwell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transwell_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2B3D5">
      <w:r>
        <w:drawing>
          <wp:inline distT="0" distB="0" distL="114300" distR="114300">
            <wp:extent cx="5728335" cy="4427855"/>
            <wp:effectExtent l="0" t="0" r="12065" b="4445"/>
            <wp:docPr id="7" name="图片 7" descr="划痕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划痕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31510" cy="261556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8335" cy="4732655"/>
            <wp:effectExtent l="0" t="0" r="12065" b="4445"/>
            <wp:docPr id="8" name="图片 8" descr="凋亡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凋亡_副本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473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0470" cy="8855710"/>
            <wp:effectExtent l="0" t="0" r="11430" b="8890"/>
            <wp:docPr id="10" name="图片 10" descr="克隆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克隆_副本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047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28335" cy="6102350"/>
            <wp:effectExtent l="0" t="0" r="12065" b="6350"/>
            <wp:docPr id="14" name="图片 14" descr="edu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du_副本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610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0" distR="0">
            <wp:extent cx="5731510" cy="19653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2627">
      <w:r>
        <w:drawing>
          <wp:inline distT="0" distB="0" distL="0" distR="0">
            <wp:extent cx="5731510" cy="3640455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8DBB0">
      <w:pPr>
        <w:jc w:val="center"/>
        <w:rPr>
          <w:rStyle w:val="6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Table S1.</w:t>
      </w:r>
      <w:r>
        <w:rPr>
          <w:rStyle w:val="7"/>
          <w:rFonts w:ascii="Times New Roman" w:hAnsi="Times New Roman"/>
          <w:sz w:val="24"/>
          <w:szCs w:val="24"/>
        </w:rPr>
        <w:t xml:space="preserve"> </w:t>
      </w:r>
      <w:r>
        <w:rPr>
          <w:rStyle w:val="6"/>
          <w:rFonts w:ascii="Times New Roman" w:hAnsi="Times New Roman"/>
          <w:b/>
          <w:sz w:val="24"/>
          <w:szCs w:val="24"/>
        </w:rPr>
        <w:t>Primary antibodies were used in the study</w:t>
      </w:r>
    </w:p>
    <w:p w14:paraId="69F0B4E1">
      <w:pPr>
        <w:rPr>
          <w:sz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786327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258074C">
            <w:pPr>
              <w:spacing w:after="0" w:line="240" w:lineRule="auto"/>
              <w:rPr>
                <w:rStyle w:val="6"/>
                <w:rFonts w:hint="eastAsia"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Antibody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61CD1D1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Application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AAA054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Cat.No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7998A81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Manufacturer</w:t>
            </w:r>
          </w:p>
        </w:tc>
      </w:tr>
      <w:tr w14:paraId="219D11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E362B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Ki67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44EA6C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60DEC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28074-1-AP</w:t>
            </w:r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4F8B3A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44BBA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1B45442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NAMPT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E1120C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22319A2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11776-1-AP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9B1D3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0D57ED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731F9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TGF-β1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901DC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7D2419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346599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2C0F6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Zenbio</w:t>
            </w:r>
          </w:p>
        </w:tc>
      </w:tr>
      <w:tr w14:paraId="4E75B3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14A0C2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Smad2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0C1806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688EE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12570-1-AP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83FB0F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72D50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46F3F12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p-smad2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D35D2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AA2D5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18338S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9A199A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CST</w:t>
            </w:r>
          </w:p>
        </w:tc>
      </w:tr>
      <w:tr w14:paraId="68CEF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2B5D53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Smad3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4C1CB8A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9AA5342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66516-1-Ig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648FAE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3AFA75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61187CA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p-smad3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93475E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25CC13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9520S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F12B01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CST</w:t>
            </w:r>
          </w:p>
        </w:tc>
      </w:tr>
      <w:tr w14:paraId="7FD37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57DF8D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Smad2/3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CC0724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DEBDDC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5678S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A84E6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CST</w:t>
            </w:r>
          </w:p>
        </w:tc>
      </w:tr>
      <w:tr w14:paraId="6DDFFA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DA2C25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Smad4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806B6C3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9E1601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46535S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FBF02EC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CST</w:t>
            </w:r>
          </w:p>
        </w:tc>
      </w:tr>
      <w:tr w14:paraId="6F2365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49696D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RAB26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0248F63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IHC, 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59DC365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251616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5DF24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Zenbio</w:t>
            </w:r>
          </w:p>
        </w:tc>
      </w:tr>
      <w:tr w14:paraId="5E253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EB81B3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Beta-actin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DB7A4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EEF63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4967S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68A8EC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CST</w:t>
            </w:r>
          </w:p>
        </w:tc>
      </w:tr>
      <w:tr w14:paraId="00055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4194931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BAX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919BB4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32BB3C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50599-2-Ig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45ACD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2BB72E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8428F77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Bcl2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C86AF0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5F5B5B3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AF6139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E486E2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Affinity</w:t>
            </w:r>
          </w:p>
        </w:tc>
      </w:tr>
      <w:tr w14:paraId="72D323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D8B5DBE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Caspase 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69811BF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2EDB06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19677-1-AP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95BF2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550E9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907665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PCNA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BECC43C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530FBF9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Ab92552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3F78E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abcam</w:t>
            </w:r>
          </w:p>
        </w:tc>
      </w:tr>
      <w:tr w14:paraId="6E414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B45536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CDK1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D9D8FA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9CCF7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10762-1-AP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ACFBAE1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  <w:tr w14:paraId="50628B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8880230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CDK2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C8DC0D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8AEDF26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Ab32147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7B39B88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abcam</w:t>
            </w:r>
          </w:p>
        </w:tc>
      </w:tr>
      <w:tr w14:paraId="59EC21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F89829E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CyclinD1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64CFB4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WB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80D9DE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60186-1-Ig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3323AB">
            <w:pPr>
              <w:spacing w:after="0" w:line="240" w:lineRule="auto"/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</w:pPr>
            <w:r>
              <w:rPr>
                <w:rStyle w:val="6"/>
                <w:rFonts w:eastAsia="宋体" w:cs="Times New Roman"/>
                <w:sz w:val="24"/>
                <w:szCs w:val="24"/>
                <w:lang w:eastAsia="en-IN"/>
              </w:rPr>
              <w:t>Proteintech</w:t>
            </w:r>
          </w:p>
        </w:tc>
      </w:tr>
    </w:tbl>
    <w:p w14:paraId="52BDBA75">
      <w:pPr>
        <w:rPr>
          <w:lang w:val="en-US" w:eastAsia="zh-CN"/>
        </w:rPr>
      </w:pPr>
    </w:p>
    <w:p w14:paraId="3F496E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/>
          <w:b/>
          <w:sz w:val="24"/>
          <w:szCs w:val="24"/>
        </w:rPr>
        <w:t xml:space="preserve">Table S2. </w:t>
      </w:r>
      <w:r>
        <w:rPr>
          <w:rFonts w:ascii="Times New Roman" w:hAnsi="Times New Roman"/>
          <w:b/>
          <w:sz w:val="24"/>
          <w:szCs w:val="24"/>
        </w:rPr>
        <w:t>qRT-PCR primer information in the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11"/>
      </w:tblGrid>
      <w:tr w14:paraId="2F50D7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F1DF2E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Gene name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AFDA28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Sequence (5’-3’)</w:t>
            </w:r>
          </w:p>
        </w:tc>
      </w:tr>
      <w:tr w14:paraId="74A6B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B684E1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HOMO RAB26 F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B89E86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GTCTGCTGGTGCGATTCAAG</w:t>
            </w:r>
          </w:p>
        </w:tc>
      </w:tr>
      <w:tr w14:paraId="3EF4A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BDC81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HOMO RAB26 R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B1898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GCATGGGTAACACTGCGGA</w:t>
            </w:r>
          </w:p>
        </w:tc>
      </w:tr>
      <w:tr w14:paraId="686ECC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B772D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MUS  RAB26 F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625EFD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shd w:val="clear" w:color="auto" w:fill="FFFFFF"/>
                <w:lang w:eastAsia="en-IN"/>
              </w:rPr>
              <w:t>GAGATGCTCACGCACTGTTG</w:t>
            </w:r>
          </w:p>
        </w:tc>
      </w:tr>
      <w:tr w14:paraId="47B2C1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97948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MUS  RAB26 R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29A52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shd w:val="clear" w:color="auto" w:fill="FFFFFF"/>
                <w:lang w:eastAsia="en-IN"/>
              </w:rPr>
              <w:t>CAGTCTTGATTCATTCCCCCAC</w:t>
            </w:r>
          </w:p>
        </w:tc>
      </w:tr>
    </w:tbl>
    <w:p w14:paraId="2FA627A2">
      <w:pPr>
        <w:rPr>
          <w:kern w:val="2"/>
          <w:sz w:val="21"/>
          <w:lang w:val="en-US" w:eastAsia="zh-CN"/>
        </w:rPr>
      </w:pPr>
    </w:p>
    <w:p w14:paraId="406F1B40">
      <w:pPr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Table S3.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Target sequences of siRNAs in the study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4395"/>
      </w:tblGrid>
      <w:tr w14:paraId="76BDEB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175407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Gene name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A36E36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Target sequence (5’-3’)</w:t>
            </w:r>
          </w:p>
        </w:tc>
      </w:tr>
      <w:tr w14:paraId="41D74A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FC109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HOMO siRAB26-1 F</w:t>
            </w: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14539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GGCUGCAUGAUUACGUUAATT</w:t>
            </w:r>
          </w:p>
        </w:tc>
      </w:tr>
      <w:tr w14:paraId="4839A9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B62511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HOMO siRAB26-1 R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5CDEE3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UUAACGUAAUCAUGCAGCCTT</w:t>
            </w:r>
          </w:p>
        </w:tc>
      </w:tr>
      <w:tr w14:paraId="6A2B8F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722999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MUS  siRAB26-2 F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56B230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GGAACAAAGUUCUGGACGUTT</w:t>
            </w:r>
          </w:p>
        </w:tc>
      </w:tr>
      <w:tr w14:paraId="7D65CA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3F016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MUS  siRAB26-2 R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266E6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ACGUCCAGAACUUUGUUCCTT</w:t>
            </w:r>
          </w:p>
        </w:tc>
      </w:tr>
    </w:tbl>
    <w:p w14:paraId="450BA2A8">
      <w:pPr>
        <w:ind w:firstLine="720" w:firstLineChars="300"/>
        <w:rPr>
          <w:rFonts w:ascii="Times New Roman" w:hAnsi="Times New Roman" w:cs="Times New Roman"/>
          <w:kern w:val="2"/>
          <w:sz w:val="24"/>
          <w:szCs w:val="24"/>
          <w:lang w:val="en-US" w:eastAsia="zh-CN"/>
        </w:rPr>
      </w:pPr>
    </w:p>
    <w:p w14:paraId="6A6BD87A">
      <w:pPr>
        <w:ind w:firstLine="720" w:firstLineChars="300"/>
        <w:rPr>
          <w:rFonts w:ascii="Times New Roman" w:hAnsi="Times New Roman" w:cs="Times New Roman"/>
          <w:sz w:val="24"/>
          <w:szCs w:val="24"/>
        </w:rPr>
      </w:pPr>
    </w:p>
    <w:p w14:paraId="465CAB2B">
      <w:pPr>
        <w:ind w:firstLine="720" w:firstLineChars="300"/>
        <w:rPr>
          <w:rFonts w:ascii="Times New Roman" w:hAnsi="Times New Roman" w:cs="Times New Roman"/>
          <w:sz w:val="24"/>
          <w:szCs w:val="24"/>
        </w:rPr>
      </w:pPr>
    </w:p>
    <w:p w14:paraId="6C1F6B35">
      <w:pPr>
        <w:ind w:firstLine="720" w:firstLineChars="300"/>
        <w:rPr>
          <w:rFonts w:ascii="Times New Roman" w:hAnsi="Times New Roman" w:cs="Times New Roman"/>
          <w:sz w:val="24"/>
          <w:szCs w:val="24"/>
        </w:rPr>
      </w:pPr>
    </w:p>
    <w:p w14:paraId="7D1472B9">
      <w:pPr>
        <w:jc w:val="center"/>
      </w:pP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 xml:space="preserve">Table S4. </w:t>
      </w:r>
      <w:r>
        <w:rPr>
          <w:rStyle w:val="6"/>
          <w:rFonts w:ascii="Times New Roman" w:hAnsi="Times New Roman"/>
          <w:b/>
          <w:sz w:val="24"/>
          <w:szCs w:val="24"/>
        </w:rPr>
        <w:t xml:space="preserve">The intersection of genes in H460 cell and A549 cell 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 xml:space="preserve">genes with a fold change ≥ 2 and </w:t>
      </w:r>
      <w:r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</w:rPr>
        <w:t>P</w:t>
      </w:r>
      <w:r>
        <w:rPr>
          <w:rFonts w:ascii="Times New Roman" w:hAnsi="Times New Roman"/>
          <w:b/>
          <w:color w:val="212121"/>
          <w:sz w:val="24"/>
          <w:szCs w:val="24"/>
          <w:shd w:val="clear" w:color="auto" w:fill="FFFFFF"/>
        </w:rPr>
        <w:t xml:space="preserve"> value ≤ 0.005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59"/>
      </w:tblGrid>
      <w:tr w14:paraId="6756B8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4820F7B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down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C98A74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lang w:eastAsia="en-IN"/>
              </w:rPr>
              <w:t>up</w:t>
            </w:r>
          </w:p>
        </w:tc>
      </w:tr>
      <w:tr w14:paraId="26C3A7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tbl>
            <w:tblPr>
              <w:tblStyle w:val="2"/>
              <w:tblW w:w="1123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0"/>
            </w:tblGrid>
            <w:tr w14:paraId="549EFE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04E8089C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IL31RA</w:t>
                  </w:r>
                </w:p>
              </w:tc>
            </w:tr>
            <w:tr w14:paraId="5FB1675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72952B77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VAV3</w:t>
                  </w:r>
                </w:p>
              </w:tc>
            </w:tr>
            <w:tr w14:paraId="22CD882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33D58EA1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CCDC148</w:t>
                  </w:r>
                </w:p>
              </w:tc>
            </w:tr>
            <w:tr w14:paraId="4B79CCB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1ED6649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FGFR3</w:t>
                  </w:r>
                </w:p>
              </w:tc>
            </w:tr>
            <w:tr w14:paraId="013D3C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1AB08724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VASH2</w:t>
                  </w:r>
                </w:p>
              </w:tc>
            </w:tr>
            <w:tr w14:paraId="1AF88F9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2535C5F8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YBX2</w:t>
                  </w:r>
                </w:p>
              </w:tc>
            </w:tr>
            <w:tr w14:paraId="3E78CD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CAA5B2E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VCAN</w:t>
                  </w:r>
                </w:p>
              </w:tc>
            </w:tr>
            <w:tr w14:paraId="0A36FAD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3B6E1C0D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RAB26</w:t>
                  </w:r>
                </w:p>
              </w:tc>
            </w:tr>
            <w:tr w14:paraId="20306EA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7A40BA1A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MYB</w:t>
                  </w:r>
                </w:p>
              </w:tc>
            </w:tr>
            <w:tr w14:paraId="3613493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7D11FC91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NOG</w:t>
                  </w:r>
                </w:p>
              </w:tc>
            </w:tr>
            <w:tr w14:paraId="27B6E2E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1CEC138E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STEAP1</w:t>
                  </w:r>
                </w:p>
              </w:tc>
            </w:tr>
            <w:tr w14:paraId="4048683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2E2AF010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METTL7B</w:t>
                  </w:r>
                </w:p>
              </w:tc>
            </w:tr>
            <w:tr w14:paraId="34808ED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34D39825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PTGER2</w:t>
                  </w:r>
                </w:p>
              </w:tc>
            </w:tr>
            <w:tr w14:paraId="20905D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2F3DDCA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PEG10</w:t>
                  </w:r>
                </w:p>
              </w:tc>
            </w:tr>
            <w:tr w14:paraId="4A5A504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5D6016DF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CNIH2</w:t>
                  </w:r>
                </w:p>
              </w:tc>
            </w:tr>
            <w:tr w14:paraId="17F0067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05C5FFB9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EFHB</w:t>
                  </w:r>
                </w:p>
              </w:tc>
            </w:tr>
            <w:tr w14:paraId="7FA12F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6E34EE27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NEXN</w:t>
                  </w:r>
                </w:p>
              </w:tc>
            </w:tr>
            <w:tr w14:paraId="47BECB0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65B0B93A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MTUS1</w:t>
                  </w:r>
                </w:p>
              </w:tc>
            </w:tr>
            <w:tr w14:paraId="7AD477A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7D7E8C2C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STEAP2</w:t>
                  </w:r>
                </w:p>
              </w:tc>
            </w:tr>
            <w:tr w14:paraId="10E51D7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3FE613C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USP51</w:t>
                  </w:r>
                </w:p>
              </w:tc>
            </w:tr>
            <w:tr w14:paraId="22FFE6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0A8B3A0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MYLK</w:t>
                  </w:r>
                </w:p>
              </w:tc>
            </w:tr>
            <w:tr w14:paraId="52AB025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E4BF2B6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MCM4</w:t>
                  </w:r>
                </w:p>
              </w:tc>
            </w:tr>
            <w:tr w14:paraId="4B360E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05849ADF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CAND2</w:t>
                  </w:r>
                </w:p>
              </w:tc>
            </w:tr>
            <w:tr w14:paraId="7C0333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73D2E0B3">
                  <w:pPr>
                    <w:jc w:val="center"/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sz w:val="24"/>
                      <w:szCs w:val="24"/>
                    </w:rPr>
                    <w:t>TMEM255A</w:t>
                  </w:r>
                </w:p>
              </w:tc>
            </w:tr>
            <w:tr w14:paraId="14A561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21CB7071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COLCA2</w:t>
                  </w:r>
                </w:p>
              </w:tc>
            </w:tr>
            <w:tr w14:paraId="19BEEA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2794FD1C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PLCE1</w:t>
                  </w:r>
                </w:p>
              </w:tc>
            </w:tr>
            <w:tr w14:paraId="5C4792F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123" w:type="dxa"/>
                  <w:shd w:val="clear" w:color="auto" w:fill="FFFFFF"/>
                  <w:noWrap/>
                  <w:vAlign w:val="bottom"/>
                </w:tcPr>
                <w:p w14:paraId="4C2C5862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MCM5</w:t>
                  </w:r>
                </w:p>
              </w:tc>
            </w:tr>
          </w:tbl>
          <w:p w14:paraId="40DE3F76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tbl>
            <w:tblPr>
              <w:tblStyle w:val="2"/>
              <w:tblW w:w="10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90"/>
            </w:tblGrid>
            <w:tr w14:paraId="00975A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29356603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SH2D7</w:t>
                  </w:r>
                </w:p>
              </w:tc>
            </w:tr>
            <w:tr w14:paraId="27E4EEB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496E4F4C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GDF15</w:t>
                  </w:r>
                </w:p>
              </w:tc>
            </w:tr>
            <w:tr w14:paraId="6C4B86E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14A72BE4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BTG2</w:t>
                  </w:r>
                </w:p>
              </w:tc>
            </w:tr>
            <w:tr w14:paraId="3F03774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2882DA75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CXCR4</w:t>
                  </w:r>
                </w:p>
              </w:tc>
            </w:tr>
            <w:tr w14:paraId="3718806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030377D3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UNC79</w:t>
                  </w:r>
                </w:p>
              </w:tc>
            </w:tr>
            <w:tr w14:paraId="6E297E5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420252A6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LHX3</w:t>
                  </w:r>
                </w:p>
              </w:tc>
            </w:tr>
            <w:tr w14:paraId="2069C56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48E1FB12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CNTF</w:t>
                  </w:r>
                </w:p>
              </w:tc>
            </w:tr>
            <w:tr w14:paraId="4369B66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14C77895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CDKN1A</w:t>
                  </w:r>
                </w:p>
              </w:tc>
            </w:tr>
            <w:tr w14:paraId="4DDB0B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4986A7AA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DRD4</w:t>
                  </w:r>
                </w:p>
              </w:tc>
            </w:tr>
            <w:tr w14:paraId="50A6B96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674EAF44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IL11</w:t>
                  </w:r>
                </w:p>
              </w:tc>
            </w:tr>
            <w:tr w14:paraId="2AFCBD5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2723FF10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CSF2</w:t>
                  </w:r>
                </w:p>
              </w:tc>
            </w:tr>
            <w:tr w14:paraId="2256CF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3CF872BF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S100A9</w:t>
                  </w:r>
                </w:p>
              </w:tc>
            </w:tr>
            <w:tr w14:paraId="6377944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77611BE2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SHC2</w:t>
                  </w:r>
                </w:p>
              </w:tc>
            </w:tr>
            <w:tr w14:paraId="3D14ED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7D804646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ESPNL</w:t>
                  </w:r>
                </w:p>
              </w:tc>
            </w:tr>
            <w:tr w14:paraId="79F6805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66E8544A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MFNG</w:t>
                  </w:r>
                </w:p>
              </w:tc>
            </w:tr>
            <w:tr w14:paraId="042BE44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00A63AD6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TCP11</w:t>
                  </w:r>
                </w:p>
              </w:tc>
            </w:tr>
            <w:tr w14:paraId="18C8E45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22E07A84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ASIC4</w:t>
                  </w:r>
                </w:p>
              </w:tc>
            </w:tr>
            <w:tr w14:paraId="085C7B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6DEBC11E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C19orf38</w:t>
                  </w:r>
                </w:p>
              </w:tc>
            </w:tr>
            <w:tr w14:paraId="5B983E0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5EF0EBF0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SLAMF9</w:t>
                  </w:r>
                </w:p>
              </w:tc>
            </w:tr>
            <w:tr w14:paraId="216FC6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</w:trPr>
              <w:tc>
                <w:tcPr>
                  <w:tcW w:w="1040" w:type="dxa"/>
                  <w:noWrap/>
                  <w:vAlign w:val="bottom"/>
                </w:tcPr>
                <w:p w14:paraId="7A90D607">
                  <w:pPr>
                    <w:jc w:val="center"/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等线" w:cs="Times New Roman"/>
                      <w:color w:val="000000"/>
                      <w:sz w:val="24"/>
                      <w:szCs w:val="24"/>
                    </w:rPr>
                    <w:t>FBXW10</w:t>
                  </w:r>
                </w:p>
              </w:tc>
            </w:tr>
          </w:tbl>
          <w:p w14:paraId="582F39A7"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3AFA6EFD">
      <w:pPr>
        <w:jc w:val="center"/>
        <w:rPr>
          <w:kern w:val="2"/>
          <w:sz w:val="21"/>
          <w:lang w:val="en-US" w:eastAsia="zh-CN"/>
        </w:rPr>
      </w:pPr>
    </w:p>
    <w:p w14:paraId="3480C5D0">
      <w:pPr>
        <w:jc w:val="center"/>
        <w:rPr>
          <w:rFonts w:hint="eastAsia"/>
        </w:rPr>
      </w:pPr>
    </w:p>
    <w:p w14:paraId="3FB43ADF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dvOT260e5629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P4C4E74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61751f86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66"/>
    <w:rsid w:val="00515966"/>
    <w:rsid w:val="0065076C"/>
    <w:rsid w:val="0072775E"/>
    <w:rsid w:val="00A82548"/>
    <w:rsid w:val="1E486F9D"/>
    <w:rsid w:val="1FF66FA1"/>
    <w:rsid w:val="29F4757F"/>
    <w:rsid w:val="449D5382"/>
    <w:rsid w:val="44D103F9"/>
    <w:rsid w:val="50C874BF"/>
    <w:rsid w:val="54A14421"/>
    <w:rsid w:val="749312CB"/>
    <w:rsid w:val="767A3346"/>
    <w:rsid w:val="7D8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eastAsia="en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annotation reference"/>
    <w:semiHidden/>
    <w:unhideWhenUsed/>
    <w:qFormat/>
    <w:uiPriority w:val="99"/>
    <w:rPr>
      <w:sz w:val="16"/>
      <w:szCs w:val="16"/>
    </w:rPr>
  </w:style>
  <w:style w:type="character" w:customStyle="1" w:styleId="6">
    <w:name w:val="fontstyle01"/>
    <w:basedOn w:val="4"/>
    <w:qFormat/>
    <w:uiPriority w:val="0"/>
    <w:rPr>
      <w:rFonts w:hint="default" w:ascii="AdvOT260e5629" w:hAnsi="AdvOT260e5629"/>
      <w:color w:val="000000"/>
      <w:sz w:val="18"/>
      <w:szCs w:val="18"/>
    </w:rPr>
  </w:style>
  <w:style w:type="character" w:customStyle="1" w:styleId="7">
    <w:name w:val="fontstyle31"/>
    <w:qFormat/>
    <w:uiPriority w:val="0"/>
    <w:rPr>
      <w:rFonts w:hint="default" w:ascii="AdvP4C4E74" w:hAnsi="AdvP4C4E74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tiff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tiff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527</Words>
  <Characters>2879</Characters>
  <Lines>43</Lines>
  <Paragraphs>12</Paragraphs>
  <TotalTime>2</TotalTime>
  <ScaleCrop>false</ScaleCrop>
  <LinksUpToDate>false</LinksUpToDate>
  <CharactersWithSpaces>3390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2025-02-20T02:39:00Z</dcterms:created>
  <dc:creator>Ruthramourthy Parandamane (Integra)</dc:creator>
  <cp:lastModifiedBy>lucky</cp:lastModifiedBy>
  <dcterms:modified xsi:type="dcterms:W3CDTF">2025-03-07T02:25:17Z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eyJoZGlkIjoiY2JlMGFlNTYzNzUzMmI5MGFmMTg0YWNlNDU3MTZkMTciLCJ1c2VySWQiOiIyODM0MjIxMzcifQ==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66861F7DF44C4014A5ABB7816CD5FE48_13</vt:lpwstr>
  </property>
</Properties>
</file>