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86A43" w14:textId="03DAF68E" w:rsidR="00147CAA" w:rsidRDefault="00D87D9C" w:rsidP="00942FA1">
      <w:pPr>
        <w:pStyle w:val="NormalWeb"/>
        <w:spacing w:before="0" w:beforeAutospacing="0" w:after="0" w:afterAutospacing="0"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Supplement</w:t>
      </w:r>
      <w:r w:rsidR="00F87729">
        <w:rPr>
          <w:b/>
          <w:sz w:val="20"/>
          <w:szCs w:val="20"/>
        </w:rPr>
        <w:t>al</w:t>
      </w:r>
      <w:r>
        <w:rPr>
          <w:b/>
          <w:sz w:val="20"/>
          <w:szCs w:val="20"/>
        </w:rPr>
        <w:t xml:space="preserve"> T</w:t>
      </w:r>
      <w:r w:rsidR="00147CAA" w:rsidRPr="00DD6896">
        <w:rPr>
          <w:b/>
          <w:sz w:val="20"/>
          <w:szCs w:val="20"/>
        </w:rPr>
        <w:t xml:space="preserve">able 1. </w:t>
      </w:r>
      <w:r w:rsidR="00226FA9" w:rsidRPr="00DD6896">
        <w:rPr>
          <w:bCs/>
          <w:sz w:val="20"/>
          <w:szCs w:val="20"/>
        </w:rPr>
        <w:t>Information about the r</w:t>
      </w:r>
      <w:r w:rsidR="00147CAA" w:rsidRPr="00DD6896">
        <w:rPr>
          <w:bCs/>
          <w:sz w:val="20"/>
          <w:szCs w:val="20"/>
        </w:rPr>
        <w:t>eagents</w:t>
      </w:r>
      <w:r w:rsidR="00226FA9" w:rsidRPr="00DD6896">
        <w:rPr>
          <w:sz w:val="20"/>
          <w:szCs w:val="20"/>
        </w:rPr>
        <w:t xml:space="preserve">, </w:t>
      </w:r>
      <w:r w:rsidR="00147CAA" w:rsidRPr="00DD6896">
        <w:rPr>
          <w:sz w:val="20"/>
          <w:szCs w:val="20"/>
        </w:rPr>
        <w:t>respective vendors</w:t>
      </w:r>
      <w:r w:rsidR="00226FA9" w:rsidRPr="00DD6896">
        <w:rPr>
          <w:sz w:val="20"/>
          <w:szCs w:val="20"/>
        </w:rPr>
        <w:t>,</w:t>
      </w:r>
      <w:r w:rsidR="00147CAA" w:rsidRPr="00DD6896">
        <w:rPr>
          <w:sz w:val="20"/>
          <w:szCs w:val="20"/>
        </w:rPr>
        <w:t xml:space="preserve"> </w:t>
      </w:r>
      <w:r w:rsidR="00226FA9" w:rsidRPr="00DD6896">
        <w:rPr>
          <w:sz w:val="20"/>
          <w:szCs w:val="20"/>
        </w:rPr>
        <w:t xml:space="preserve">and concentrations </w:t>
      </w:r>
      <w:r w:rsidR="00147CAA" w:rsidRPr="00DD6896">
        <w:rPr>
          <w:sz w:val="20"/>
          <w:szCs w:val="20"/>
        </w:rPr>
        <w:t>used in this study</w:t>
      </w:r>
      <w:r w:rsidR="00DA4AA4" w:rsidRPr="00DD6896">
        <w:rPr>
          <w:sz w:val="20"/>
          <w:szCs w:val="20"/>
        </w:rPr>
        <w:t>.</w:t>
      </w:r>
    </w:p>
    <w:p w14:paraId="57D279A1" w14:textId="77777777" w:rsidR="00942FA1" w:rsidRPr="00DD6896" w:rsidRDefault="00942FA1" w:rsidP="00942FA1">
      <w:pPr>
        <w:pStyle w:val="NormalWeb"/>
        <w:spacing w:before="0" w:beforeAutospacing="0" w:after="0" w:afterAutospacing="0" w:line="360" w:lineRule="auto"/>
        <w:jc w:val="both"/>
        <w:rPr>
          <w:b/>
          <w:bCs/>
          <w:sz w:val="20"/>
          <w:szCs w:val="20"/>
        </w:rPr>
      </w:pPr>
    </w:p>
    <w:tbl>
      <w:tblPr>
        <w:tblStyle w:val="TabelacomGrelha"/>
        <w:tblW w:w="85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560"/>
        <w:gridCol w:w="2551"/>
      </w:tblGrid>
      <w:tr w:rsidR="00B35B31" w:rsidRPr="00DD6896" w14:paraId="2DACA291" w14:textId="77777777" w:rsidTr="00B35B31">
        <w:trPr>
          <w:trHeight w:val="832"/>
          <w:jc w:val="center"/>
        </w:trPr>
        <w:tc>
          <w:tcPr>
            <w:tcW w:w="4395" w:type="dxa"/>
            <w:vAlign w:val="center"/>
          </w:tcPr>
          <w:p w14:paraId="245DEFA4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Reagent</w:t>
            </w:r>
          </w:p>
          <w:p w14:paraId="323920DB" w14:textId="2EF78B3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(abbreviation)</w:t>
            </w:r>
          </w:p>
        </w:tc>
        <w:tc>
          <w:tcPr>
            <w:tcW w:w="1560" w:type="dxa"/>
            <w:vAlign w:val="center"/>
          </w:tcPr>
          <w:p w14:paraId="3E4191B5" w14:textId="12664100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</w:t>
            </w:r>
          </w:p>
        </w:tc>
        <w:tc>
          <w:tcPr>
            <w:tcW w:w="2551" w:type="dxa"/>
            <w:vAlign w:val="center"/>
          </w:tcPr>
          <w:p w14:paraId="747FB32E" w14:textId="5C764D88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</w:tr>
      <w:tr w:rsidR="00B35B31" w:rsidRPr="00DD6896" w14:paraId="7250A6A9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A77FADA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Accutase</w:t>
            </w:r>
          </w:p>
          <w:p w14:paraId="02AE1D11" w14:textId="76CD163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7DE50C4B" w14:textId="1D64E3E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1x</w:t>
            </w:r>
          </w:p>
        </w:tc>
        <w:tc>
          <w:tcPr>
            <w:tcW w:w="2551" w:type="dxa"/>
            <w:vAlign w:val="center"/>
          </w:tcPr>
          <w:p w14:paraId="5715970D" w14:textId="692CE24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BioLegend, San Diego, USA</w:t>
            </w:r>
          </w:p>
        </w:tc>
      </w:tr>
      <w:tr w:rsidR="00B35B31" w:rsidRPr="00F87729" w14:paraId="43A012CC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23C7260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Antibiotic-antimycotic solution</w:t>
            </w:r>
          </w:p>
          <w:p w14:paraId="50A52A45" w14:textId="6793C144" w:rsidR="00B35B31" w:rsidRPr="00DD6896" w:rsidRDefault="00B35B31" w:rsidP="00EF568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7BE79A64" w14:textId="37B9530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1% (v/v)</w:t>
            </w:r>
          </w:p>
        </w:tc>
        <w:tc>
          <w:tcPr>
            <w:tcW w:w="2551" w:type="dxa"/>
            <w:vAlign w:val="center"/>
          </w:tcPr>
          <w:p w14:paraId="7F1AD666" w14:textId="5BB41CE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2400CA9D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20DDCD6B" w14:textId="2CF9CD6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Bovine Serum Albumin</w:t>
            </w:r>
          </w:p>
          <w:p w14:paraId="7DF7C51A" w14:textId="18EACE2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(BSA)</w:t>
            </w:r>
          </w:p>
        </w:tc>
        <w:tc>
          <w:tcPr>
            <w:tcW w:w="1560" w:type="dxa"/>
            <w:vAlign w:val="center"/>
          </w:tcPr>
          <w:p w14:paraId="551E02AF" w14:textId="2B312C5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 or 3% (w/v)</w:t>
            </w:r>
          </w:p>
          <w:p w14:paraId="4121F166" w14:textId="296D304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E36B669" w14:textId="16E1E60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69C7B0A1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8299EDA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CellTracker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TM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Green CMFDA Dye</w:t>
            </w:r>
          </w:p>
          <w:p w14:paraId="1D62E95C" w14:textId="7CE739A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51A50912" w14:textId="0A39927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2.5 µM</w:t>
            </w:r>
          </w:p>
        </w:tc>
        <w:tc>
          <w:tcPr>
            <w:tcW w:w="2551" w:type="dxa"/>
            <w:vAlign w:val="center"/>
          </w:tcPr>
          <w:p w14:paraId="4359DEDE" w14:textId="737BE73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F87729" w14:paraId="4F5F9325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14E5857B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CellTracker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TM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Red CMTPX Dye</w:t>
            </w:r>
          </w:p>
          <w:p w14:paraId="6A2A1453" w14:textId="22707AD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108C86D5" w14:textId="3A6FC3F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2.5 µM</w:t>
            </w:r>
          </w:p>
        </w:tc>
        <w:tc>
          <w:tcPr>
            <w:tcW w:w="2551" w:type="dxa"/>
            <w:vAlign w:val="center"/>
          </w:tcPr>
          <w:p w14:paraId="7A1D4150" w14:textId="7D5B161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F87729" w14:paraId="57E5E859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AE72648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Dibutylphthalate Polystyrene Xylene</w:t>
            </w:r>
          </w:p>
          <w:p w14:paraId="05CA4042" w14:textId="2763DD2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(DPX)</w:t>
            </w:r>
          </w:p>
        </w:tc>
        <w:tc>
          <w:tcPr>
            <w:tcW w:w="1560" w:type="dxa"/>
            <w:vAlign w:val="center"/>
          </w:tcPr>
          <w:p w14:paraId="6950943E" w14:textId="0BD38FD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5353FB8B" w14:textId="1B790323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Merck Millipore, Burlington, MA, USA</w:t>
            </w:r>
          </w:p>
        </w:tc>
      </w:tr>
      <w:tr w:rsidR="00B35B31" w:rsidRPr="00F87729" w14:paraId="2AD3DD86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60A0ABEF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Dulbecco's modified Eagle's medium</w:t>
            </w:r>
          </w:p>
          <w:p w14:paraId="30368A2C" w14:textId="6A6DE17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(DMEM)</w:t>
            </w:r>
          </w:p>
        </w:tc>
        <w:tc>
          <w:tcPr>
            <w:tcW w:w="1560" w:type="dxa"/>
            <w:vAlign w:val="center"/>
          </w:tcPr>
          <w:p w14:paraId="64A92602" w14:textId="4E91251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vAlign w:val="center"/>
          </w:tcPr>
          <w:p w14:paraId="48241203" w14:textId="0EA089E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F87729" w14:paraId="224E6073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150C7B9E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Ethylenediaminetetraacetic</w:t>
            </w:r>
          </w:p>
          <w:p w14:paraId="3F94A7B3" w14:textId="5D1E9480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(EDTA)</w:t>
            </w:r>
          </w:p>
        </w:tc>
        <w:tc>
          <w:tcPr>
            <w:tcW w:w="1560" w:type="dxa"/>
            <w:vAlign w:val="center"/>
          </w:tcPr>
          <w:p w14:paraId="1D55F186" w14:textId="268A403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2 mM</w:t>
            </w:r>
          </w:p>
        </w:tc>
        <w:tc>
          <w:tcPr>
            <w:tcW w:w="2551" w:type="dxa"/>
            <w:vAlign w:val="center"/>
          </w:tcPr>
          <w:p w14:paraId="051F7168" w14:textId="5D37F15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65AB9387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5735291B" w14:textId="46DE98B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Fetal Bovine Serum</w:t>
            </w:r>
          </w:p>
          <w:p w14:paraId="017C5DAA" w14:textId="7B1204E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(FBS)</w:t>
            </w:r>
          </w:p>
        </w:tc>
        <w:tc>
          <w:tcPr>
            <w:tcW w:w="1560" w:type="dxa"/>
            <w:vAlign w:val="center"/>
          </w:tcPr>
          <w:p w14:paraId="7E160E51" w14:textId="22701CA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10% (v/v)</w:t>
            </w:r>
          </w:p>
        </w:tc>
        <w:tc>
          <w:tcPr>
            <w:tcW w:w="2551" w:type="dxa"/>
            <w:vAlign w:val="center"/>
          </w:tcPr>
          <w:p w14:paraId="2F302942" w14:textId="4AD630C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Gibco, Life Technologies, New York, NT, USA</w:t>
            </w:r>
          </w:p>
        </w:tc>
      </w:tr>
      <w:tr w:rsidR="00B35B31" w:rsidRPr="00DD6896" w14:paraId="75416657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77038B08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Formaldeyde</w:t>
            </w:r>
          </w:p>
          <w:p w14:paraId="53F112B2" w14:textId="16FC09F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(FA)</w:t>
            </w:r>
          </w:p>
        </w:tc>
        <w:tc>
          <w:tcPr>
            <w:tcW w:w="1560" w:type="dxa"/>
            <w:vAlign w:val="center"/>
          </w:tcPr>
          <w:p w14:paraId="27D6EC31" w14:textId="0D7045A0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1% (v/v)</w:t>
            </w:r>
          </w:p>
        </w:tc>
        <w:tc>
          <w:tcPr>
            <w:tcW w:w="2551" w:type="dxa"/>
            <w:vAlign w:val="center"/>
          </w:tcPr>
          <w:p w14:paraId="7B2FD669" w14:textId="03A65038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Chemlab, Belgium</w:t>
            </w:r>
          </w:p>
        </w:tc>
      </w:tr>
      <w:tr w:rsidR="00B35B31" w:rsidRPr="00DD6896" w14:paraId="50E070BF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2A850FF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Glyceraldehyde 3-phosphate dehydrogenase </w:t>
            </w:r>
          </w:p>
          <w:p w14:paraId="26531AEF" w14:textId="52612AF3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(GAPDH)</w:t>
            </w:r>
          </w:p>
        </w:tc>
        <w:tc>
          <w:tcPr>
            <w:tcW w:w="1560" w:type="dxa"/>
            <w:vAlign w:val="center"/>
          </w:tcPr>
          <w:p w14:paraId="0A2B9255" w14:textId="7C88864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44998718" w14:textId="0060A26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StabVida, Caparica, Portugal</w:t>
            </w:r>
          </w:p>
        </w:tc>
      </w:tr>
      <w:tr w:rsidR="00B35B31" w:rsidRPr="00F87729" w14:paraId="7C899380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94BC9CE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Hank's Balanced Salt Solution</w:t>
            </w:r>
          </w:p>
          <w:p w14:paraId="2AB77363" w14:textId="3805F120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(HBSS)</w:t>
            </w:r>
          </w:p>
        </w:tc>
        <w:tc>
          <w:tcPr>
            <w:tcW w:w="1560" w:type="dxa"/>
            <w:vAlign w:val="center"/>
          </w:tcPr>
          <w:p w14:paraId="5777EAC2" w14:textId="36CC4CD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2E75E972" w14:textId="2CC12E0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Gibco, Life Technologies, New York, NT, USA</w:t>
            </w:r>
          </w:p>
        </w:tc>
      </w:tr>
      <w:tr w:rsidR="00B35B31" w:rsidRPr="00F87729" w14:paraId="1B93E3A6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AC8717E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HEPES</w:t>
            </w:r>
          </w:p>
          <w:p w14:paraId="3B193DB5" w14:textId="7398D18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708AB4A4" w14:textId="7074E2D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30 mM</w:t>
            </w:r>
          </w:p>
        </w:tc>
        <w:tc>
          <w:tcPr>
            <w:tcW w:w="2551" w:type="dxa"/>
            <w:vAlign w:val="center"/>
          </w:tcPr>
          <w:p w14:paraId="1440F8C2" w14:textId="47940C4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2FA8C52B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102BE2B8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Hoechst 33342 dye</w:t>
            </w:r>
          </w:p>
          <w:p w14:paraId="4AD57F35" w14:textId="4D2D9ED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286EC88A" w14:textId="335FFA2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µM</w:t>
            </w:r>
          </w:p>
        </w:tc>
        <w:tc>
          <w:tcPr>
            <w:tcW w:w="2551" w:type="dxa"/>
            <w:vAlign w:val="center"/>
          </w:tcPr>
          <w:p w14:paraId="3D1026AE" w14:textId="1C28701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F87729" w14:paraId="39C103EC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2EF0FFD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mallCaps/>
                <w:sz w:val="20"/>
                <w:szCs w:val="20"/>
              </w:rPr>
              <w:t>l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-glutamine</w:t>
            </w:r>
          </w:p>
          <w:p w14:paraId="63A54DE4" w14:textId="75117A4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310208F2" w14:textId="7588B9C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2 mM</w:t>
            </w:r>
          </w:p>
        </w:tc>
        <w:tc>
          <w:tcPr>
            <w:tcW w:w="2551" w:type="dxa"/>
            <w:vAlign w:val="center"/>
          </w:tcPr>
          <w:p w14:paraId="361E0C0C" w14:textId="24B6BD1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5F186E6C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DAEDED5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Lipofectamine™ 3000</w:t>
            </w:r>
          </w:p>
          <w:p w14:paraId="7A6AFDB5" w14:textId="5E820AA8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4C47E3D1" w14:textId="5428B22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7CFBB33F" w14:textId="4718536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F87729" w14:paraId="5232F74B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C521729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Methanol</w:t>
            </w:r>
          </w:p>
          <w:p w14:paraId="2AE8E86A" w14:textId="1C45CC4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7398C783" w14:textId="3FA4A45D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1" w:type="dxa"/>
            <w:vAlign w:val="center"/>
          </w:tcPr>
          <w:p w14:paraId="472ADB7C" w14:textId="2A6F9C4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F87729" w14:paraId="6FD4BBEF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7BF69B5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Minimal essential medium vitamins</w:t>
            </w:r>
          </w:p>
          <w:p w14:paraId="14E06A6B" w14:textId="17F9FBE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(MEM)</w:t>
            </w:r>
          </w:p>
        </w:tc>
        <w:tc>
          <w:tcPr>
            <w:tcW w:w="1560" w:type="dxa"/>
            <w:vAlign w:val="center"/>
          </w:tcPr>
          <w:p w14:paraId="602436CC" w14:textId="0175337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1% (v/v)</w:t>
            </w:r>
          </w:p>
        </w:tc>
        <w:tc>
          <w:tcPr>
            <w:tcW w:w="2551" w:type="dxa"/>
            <w:vAlign w:val="center"/>
          </w:tcPr>
          <w:p w14:paraId="68571530" w14:textId="0843AE7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25DC62D8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0672E5B2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Non-essential amino acids</w:t>
            </w:r>
          </w:p>
          <w:p w14:paraId="52E5587C" w14:textId="004FAAE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(NEAA)</w:t>
            </w:r>
          </w:p>
        </w:tc>
        <w:tc>
          <w:tcPr>
            <w:tcW w:w="1560" w:type="dxa"/>
            <w:vAlign w:val="center"/>
          </w:tcPr>
          <w:p w14:paraId="322E2AA9" w14:textId="376669C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1% (v/v)</w:t>
            </w:r>
          </w:p>
        </w:tc>
        <w:tc>
          <w:tcPr>
            <w:tcW w:w="2551" w:type="dxa"/>
            <w:vAlign w:val="center"/>
          </w:tcPr>
          <w:p w14:paraId="30276891" w14:textId="41A8CFC8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75C18591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03EE86FC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NuSerum IV</w:t>
            </w:r>
          </w:p>
          <w:p w14:paraId="0C2EB4BE" w14:textId="284036B2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6FA1EAD7" w14:textId="47AB5F3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10% (v/v)</w:t>
            </w:r>
          </w:p>
        </w:tc>
        <w:tc>
          <w:tcPr>
            <w:tcW w:w="2551" w:type="dxa"/>
            <w:vAlign w:val="center"/>
          </w:tcPr>
          <w:p w14:paraId="31BB33DD" w14:textId="606CC0D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Corning Costar Corp, New York, NY, USA</w:t>
            </w:r>
          </w:p>
        </w:tc>
      </w:tr>
      <w:tr w:rsidR="00B35B31" w:rsidRPr="00957D08" w14:paraId="4FA6B4D6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77AB55F1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Opti-MEM™ Reduced Serum Medium</w:t>
            </w:r>
          </w:p>
          <w:p w14:paraId="663BE511" w14:textId="3C9F9D1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14C3D962" w14:textId="5349184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3877312F" w14:textId="3AA4798D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Gibco, Life Technologies, New York, NT, USA</w:t>
            </w:r>
          </w:p>
        </w:tc>
      </w:tr>
      <w:tr w:rsidR="00B35B31" w:rsidRPr="00957D08" w14:paraId="002BC360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7DBA2199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Paraformaldeyde</w:t>
            </w:r>
          </w:p>
          <w:p w14:paraId="276D988A" w14:textId="2DAD0B6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(PFA)</w:t>
            </w:r>
          </w:p>
        </w:tc>
        <w:tc>
          <w:tcPr>
            <w:tcW w:w="1560" w:type="dxa"/>
            <w:vAlign w:val="center"/>
          </w:tcPr>
          <w:p w14:paraId="323F1837" w14:textId="7EBCC563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4% (w/v)</w:t>
            </w:r>
          </w:p>
        </w:tc>
        <w:tc>
          <w:tcPr>
            <w:tcW w:w="2551" w:type="dxa"/>
            <w:vAlign w:val="center"/>
          </w:tcPr>
          <w:p w14:paraId="3990B991" w14:textId="2AED61C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DD6896" w14:paraId="21BDD139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10D2D8EE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Phosphate buffer saline</w:t>
            </w:r>
          </w:p>
          <w:p w14:paraId="67126848" w14:textId="5D65EE13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(PBS)</w:t>
            </w:r>
          </w:p>
        </w:tc>
        <w:tc>
          <w:tcPr>
            <w:tcW w:w="1560" w:type="dxa"/>
            <w:vAlign w:val="center"/>
          </w:tcPr>
          <w:p w14:paraId="5E5353E1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10x (gel)</w:t>
            </w:r>
          </w:p>
          <w:p w14:paraId="1230FC0F" w14:textId="0151A76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1x (wash steps)</w:t>
            </w:r>
          </w:p>
        </w:tc>
        <w:tc>
          <w:tcPr>
            <w:tcW w:w="2551" w:type="dxa"/>
            <w:vAlign w:val="center"/>
          </w:tcPr>
          <w:p w14:paraId="7C429793" w14:textId="019319D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B35B31" w:rsidRPr="00957D08" w14:paraId="17BB55C3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6F2E8E5A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Rat tail type-I collagen</w:t>
            </w:r>
          </w:p>
          <w:p w14:paraId="38C32B9E" w14:textId="147FAE6D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1CFF8AC3" w14:textId="36A80FF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 mg/mL</w:t>
            </w:r>
          </w:p>
        </w:tc>
        <w:tc>
          <w:tcPr>
            <w:tcW w:w="2551" w:type="dxa"/>
            <w:vAlign w:val="center"/>
          </w:tcPr>
          <w:p w14:paraId="127B1AAF" w14:textId="1B2B29F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Corning Costar Corp, New York, NY, USA</w:t>
            </w:r>
          </w:p>
        </w:tc>
      </w:tr>
      <w:tr w:rsidR="00B35B31" w:rsidRPr="00957D08" w14:paraId="51794BAD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75818136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Resazurin</w:t>
            </w:r>
          </w:p>
          <w:p w14:paraId="2628CA10" w14:textId="3DC8554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DD68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7986341E" w14:textId="110C9BE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 mg/mL</w:t>
            </w:r>
          </w:p>
        </w:tc>
        <w:tc>
          <w:tcPr>
            <w:tcW w:w="2551" w:type="dxa"/>
            <w:vAlign w:val="center"/>
          </w:tcPr>
          <w:p w14:paraId="2C8A5205" w14:textId="060EFA4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Tokyo Chemical Industry Co., Ltd, Zwijndrecht, Belgium</w:t>
            </w:r>
          </w:p>
        </w:tc>
      </w:tr>
      <w:tr w:rsidR="00B35B31" w:rsidRPr="00957D08" w14:paraId="59359CFB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097A9C9C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Roswell Park Memorial Institute 1640</w:t>
            </w:r>
          </w:p>
          <w:p w14:paraId="1C8E4ED0" w14:textId="497D766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(RPMI)</w:t>
            </w:r>
          </w:p>
        </w:tc>
        <w:tc>
          <w:tcPr>
            <w:tcW w:w="1560" w:type="dxa"/>
            <w:vAlign w:val="center"/>
          </w:tcPr>
          <w:p w14:paraId="2E68E444" w14:textId="577F9EFD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51" w:type="dxa"/>
            <w:vAlign w:val="center"/>
          </w:tcPr>
          <w:p w14:paraId="0909D4CE" w14:textId="1DD2216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4E3F8A97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6BFCF702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Saponin</w:t>
            </w:r>
          </w:p>
          <w:p w14:paraId="143E6BEA" w14:textId="0FA33373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61701F45" w14:textId="060E65A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2551" w:type="dxa"/>
            <w:vAlign w:val="center"/>
          </w:tcPr>
          <w:p w14:paraId="256C7E8C" w14:textId="4507336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7F2B9C85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7686B37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Small interfering RNA </w:t>
            </w:r>
          </w:p>
          <w:p w14:paraId="621204FA" w14:textId="420B5B3A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(siRNA; siCav-1 or siCTR)) </w:t>
            </w:r>
          </w:p>
        </w:tc>
        <w:tc>
          <w:tcPr>
            <w:tcW w:w="1560" w:type="dxa"/>
            <w:vAlign w:val="center"/>
          </w:tcPr>
          <w:p w14:paraId="3D7D5808" w14:textId="02D4441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20, 40 and 60 nM</w:t>
            </w:r>
          </w:p>
        </w:tc>
        <w:tc>
          <w:tcPr>
            <w:tcW w:w="2551" w:type="dxa"/>
            <w:vAlign w:val="center"/>
          </w:tcPr>
          <w:p w14:paraId="0CA709B2" w14:textId="17999229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MA, USA</w:t>
            </w:r>
          </w:p>
        </w:tc>
      </w:tr>
      <w:tr w:rsidR="00B35B31" w:rsidRPr="00957D08" w14:paraId="2409477E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60E5786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Sodium Fluorescein</w:t>
            </w:r>
          </w:p>
          <w:p w14:paraId="3F45E9BF" w14:textId="00F7589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(NaF)</w:t>
            </w:r>
          </w:p>
        </w:tc>
        <w:tc>
          <w:tcPr>
            <w:tcW w:w="1560" w:type="dxa"/>
            <w:vAlign w:val="center"/>
          </w:tcPr>
          <w:p w14:paraId="442D7B6C" w14:textId="5655D89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10 µg/mL</w:t>
            </w:r>
          </w:p>
        </w:tc>
        <w:tc>
          <w:tcPr>
            <w:tcW w:w="2551" w:type="dxa"/>
            <w:vAlign w:val="center"/>
          </w:tcPr>
          <w:p w14:paraId="1FE4B53A" w14:textId="6F26A1C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00D080FE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3AF511AA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Sodium Hydroxide</w:t>
            </w:r>
          </w:p>
          <w:p w14:paraId="7FC3EEBE" w14:textId="6DCD370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(NaOH)</w:t>
            </w:r>
          </w:p>
        </w:tc>
        <w:tc>
          <w:tcPr>
            <w:tcW w:w="1560" w:type="dxa"/>
            <w:vAlign w:val="center"/>
          </w:tcPr>
          <w:p w14:paraId="2AF5F267" w14:textId="64C91DB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 M</w:t>
            </w:r>
          </w:p>
        </w:tc>
        <w:tc>
          <w:tcPr>
            <w:tcW w:w="2551" w:type="dxa"/>
            <w:vAlign w:val="center"/>
          </w:tcPr>
          <w:p w14:paraId="38611E34" w14:textId="383B8BDD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957D08" w14:paraId="2E055D7C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6BE5A5CE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Sodium Pyruvate</w:t>
            </w:r>
          </w:p>
          <w:p w14:paraId="54BD2080" w14:textId="4176810E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41D6CE96" w14:textId="00168AF2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1% (v/v)</w:t>
            </w:r>
          </w:p>
        </w:tc>
        <w:tc>
          <w:tcPr>
            <w:tcW w:w="2551" w:type="dxa"/>
            <w:vAlign w:val="center"/>
          </w:tcPr>
          <w:p w14:paraId="68C022D6" w14:textId="69DE74C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Sigma-Aldrich, St. Louis, MO, USA</w:t>
            </w:r>
          </w:p>
        </w:tc>
      </w:tr>
      <w:tr w:rsidR="00B35B31" w:rsidRPr="00DD6896" w14:paraId="270DF0D4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4C3F6CD6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TripleXtractor</w:t>
            </w:r>
          </w:p>
          <w:p w14:paraId="23F2BB5F" w14:textId="0206CC21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68E24182" w14:textId="74C4C6D8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4AF7FF67" w14:textId="70084B6F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Grisp, Porto, Portugal</w:t>
            </w:r>
          </w:p>
        </w:tc>
      </w:tr>
      <w:tr w:rsidR="00B35B31" w:rsidRPr="00DD6896" w14:paraId="139DFC33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5F7EDDD3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Triton X-100</w:t>
            </w:r>
          </w:p>
          <w:p w14:paraId="64728A60" w14:textId="57DBC0D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(n/a)</w:t>
            </w:r>
          </w:p>
        </w:tc>
        <w:tc>
          <w:tcPr>
            <w:tcW w:w="1560" w:type="dxa"/>
            <w:vAlign w:val="center"/>
          </w:tcPr>
          <w:p w14:paraId="647D305D" w14:textId="1EB84DF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0.3% (v/v)</w:t>
            </w:r>
          </w:p>
        </w:tc>
        <w:tc>
          <w:tcPr>
            <w:tcW w:w="2551" w:type="dxa"/>
            <w:vAlign w:val="center"/>
          </w:tcPr>
          <w:p w14:paraId="31B54ED5" w14:textId="23681EA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VWR International, Radnor, PA, USA</w:t>
            </w:r>
          </w:p>
        </w:tc>
      </w:tr>
      <w:tr w:rsidR="00B35B31" w:rsidRPr="00DD6896" w14:paraId="31BD18BB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15EC5D85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Xpert cDNA Synthesis SuperMix</w:t>
            </w:r>
          </w:p>
          <w:p w14:paraId="7E26728E" w14:textId="4E4B4445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06326A36" w14:textId="16A79C5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572140BB" w14:textId="28618C14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Grisp, Porto, Portugal</w:t>
            </w:r>
          </w:p>
        </w:tc>
      </w:tr>
      <w:tr w:rsidR="00B35B31" w:rsidRPr="00DD6896" w14:paraId="5906C659" w14:textId="77777777" w:rsidTr="00B35B31">
        <w:trPr>
          <w:trHeight w:val="639"/>
          <w:jc w:val="center"/>
        </w:trPr>
        <w:tc>
          <w:tcPr>
            <w:tcW w:w="4395" w:type="dxa"/>
            <w:vAlign w:val="center"/>
          </w:tcPr>
          <w:p w14:paraId="2B197DAB" w14:textId="77777777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Xpert Fast SYBR Green kit</w:t>
            </w:r>
          </w:p>
          <w:p w14:paraId="4A272F9E" w14:textId="4F31A506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(n/a)</w:t>
            </w:r>
          </w:p>
        </w:tc>
        <w:tc>
          <w:tcPr>
            <w:tcW w:w="1560" w:type="dxa"/>
            <w:vAlign w:val="center"/>
          </w:tcPr>
          <w:p w14:paraId="190FFC87" w14:textId="2B893F9B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2551" w:type="dxa"/>
            <w:vAlign w:val="center"/>
          </w:tcPr>
          <w:p w14:paraId="15578144" w14:textId="32B7078C" w:rsidR="00B35B31" w:rsidRPr="00DD6896" w:rsidRDefault="00B35B31" w:rsidP="002B5C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Grisp, Porto, Portugal</w:t>
            </w:r>
          </w:p>
        </w:tc>
      </w:tr>
    </w:tbl>
    <w:p w14:paraId="62D9CE55" w14:textId="7BA9CF2B" w:rsidR="00147CAA" w:rsidRPr="00DD6896" w:rsidRDefault="00E72C7D" w:rsidP="00CA606B">
      <w:pPr>
        <w:pStyle w:val="NormalWeb"/>
        <w:spacing w:before="0" w:beforeAutospacing="0" w:after="240" w:afterAutospacing="0" w:line="480" w:lineRule="auto"/>
        <w:jc w:val="both"/>
        <w:rPr>
          <w:sz w:val="20"/>
          <w:szCs w:val="20"/>
        </w:rPr>
      </w:pPr>
      <w:r w:rsidRPr="00DD6896">
        <w:rPr>
          <w:sz w:val="20"/>
          <w:szCs w:val="20"/>
        </w:rPr>
        <w:t>n/a, non-applicable</w:t>
      </w:r>
    </w:p>
    <w:p w14:paraId="28D4D596" w14:textId="77777777" w:rsidR="00DD6896" w:rsidRDefault="00DD6896" w:rsidP="00B35B31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2DA3E61" w14:textId="4E49BF6D" w:rsidR="00420B0C" w:rsidRPr="00DD6896" w:rsidRDefault="00420B0C" w:rsidP="008C536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6896">
        <w:rPr>
          <w:rFonts w:ascii="Times New Roman" w:hAnsi="Times New Roman" w:cs="Times New Roman"/>
          <w:sz w:val="20"/>
          <w:szCs w:val="20"/>
        </w:rPr>
        <w:lastRenderedPageBreak/>
        <w:t>Cav-1: caveolin-1; GAPDH: glyceraldehyde 3-phosphate dehydrogenase</w:t>
      </w:r>
    </w:p>
    <w:sectPr w:rsidR="00420B0C" w:rsidRPr="00DD6896" w:rsidSect="00352C2A">
      <w:footerReference w:type="default" r:id="rId11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A13F" w14:textId="77777777" w:rsidR="00900203" w:rsidRDefault="00900203" w:rsidP="00080159">
      <w:pPr>
        <w:spacing w:after="0" w:line="240" w:lineRule="auto"/>
      </w:pPr>
      <w:r>
        <w:separator/>
      </w:r>
    </w:p>
  </w:endnote>
  <w:endnote w:type="continuationSeparator" w:id="0">
    <w:p w14:paraId="438280C9" w14:textId="77777777" w:rsidR="00900203" w:rsidRDefault="00900203" w:rsidP="00080159">
      <w:pPr>
        <w:spacing w:after="0" w:line="240" w:lineRule="auto"/>
      </w:pPr>
      <w:r>
        <w:continuationSeparator/>
      </w:r>
    </w:p>
  </w:endnote>
  <w:endnote w:type="continuationNotice" w:id="1">
    <w:p w14:paraId="341D66C5" w14:textId="77777777" w:rsidR="00900203" w:rsidRDefault="009002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3C7C" w14:textId="77777777" w:rsidR="00900203" w:rsidRDefault="00900203" w:rsidP="00080159">
      <w:pPr>
        <w:spacing w:after="0" w:line="240" w:lineRule="auto"/>
      </w:pPr>
      <w:r>
        <w:separator/>
      </w:r>
    </w:p>
  </w:footnote>
  <w:footnote w:type="continuationSeparator" w:id="0">
    <w:p w14:paraId="4C73DAEE" w14:textId="77777777" w:rsidR="00900203" w:rsidRDefault="00900203" w:rsidP="00080159">
      <w:pPr>
        <w:spacing w:after="0" w:line="240" w:lineRule="auto"/>
      </w:pPr>
      <w:r>
        <w:continuationSeparator/>
      </w:r>
    </w:p>
  </w:footnote>
  <w:footnote w:type="continuationNotice" w:id="1">
    <w:p w14:paraId="62586F3D" w14:textId="77777777" w:rsidR="00900203" w:rsidRDefault="009002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5FCD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0F81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27C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65D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6D7"/>
    <w:rsid w:val="00642F47"/>
    <w:rsid w:val="00643E65"/>
    <w:rsid w:val="0064428E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0203"/>
    <w:rsid w:val="009020D2"/>
    <w:rsid w:val="009022ED"/>
    <w:rsid w:val="009023FA"/>
    <w:rsid w:val="009025C5"/>
    <w:rsid w:val="00902867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57D08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D82"/>
    <w:rsid w:val="00986463"/>
    <w:rsid w:val="00986884"/>
    <w:rsid w:val="00986B90"/>
    <w:rsid w:val="0098726C"/>
    <w:rsid w:val="00987388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5BA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0BA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87729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customXml/itemProps3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432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Ana Rita Da Costa Garcia</cp:lastModifiedBy>
  <cp:revision>7</cp:revision>
  <cp:lastPrinted>2024-07-09T07:10:00Z</cp:lastPrinted>
  <dcterms:created xsi:type="dcterms:W3CDTF">2025-01-12T12:06:00Z</dcterms:created>
  <dcterms:modified xsi:type="dcterms:W3CDTF">2025-01-15T21:55:00Z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