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5DFDD" w14:textId="2AAB1E24" w:rsidR="006B01E4" w:rsidRPr="006B01E4" w:rsidRDefault="4F65F5E0" w:rsidP="006B01E4">
      <w:pPr>
        <w:spacing w:line="480" w:lineRule="auto"/>
        <w:jc w:val="both"/>
        <w:rPr>
          <w:rFonts w:ascii="Arial" w:hAnsi="Arial" w:cs="Arial"/>
          <w:color w:val="000000" w:themeColor="text1"/>
          <w:sz w:val="40"/>
          <w:szCs w:val="40"/>
          <w:lang w:val="en-US"/>
        </w:rPr>
      </w:pPr>
      <w:r w:rsidRPr="4F65F5E0">
        <w:rPr>
          <w:rFonts w:ascii="Arial" w:hAnsi="Arial" w:cs="Arial"/>
          <w:color w:val="000000" w:themeColor="text1"/>
          <w:sz w:val="40"/>
          <w:szCs w:val="40"/>
          <w:lang w:val="en-US"/>
        </w:rPr>
        <w:t xml:space="preserve">Supplemental Material </w:t>
      </w:r>
      <w:r w:rsidR="008B2A92">
        <w:rPr>
          <w:rFonts w:ascii="Arial" w:hAnsi="Arial" w:cs="Arial"/>
          <w:color w:val="000000" w:themeColor="text1"/>
          <w:sz w:val="40"/>
          <w:szCs w:val="40"/>
          <w:lang w:val="en-US"/>
        </w:rPr>
        <w:t>5</w:t>
      </w:r>
    </w:p>
    <w:p w14:paraId="0D7EC702" w14:textId="76DDEFAE" w:rsidR="006B01E4" w:rsidRPr="006B01E4" w:rsidRDefault="006B01E4" w:rsidP="006B01E4">
      <w:pPr>
        <w:spacing w:line="480" w:lineRule="auto"/>
        <w:jc w:val="both"/>
        <w:rPr>
          <w:rFonts w:ascii="Arial" w:hAnsi="Arial" w:cs="Arial"/>
          <w:b/>
          <w:bCs/>
          <w:color w:val="000000" w:themeColor="text1"/>
          <w:lang w:val="en-US"/>
        </w:rPr>
      </w:pPr>
      <w:r w:rsidRPr="006B01E4">
        <w:rPr>
          <w:rFonts w:ascii="Arial" w:hAnsi="Arial" w:cs="Arial"/>
          <w:b/>
          <w:bCs/>
          <w:color w:val="000000" w:themeColor="text1"/>
          <w:lang w:val="en-US"/>
        </w:rPr>
        <w:t>Detailed description of animal experimental subpart</w:t>
      </w:r>
    </w:p>
    <w:p w14:paraId="1A13C8FF" w14:textId="6162CC5B" w:rsidR="006B01E4" w:rsidRPr="00164344" w:rsidRDefault="006B01E4" w:rsidP="006B01E4">
      <w:pPr>
        <w:spacing w:line="480" w:lineRule="auto"/>
        <w:jc w:val="both"/>
        <w:rPr>
          <w:rFonts w:ascii="Arial" w:eastAsiaTheme="minorEastAsia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We used 2</w:t>
      </w:r>
      <w:r w:rsidRPr="00A30564">
        <w:rPr>
          <w:rFonts w:ascii="Arial" w:hAnsi="Arial" w:cs="Arial"/>
          <w:color w:val="000000" w:themeColor="text1"/>
          <w:lang w:val="en-US"/>
        </w:rPr>
        <w:t xml:space="preserve"> Crl:NIH-Fox1rnu – athymic, female, nude rats homozygous, 4-6 weeks old (5-7 at implantation) (Charles River Laboratories, Germany) </w:t>
      </w:r>
      <w:r>
        <w:rPr>
          <w:rFonts w:ascii="Arial" w:hAnsi="Arial" w:cs="Arial"/>
          <w:color w:val="000000" w:themeColor="text1"/>
          <w:lang w:val="en-US"/>
        </w:rPr>
        <w:t xml:space="preserve">with </w:t>
      </w:r>
      <w:r w:rsidRPr="00A30564">
        <w:rPr>
          <w:rFonts w:ascii="Arial" w:hAnsi="Arial" w:cs="Arial"/>
          <w:color w:val="000000" w:themeColor="text1"/>
          <w:lang w:val="en-US"/>
        </w:rPr>
        <w:t>weight of</w:t>
      </w:r>
      <w:r>
        <w:rPr>
          <w:rFonts w:ascii="Arial" w:hAnsi="Arial" w:cs="Arial"/>
          <w:color w:val="000000" w:themeColor="text1"/>
          <w:lang w:val="en-US"/>
        </w:rPr>
        <w:t xml:space="preserve"> app.</w:t>
      </w:r>
      <w:r w:rsidRPr="00A30564">
        <w:rPr>
          <w:rFonts w:ascii="Arial" w:hAnsi="Arial" w:cs="Arial"/>
          <w:color w:val="000000" w:themeColor="text1"/>
          <w:lang w:val="en-US"/>
        </w:rPr>
        <w:t xml:space="preserve"> 16</w:t>
      </w:r>
      <w:r>
        <w:rPr>
          <w:rFonts w:ascii="Arial" w:hAnsi="Arial" w:cs="Arial"/>
          <w:color w:val="000000" w:themeColor="text1"/>
          <w:lang w:val="en-US"/>
        </w:rPr>
        <w:t>0 g</w:t>
      </w:r>
      <w:r w:rsidRPr="00A30564">
        <w:rPr>
          <w:rFonts w:ascii="Arial" w:hAnsi="Arial" w:cs="Arial"/>
          <w:color w:val="000000" w:themeColor="text1"/>
          <w:lang w:val="en-US"/>
        </w:rPr>
        <w:t xml:space="preserve">. The animals were housed at the animal facility of the University of Southern Denmark in the specific pathogen-free section with humidity of 53%, temperature of 22 </w:t>
      </w:r>
      <m:oMath>
        <m:r>
          <w:rPr>
            <w:rFonts w:ascii="Cambria Math" w:hAnsi="Cambria Math" w:cs="Arial"/>
            <w:color w:val="000000" w:themeColor="text1"/>
            <w:lang w:val="en-US"/>
          </w:rPr>
          <m:t>±</m:t>
        </m:r>
      </m:oMath>
      <w:r w:rsidRPr="00A30564">
        <w:rPr>
          <w:rFonts w:ascii="Arial" w:eastAsiaTheme="minorEastAsia" w:hAnsi="Arial" w:cs="Arial"/>
          <w:color w:val="000000" w:themeColor="text1"/>
          <w:lang w:val="en-US"/>
        </w:rPr>
        <w:t>1C</w:t>
      </w:r>
      <m:oMath>
        <m:r>
          <w:rPr>
            <w:rFonts w:ascii="Cambria Math" w:eastAsiaTheme="minorEastAsia" w:hAnsi="Cambria Math" w:cs="Arial"/>
            <w:color w:val="000000" w:themeColor="text1"/>
            <w:lang w:val="en-US"/>
          </w:rPr>
          <m:t>°</m:t>
        </m:r>
      </m:oMath>
      <w:r>
        <w:rPr>
          <w:rFonts w:ascii="Arial" w:eastAsiaTheme="minorEastAsia" w:hAnsi="Arial" w:cs="Arial"/>
          <w:color w:val="000000" w:themeColor="text1"/>
          <w:lang w:val="en-US"/>
        </w:rPr>
        <w:t xml:space="preserve">,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>and a 12-hour light/darkness cycle</w:t>
      </w:r>
      <w:r w:rsidRPr="00A30564">
        <w:rPr>
          <w:rFonts w:ascii="Arial" w:hAnsi="Arial" w:cs="Arial"/>
          <w:color w:val="000000" w:themeColor="text1"/>
          <w:lang w:val="en-US"/>
        </w:rPr>
        <w:t xml:space="preserve">. Animals were kept in Type IV cages with four animals </w:t>
      </w:r>
      <w:r>
        <w:rPr>
          <w:rFonts w:ascii="Arial" w:hAnsi="Arial" w:cs="Arial"/>
          <w:color w:val="000000" w:themeColor="text1"/>
          <w:lang w:val="en-US"/>
        </w:rPr>
        <w:t xml:space="preserve">per </w:t>
      </w:r>
      <w:r w:rsidRPr="00A30564">
        <w:rPr>
          <w:rFonts w:ascii="Arial" w:hAnsi="Arial" w:cs="Arial"/>
          <w:color w:val="000000" w:themeColor="text1"/>
          <w:lang w:val="en-US"/>
        </w:rPr>
        <w:t xml:space="preserve">cage </w:t>
      </w:r>
      <w:r>
        <w:rPr>
          <w:rFonts w:ascii="Arial" w:hAnsi="Arial" w:cs="Arial"/>
          <w:color w:val="000000" w:themeColor="text1"/>
          <w:lang w:val="en-US"/>
        </w:rPr>
        <w:t xml:space="preserve">and </w:t>
      </w:r>
      <w:r w:rsidRPr="00A30564">
        <w:rPr>
          <w:rFonts w:ascii="Arial" w:hAnsi="Arial" w:cs="Arial"/>
          <w:color w:val="000000" w:themeColor="text1"/>
          <w:lang w:val="en-US"/>
        </w:rPr>
        <w:t>access to food (</w:t>
      </w:r>
      <w:proofErr w:type="spellStart"/>
      <w:r w:rsidRPr="00A30564">
        <w:rPr>
          <w:rFonts w:ascii="Arial" w:hAnsi="Arial" w:cs="Arial"/>
          <w:color w:val="000000" w:themeColor="text1"/>
          <w:lang w:val="en-US"/>
        </w:rPr>
        <w:t>Altromin</w:t>
      </w:r>
      <w:proofErr w:type="spellEnd"/>
      <w:r w:rsidRPr="00A30564">
        <w:rPr>
          <w:rFonts w:ascii="Arial" w:hAnsi="Arial" w:cs="Arial"/>
          <w:color w:val="000000" w:themeColor="text1"/>
          <w:lang w:val="en-US"/>
        </w:rPr>
        <w:t xml:space="preserve"> 1324, </w:t>
      </w:r>
      <w:proofErr w:type="spellStart"/>
      <w:r w:rsidRPr="00A30564">
        <w:rPr>
          <w:rFonts w:ascii="Arial" w:hAnsi="Arial" w:cs="Arial"/>
          <w:color w:val="000000" w:themeColor="text1"/>
          <w:lang w:val="en-US"/>
        </w:rPr>
        <w:t>Brogaarden</w:t>
      </w:r>
      <w:proofErr w:type="spellEnd"/>
      <w:r w:rsidRPr="00A30564">
        <w:rPr>
          <w:rFonts w:ascii="Arial" w:hAnsi="Arial" w:cs="Arial"/>
          <w:color w:val="000000" w:themeColor="text1"/>
          <w:lang w:val="en-US"/>
        </w:rPr>
        <w:t xml:space="preserve">, Denmark) and water </w:t>
      </w:r>
      <w:r w:rsidRPr="00A30564">
        <w:rPr>
          <w:rFonts w:ascii="Arial" w:hAnsi="Arial" w:cs="Arial"/>
          <w:i/>
          <w:iCs/>
          <w:color w:val="000000" w:themeColor="text1"/>
          <w:lang w:val="en-US"/>
        </w:rPr>
        <w:t>ad libitum</w:t>
      </w:r>
      <w:r w:rsidRPr="00A30564">
        <w:rPr>
          <w:rFonts w:ascii="Arial" w:hAnsi="Arial" w:cs="Arial"/>
          <w:color w:val="000000" w:themeColor="text1"/>
          <w:lang w:val="en-US"/>
        </w:rPr>
        <w:t>. Animals were weighed and inspected for well-being and neurological symptoms twice a week in accordance with animal approvals</w:t>
      </w:r>
      <w:r>
        <w:rPr>
          <w:rFonts w:ascii="Arial" w:hAnsi="Arial" w:cs="Arial"/>
          <w:color w:val="000000" w:themeColor="text1"/>
          <w:lang w:val="en-US"/>
        </w:rPr>
        <w:t xml:space="preserve"> for 13 days</w:t>
      </w:r>
      <w:r w:rsidRPr="00A30564">
        <w:rPr>
          <w:rFonts w:ascii="Arial" w:hAnsi="Arial" w:cs="Arial"/>
          <w:color w:val="000000" w:themeColor="text1"/>
          <w:lang w:val="en-US"/>
        </w:rPr>
        <w:t xml:space="preserve">. Predetermined exclusion criteria included humane endpoints: weight loss &gt;20% compared to animals of the same breed </w:t>
      </w:r>
      <w:r>
        <w:rPr>
          <w:rFonts w:ascii="Arial" w:hAnsi="Arial" w:cs="Arial"/>
          <w:color w:val="000000" w:themeColor="text1"/>
          <w:lang w:val="en-US"/>
        </w:rPr>
        <w:t xml:space="preserve">and </w:t>
      </w:r>
      <w:r w:rsidRPr="00A30564">
        <w:rPr>
          <w:rFonts w:ascii="Arial" w:hAnsi="Arial" w:cs="Arial"/>
          <w:color w:val="000000" w:themeColor="text1"/>
          <w:lang w:val="en-US"/>
        </w:rPr>
        <w:t xml:space="preserve">similar age and </w:t>
      </w:r>
      <w:r>
        <w:rPr>
          <w:rFonts w:ascii="Arial" w:hAnsi="Arial" w:cs="Arial"/>
          <w:color w:val="000000" w:themeColor="text1"/>
          <w:lang w:val="en-US"/>
        </w:rPr>
        <w:t>sex</w:t>
      </w:r>
      <w:r w:rsidRPr="00A30564">
        <w:rPr>
          <w:rFonts w:ascii="Arial" w:hAnsi="Arial" w:cs="Arial"/>
          <w:color w:val="000000" w:themeColor="text1"/>
          <w:lang w:val="en-US"/>
        </w:rPr>
        <w:t>, visible pain</w:t>
      </w:r>
      <w:r>
        <w:rPr>
          <w:rFonts w:ascii="Arial" w:hAnsi="Arial" w:cs="Arial"/>
          <w:color w:val="000000" w:themeColor="text1"/>
          <w:lang w:val="en-US"/>
        </w:rPr>
        <w:t>,</w:t>
      </w:r>
      <w:r w:rsidRPr="00A30564">
        <w:rPr>
          <w:rFonts w:ascii="Arial" w:hAnsi="Arial" w:cs="Arial"/>
          <w:color w:val="000000" w:themeColor="text1"/>
          <w:lang w:val="en-US"/>
        </w:rPr>
        <w:t xml:space="preserve"> or debilitating neurological symptoms. Third</w:t>
      </w:r>
      <w:r>
        <w:rPr>
          <w:rFonts w:ascii="Arial" w:hAnsi="Arial" w:cs="Arial"/>
          <w:color w:val="000000" w:themeColor="text1"/>
          <w:lang w:val="en-US"/>
        </w:rPr>
        <w:t>-</w:t>
      </w:r>
      <w:r w:rsidRPr="00A30564">
        <w:rPr>
          <w:rFonts w:ascii="Arial" w:hAnsi="Arial" w:cs="Arial"/>
          <w:color w:val="000000" w:themeColor="text1"/>
          <w:lang w:val="en-US"/>
        </w:rPr>
        <w:t>passage cells were harvested (trypsinized and centrifuged at 180</w:t>
      </w:r>
      <w:r>
        <w:rPr>
          <w:rFonts w:ascii="Arial" w:hAnsi="Arial" w:cs="Arial"/>
          <w:color w:val="000000" w:themeColor="text1"/>
          <w:lang w:val="en-US"/>
        </w:rPr>
        <w:t xml:space="preserve"> </w:t>
      </w:r>
      <w:r w:rsidRPr="00A30564">
        <w:rPr>
          <w:rFonts w:ascii="Arial" w:hAnsi="Arial" w:cs="Arial"/>
          <w:color w:val="000000" w:themeColor="text1"/>
          <w:lang w:val="en-US"/>
        </w:rPr>
        <w:t>G for 5 minutes) and resuspended in medium at a concentration of 10</w:t>
      </w:r>
      <w:r w:rsidRPr="00A30564">
        <w:rPr>
          <w:rFonts w:ascii="Arial" w:hAnsi="Arial" w:cs="Arial"/>
          <w:color w:val="000000" w:themeColor="text1"/>
          <w:vertAlign w:val="superscript"/>
          <w:lang w:val="en-US"/>
        </w:rPr>
        <w:t xml:space="preserve">5 </w:t>
      </w:r>
      <w:r w:rsidRPr="009A5F38">
        <w:rPr>
          <w:rFonts w:ascii="Arial" w:hAnsi="Arial" w:cs="Arial"/>
          <w:color w:val="000000" w:themeColor="text1"/>
          <w:lang w:val="en-US"/>
        </w:rPr>
        <w:t>cells/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  <w:lang w:val="en-US"/>
          </w:rPr>
          <m:t>μl</m:t>
        </m:r>
      </m:oMath>
      <w:r w:rsidRPr="009A5F38">
        <w:rPr>
          <w:rFonts w:ascii="Arial" w:eastAsiaTheme="minorEastAsia" w:hAnsi="Arial" w:cs="Arial"/>
          <w:color w:val="000000" w:themeColor="text1"/>
          <w:lang w:val="en-US"/>
        </w:rPr>
        <w:t>.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Before surgery</w:t>
      </w:r>
      <w:r>
        <w:rPr>
          <w:rFonts w:ascii="Arial" w:eastAsiaTheme="minorEastAsia" w:hAnsi="Arial" w:cs="Arial"/>
          <w:color w:val="000000" w:themeColor="text1"/>
          <w:lang w:val="en-US"/>
        </w:rPr>
        <w:t>,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animals were administered 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Temgesic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(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buprenorfin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) (2CARE4 Aps, Denmark) in a mix of 0.2 mg/1.0 g food in a dose of 0.4 mg/kg per animal. Animals were anesthetized subcutaneously with 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Hypnorm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(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Skanderborg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Apotek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(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Skanderborg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Pharmacy), Denmark) (fentanyl, 0.315 mg/ml; 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Fluanisone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10 mg/ml) and Midazolam (Hameln Pharma Aps, Denmark) (5 mg/ml) in a 1:1 ratio matched with same volume sterile volume in a dose of 0.3 ml/100</w:t>
      </w:r>
      <w:r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>g bodyweight. Animals were placed in a small animal stereotaxic frame (David Kopf Instruments, CA, USA). A 0.5</w:t>
      </w:r>
      <w:r>
        <w:rPr>
          <w:rFonts w:ascii="Arial" w:eastAsiaTheme="minorEastAsia" w:hAnsi="Arial" w:cs="Arial"/>
          <w:color w:val="000000" w:themeColor="text1"/>
          <w:lang w:val="en-US"/>
        </w:rPr>
        <w:t>-1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cm midline incision was performed</w:t>
      </w:r>
      <w:r>
        <w:rPr>
          <w:rFonts w:ascii="Arial" w:eastAsiaTheme="minorEastAsia" w:hAnsi="Arial" w:cs="Arial"/>
          <w:color w:val="000000" w:themeColor="text1"/>
          <w:lang w:val="en-US"/>
        </w:rPr>
        <w:t>,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and bregma was identified. A burr hole was placed 2 mm to the right and 1 mm anterior to bregma after local administration of 0.1 ml Lidocaine 10 mg/ml. Drillin</w:t>
      </w:r>
      <w:r w:rsidRPr="00D53A2B">
        <w:rPr>
          <w:rFonts w:ascii="Arial" w:eastAsiaTheme="minorEastAsia" w:hAnsi="Arial" w:cs="Arial"/>
          <w:color w:val="000000" w:themeColor="text1"/>
          <w:lang w:val="en-US"/>
        </w:rPr>
        <w:t>g was performed carefully to ensure a tight fit around the needle to avoid backflow of cells during and after implantation. 1</w:t>
      </w:r>
      <w:r>
        <w:rPr>
          <w:rFonts w:ascii="Arial" w:eastAsiaTheme="minorEastAsia" w:hAnsi="Arial" w:cs="Arial"/>
          <w:color w:val="000000" w:themeColor="text1"/>
          <w:lang w:val="en-US"/>
        </w:rPr>
        <w:t>-2.5</w:t>
      </w:r>
      <w:r w:rsidRPr="00D53A2B"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  <w:lang w:val="en-US"/>
          </w:rPr>
          <m:t>μl</m:t>
        </m:r>
      </m:oMath>
      <w:r w:rsidRPr="00D53A2B">
        <w:rPr>
          <w:rFonts w:ascii="Arial" w:eastAsiaTheme="minorEastAsia" w:hAnsi="Arial" w:cs="Arial"/>
          <w:color w:val="000000" w:themeColor="text1"/>
          <w:lang w:val="en-US"/>
        </w:rPr>
        <w:t xml:space="preserve"> of cell suspension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>(</w:t>
      </w:r>
      <w:r>
        <w:rPr>
          <w:rFonts w:ascii="Arial" w:eastAsiaTheme="minorEastAsia" w:hAnsi="Arial" w:cs="Arial"/>
          <w:color w:val="000000" w:themeColor="text1"/>
          <w:lang w:val="en-US"/>
        </w:rPr>
        <w:t>100.000-250.000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</w:t>
      </w:r>
      <w:r w:rsidRPr="000A2430">
        <w:rPr>
          <w:rFonts w:ascii="Arial" w:eastAsiaTheme="minorEastAsia" w:hAnsi="Arial" w:cs="Arial"/>
          <w:color w:val="000000" w:themeColor="text1"/>
          <w:lang w:val="en-US"/>
        </w:rPr>
        <w:t>cells/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  <w:lang w:val="en-US"/>
          </w:rPr>
          <m:t>μ</m:t>
        </m:r>
      </m:oMath>
      <w:r w:rsidRPr="000A2430">
        <w:rPr>
          <w:rFonts w:ascii="Arial" w:eastAsiaTheme="minorEastAsia" w:hAnsi="Arial" w:cs="Arial"/>
          <w:color w:val="000000" w:themeColor="text1"/>
          <w:lang w:val="en-US"/>
        </w:rPr>
        <w:t>l)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was injected </w:t>
      </w:r>
      <w:r w:rsidRPr="00A30564">
        <w:rPr>
          <w:rFonts w:ascii="Arial" w:hAnsi="Arial" w:cs="Arial"/>
          <w:color w:val="000000" w:themeColor="text1"/>
          <w:lang w:val="en-US"/>
        </w:rPr>
        <w:t>using a customized 26G blunt</w:t>
      </w:r>
      <w:r>
        <w:rPr>
          <w:rFonts w:ascii="Arial" w:hAnsi="Arial" w:cs="Arial"/>
          <w:color w:val="000000" w:themeColor="text1"/>
          <w:lang w:val="en-US"/>
        </w:rPr>
        <w:t>-</w:t>
      </w:r>
      <w:r w:rsidRPr="00A30564">
        <w:rPr>
          <w:rFonts w:ascii="Arial" w:hAnsi="Arial" w:cs="Arial"/>
          <w:color w:val="000000" w:themeColor="text1"/>
          <w:lang w:val="en-US"/>
        </w:rPr>
        <w:t>tipped, 10</w:t>
      </w:r>
      <w:r w:rsidRPr="000A2430">
        <w:rPr>
          <w:rFonts w:ascii="Arial" w:hAnsi="Arial" w:cs="Arial"/>
          <w:iCs/>
          <w:color w:val="000000" w:themeColor="text1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  <w:lang w:val="en-US"/>
          </w:rPr>
          <m:t>μl</m:t>
        </m:r>
      </m:oMath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Hamilton syringe (Hamilton Company, NV, USA). The needle was kept in place for 1 min before injecting the cell suspension (</w:t>
      </w:r>
      <w:r w:rsidRPr="000A2430">
        <w:rPr>
          <w:rFonts w:ascii="Arial" w:eastAsiaTheme="minorEastAsia" w:hAnsi="Arial" w:cs="Arial"/>
          <w:color w:val="000000" w:themeColor="text1"/>
          <w:lang w:val="en-US"/>
        </w:rPr>
        <w:t>1</w:t>
      </w:r>
      <w:r w:rsidRPr="000A2430">
        <w:rPr>
          <w:rFonts w:ascii="Cambria Math" w:hAnsi="Cambria Math" w:cs="Arial"/>
          <w:color w:val="000000" w:themeColor="text1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000000" w:themeColor="text1"/>
            <w:lang w:val="en-US"/>
          </w:rPr>
          <m:t>μ</m:t>
        </m:r>
      </m:oMath>
      <w:r w:rsidRPr="000A2430">
        <w:rPr>
          <w:rFonts w:ascii="Arial" w:eastAsiaTheme="minorEastAsia" w:hAnsi="Arial" w:cs="Arial"/>
          <w:color w:val="000000" w:themeColor="text1"/>
          <w:lang w:val="en-US"/>
        </w:rPr>
        <w:t>l/30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seconds).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lastRenderedPageBreak/>
        <w:t>Following injection</w:t>
      </w:r>
      <w:r>
        <w:rPr>
          <w:rFonts w:ascii="Arial" w:eastAsiaTheme="minorEastAsia" w:hAnsi="Arial" w:cs="Arial"/>
          <w:color w:val="000000" w:themeColor="text1"/>
          <w:lang w:val="en-US"/>
        </w:rPr>
        <w:t>/implantation,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the needle was kept in place for 1 min before slow retraction. The </w:t>
      </w:r>
      <w:r w:rsidRPr="00A30564">
        <w:rPr>
          <w:rFonts w:ascii="Arial" w:hAnsi="Arial" w:cs="Arial"/>
          <w:color w:val="000000" w:themeColor="text1"/>
          <w:lang w:val="en-US"/>
        </w:rPr>
        <w:t>burr hole was sealed with bone wax</w:t>
      </w:r>
      <w:r>
        <w:rPr>
          <w:rFonts w:ascii="Arial" w:hAnsi="Arial" w:cs="Arial"/>
          <w:color w:val="000000" w:themeColor="text1"/>
          <w:lang w:val="en-US"/>
        </w:rPr>
        <w:t>,</w:t>
      </w:r>
      <w:r w:rsidRPr="00A30564">
        <w:rPr>
          <w:rFonts w:ascii="Arial" w:hAnsi="Arial" w:cs="Arial"/>
          <w:color w:val="000000" w:themeColor="text1"/>
          <w:lang w:val="en-US"/>
        </w:rPr>
        <w:t xml:space="preserve"> and the skin was sutured with absorbable suture 5-0.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Post-surgery anesthetics </w:t>
      </w:r>
      <w:r>
        <w:rPr>
          <w:rFonts w:ascii="Arial" w:eastAsiaTheme="minorEastAsia" w:hAnsi="Arial" w:cs="Arial"/>
          <w:color w:val="000000" w:themeColor="text1"/>
          <w:lang w:val="en-US"/>
        </w:rPr>
        <w:t>comprised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0.5mg/100 g subcutaneous Carprofen (</w:t>
      </w:r>
      <w:proofErr w:type="spellStart"/>
      <w:r w:rsidRPr="00A30564">
        <w:rPr>
          <w:rFonts w:ascii="Arial" w:eastAsiaTheme="minorEastAsia" w:hAnsi="Arial" w:cs="Arial"/>
          <w:color w:val="000000" w:themeColor="text1"/>
          <w:lang w:val="en-US"/>
        </w:rPr>
        <w:t>Rimayl</w:t>
      </w:r>
      <w:proofErr w:type="spellEnd"/>
      <w:r w:rsidRPr="00A30564">
        <w:rPr>
          <w:rFonts w:ascii="Arial" w:eastAsiaTheme="minorEastAsia" w:hAnsi="Arial" w:cs="Arial"/>
          <w:color w:val="000000" w:themeColor="text1"/>
          <w:lang w:val="en-US"/>
        </w:rPr>
        <w:t>) (</w:t>
      </w:r>
      <w:r w:rsidRPr="00A30564">
        <w:rPr>
          <w:rFonts w:ascii="Arial" w:hAnsi="Arial" w:cs="Arial"/>
          <w:color w:val="000000" w:themeColor="text1"/>
          <w:shd w:val="clear" w:color="auto" w:fill="FFFFFF"/>
          <w:lang w:val="en-US"/>
        </w:rPr>
        <w:t xml:space="preserve">Zoetis Animal Health </w:t>
      </w:r>
      <w:proofErr w:type="spellStart"/>
      <w:r w:rsidRPr="00A30564">
        <w:rPr>
          <w:rFonts w:ascii="Arial" w:hAnsi="Arial" w:cs="Arial"/>
          <w:color w:val="000000" w:themeColor="text1"/>
          <w:shd w:val="clear" w:color="auto" w:fill="FFFFFF"/>
          <w:lang w:val="en-US"/>
        </w:rPr>
        <w:t>ApS</w:t>
      </w:r>
      <w:proofErr w:type="spellEnd"/>
      <w:r w:rsidRPr="00A30564">
        <w:rPr>
          <w:rFonts w:ascii="Arial" w:hAnsi="Arial" w:cs="Arial"/>
          <w:color w:val="000000" w:themeColor="text1"/>
          <w:shd w:val="clear" w:color="auto" w:fill="FFFFFF"/>
          <w:lang w:val="en-US"/>
        </w:rPr>
        <w:t>, NJ, USA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>)</w:t>
      </w:r>
      <w:r>
        <w:rPr>
          <w:rFonts w:ascii="Arial" w:eastAsiaTheme="minorEastAsia" w:hAnsi="Arial" w:cs="Arial"/>
          <w:color w:val="000000" w:themeColor="text1"/>
          <w:lang w:val="en-US"/>
        </w:rPr>
        <w:t xml:space="preserve">.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Animals were euthanized </w:t>
      </w:r>
      <w:r>
        <w:rPr>
          <w:rFonts w:ascii="Arial" w:eastAsiaTheme="minorEastAsia" w:hAnsi="Arial" w:cs="Arial"/>
          <w:color w:val="000000" w:themeColor="text1"/>
          <w:lang w:val="en-US"/>
        </w:rPr>
        <w:t>13 days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 xml:space="preserve"> after implantation </w:t>
      </w:r>
      <w:r w:rsidRPr="00A30564">
        <w:rPr>
          <w:rFonts w:ascii="Arial" w:hAnsi="Arial" w:cs="Arial"/>
          <w:color w:val="000000" w:themeColor="text1"/>
          <w:lang w:val="en-US"/>
        </w:rPr>
        <w:t>using 200 mg/kg IV pentobarbital (</w:t>
      </w:r>
      <w:proofErr w:type="spellStart"/>
      <w:r w:rsidRPr="00A30564">
        <w:rPr>
          <w:rFonts w:ascii="Arial" w:hAnsi="Arial" w:cs="Arial"/>
          <w:color w:val="000000" w:themeColor="text1"/>
          <w:lang w:val="en-US"/>
        </w:rPr>
        <w:t>Exagon</w:t>
      </w:r>
      <w:proofErr w:type="spellEnd"/>
      <w:r w:rsidRPr="00A30564">
        <w:rPr>
          <w:rFonts w:ascii="Arial" w:hAnsi="Arial" w:cs="Arial"/>
          <w:color w:val="000000" w:themeColor="text1"/>
          <w:lang w:val="en-US"/>
        </w:rPr>
        <w:t xml:space="preserve"> ® Vet., 400 mg/ml) 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>(</w:t>
      </w:r>
      <w:proofErr w:type="spellStart"/>
      <w:r w:rsidRPr="00A30564">
        <w:rPr>
          <w:rFonts w:ascii="Arial" w:hAnsi="Arial" w:cs="Arial"/>
          <w:color w:val="000000" w:themeColor="text1"/>
          <w:lang w:val="en-US"/>
        </w:rPr>
        <w:t>Salfarm</w:t>
      </w:r>
      <w:proofErr w:type="spellEnd"/>
      <w:r w:rsidRPr="00A30564">
        <w:rPr>
          <w:rFonts w:ascii="Arial" w:hAnsi="Arial" w:cs="Arial"/>
          <w:color w:val="000000" w:themeColor="text1"/>
          <w:lang w:val="en-US"/>
        </w:rPr>
        <w:t xml:space="preserve"> Danmark A/S, Denmark</w:t>
      </w:r>
      <w:r w:rsidRPr="00A30564">
        <w:rPr>
          <w:rFonts w:ascii="Arial" w:eastAsiaTheme="minorEastAsia" w:hAnsi="Arial" w:cs="Arial"/>
          <w:color w:val="000000" w:themeColor="text1"/>
          <w:lang w:val="en-US"/>
        </w:rPr>
        <w:t>).</w:t>
      </w:r>
      <w:r w:rsidRPr="00A30564">
        <w:rPr>
          <w:rFonts w:ascii="Arial" w:hAnsi="Arial" w:cs="Arial"/>
          <w:color w:val="000000" w:themeColor="text1"/>
          <w:lang w:val="en-US"/>
        </w:rPr>
        <w:t xml:space="preserve"> Animal handlers were blinded </w:t>
      </w:r>
      <w:r>
        <w:rPr>
          <w:rFonts w:ascii="Arial" w:hAnsi="Arial" w:cs="Arial"/>
          <w:color w:val="000000" w:themeColor="text1"/>
          <w:lang w:val="en-US"/>
        </w:rPr>
        <w:t>to</w:t>
      </w:r>
      <w:r w:rsidRPr="00A30564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the implantation volume.</w:t>
      </w:r>
    </w:p>
    <w:p w14:paraId="4AE57FCE" w14:textId="77777777" w:rsidR="00E763F9" w:rsidRDefault="00E763F9"/>
    <w:sectPr w:rsidR="00E763F9" w:rsidSect="006B01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mirrorMargins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E4"/>
    <w:rsid w:val="000136A4"/>
    <w:rsid w:val="000177B1"/>
    <w:rsid w:val="00042B00"/>
    <w:rsid w:val="0005523E"/>
    <w:rsid w:val="00076974"/>
    <w:rsid w:val="00090D79"/>
    <w:rsid w:val="000A162E"/>
    <w:rsid w:val="000B4E52"/>
    <w:rsid w:val="000E0D7D"/>
    <w:rsid w:val="000F45FD"/>
    <w:rsid w:val="0014239E"/>
    <w:rsid w:val="001427EA"/>
    <w:rsid w:val="00150EE2"/>
    <w:rsid w:val="001549BC"/>
    <w:rsid w:val="0018019C"/>
    <w:rsid w:val="001979F2"/>
    <w:rsid w:val="001B7B6E"/>
    <w:rsid w:val="001C7888"/>
    <w:rsid w:val="00211F8A"/>
    <w:rsid w:val="00234A38"/>
    <w:rsid w:val="00271CE1"/>
    <w:rsid w:val="002760ED"/>
    <w:rsid w:val="002B0705"/>
    <w:rsid w:val="002C3DFE"/>
    <w:rsid w:val="002E2C87"/>
    <w:rsid w:val="002F0EA9"/>
    <w:rsid w:val="00310FE2"/>
    <w:rsid w:val="003138CE"/>
    <w:rsid w:val="00320032"/>
    <w:rsid w:val="00355E1E"/>
    <w:rsid w:val="003A420F"/>
    <w:rsid w:val="003A5078"/>
    <w:rsid w:val="003A5338"/>
    <w:rsid w:val="003B5B06"/>
    <w:rsid w:val="003F37D2"/>
    <w:rsid w:val="003F4BE0"/>
    <w:rsid w:val="004055F7"/>
    <w:rsid w:val="004238FC"/>
    <w:rsid w:val="004368B9"/>
    <w:rsid w:val="004526B2"/>
    <w:rsid w:val="00460002"/>
    <w:rsid w:val="004C7AEF"/>
    <w:rsid w:val="00503E19"/>
    <w:rsid w:val="00545E13"/>
    <w:rsid w:val="00557DE5"/>
    <w:rsid w:val="00574697"/>
    <w:rsid w:val="00584922"/>
    <w:rsid w:val="00584D56"/>
    <w:rsid w:val="00594FF9"/>
    <w:rsid w:val="005B4D0C"/>
    <w:rsid w:val="005C748A"/>
    <w:rsid w:val="005D44C0"/>
    <w:rsid w:val="005E6AF7"/>
    <w:rsid w:val="00601806"/>
    <w:rsid w:val="006023F9"/>
    <w:rsid w:val="00606515"/>
    <w:rsid w:val="00664A41"/>
    <w:rsid w:val="006B01E4"/>
    <w:rsid w:val="006B1FB1"/>
    <w:rsid w:val="006D2857"/>
    <w:rsid w:val="006F16EE"/>
    <w:rsid w:val="007065AA"/>
    <w:rsid w:val="00726E1A"/>
    <w:rsid w:val="00744418"/>
    <w:rsid w:val="00751645"/>
    <w:rsid w:val="00795FC5"/>
    <w:rsid w:val="007C75F9"/>
    <w:rsid w:val="007D2393"/>
    <w:rsid w:val="007D337F"/>
    <w:rsid w:val="007F4BDD"/>
    <w:rsid w:val="00807A34"/>
    <w:rsid w:val="00812808"/>
    <w:rsid w:val="00820AF0"/>
    <w:rsid w:val="008246E4"/>
    <w:rsid w:val="0088553C"/>
    <w:rsid w:val="008B2A92"/>
    <w:rsid w:val="008D52DE"/>
    <w:rsid w:val="008D62DB"/>
    <w:rsid w:val="00904BE1"/>
    <w:rsid w:val="00922FE8"/>
    <w:rsid w:val="00963B0A"/>
    <w:rsid w:val="009838C0"/>
    <w:rsid w:val="0099112B"/>
    <w:rsid w:val="009B6869"/>
    <w:rsid w:val="009E5296"/>
    <w:rsid w:val="00A13F4B"/>
    <w:rsid w:val="00A3121C"/>
    <w:rsid w:val="00A3513A"/>
    <w:rsid w:val="00A4672E"/>
    <w:rsid w:val="00A603D7"/>
    <w:rsid w:val="00AA3D22"/>
    <w:rsid w:val="00AB01A3"/>
    <w:rsid w:val="00AB1894"/>
    <w:rsid w:val="00AB21BF"/>
    <w:rsid w:val="00AC42DA"/>
    <w:rsid w:val="00AC7DA6"/>
    <w:rsid w:val="00AF69D8"/>
    <w:rsid w:val="00B05C30"/>
    <w:rsid w:val="00B40C6D"/>
    <w:rsid w:val="00B5059E"/>
    <w:rsid w:val="00B56DCF"/>
    <w:rsid w:val="00B632A3"/>
    <w:rsid w:val="00B65C09"/>
    <w:rsid w:val="00B66EA3"/>
    <w:rsid w:val="00B7534A"/>
    <w:rsid w:val="00B81475"/>
    <w:rsid w:val="00B94A6C"/>
    <w:rsid w:val="00BA3D92"/>
    <w:rsid w:val="00BB1CC3"/>
    <w:rsid w:val="00BB3977"/>
    <w:rsid w:val="00BE0030"/>
    <w:rsid w:val="00BF0AC8"/>
    <w:rsid w:val="00BF6A4B"/>
    <w:rsid w:val="00C11EFE"/>
    <w:rsid w:val="00C24ABF"/>
    <w:rsid w:val="00C46E26"/>
    <w:rsid w:val="00C71A00"/>
    <w:rsid w:val="00CA1FFA"/>
    <w:rsid w:val="00CB0F0D"/>
    <w:rsid w:val="00CE5633"/>
    <w:rsid w:val="00CE7000"/>
    <w:rsid w:val="00CF03FC"/>
    <w:rsid w:val="00D04F2A"/>
    <w:rsid w:val="00D11C31"/>
    <w:rsid w:val="00D12DFA"/>
    <w:rsid w:val="00D15D61"/>
    <w:rsid w:val="00D54C3B"/>
    <w:rsid w:val="00D745C5"/>
    <w:rsid w:val="00D74A88"/>
    <w:rsid w:val="00D750AD"/>
    <w:rsid w:val="00D84314"/>
    <w:rsid w:val="00D8576F"/>
    <w:rsid w:val="00D9386C"/>
    <w:rsid w:val="00DE7771"/>
    <w:rsid w:val="00DF36BA"/>
    <w:rsid w:val="00DF62E8"/>
    <w:rsid w:val="00E3015D"/>
    <w:rsid w:val="00E40740"/>
    <w:rsid w:val="00E71E48"/>
    <w:rsid w:val="00E763F9"/>
    <w:rsid w:val="00EC40FD"/>
    <w:rsid w:val="00EC70D3"/>
    <w:rsid w:val="00EE14CD"/>
    <w:rsid w:val="00EE3746"/>
    <w:rsid w:val="00EE429C"/>
    <w:rsid w:val="00F0552A"/>
    <w:rsid w:val="00F24006"/>
    <w:rsid w:val="00F66D6C"/>
    <w:rsid w:val="00F7232F"/>
    <w:rsid w:val="00F90A34"/>
    <w:rsid w:val="00F95565"/>
    <w:rsid w:val="00FB02C2"/>
    <w:rsid w:val="00FB0C9B"/>
    <w:rsid w:val="00FB2F4C"/>
    <w:rsid w:val="00FC4F9E"/>
    <w:rsid w:val="00FC6D3F"/>
    <w:rsid w:val="00FF245B"/>
    <w:rsid w:val="00FF7FBE"/>
    <w:rsid w:val="4F65F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1099DC0"/>
  <w15:chartTrackingRefBased/>
  <w15:docId w15:val="{B6C7B58A-9D7B-3F42-B5F6-DDCB206B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1E4"/>
    <w:pPr>
      <w:spacing w:after="160" w:line="259" w:lineRule="auto"/>
    </w:pPr>
    <w:rPr>
      <w:kern w:val="0"/>
      <w:sz w:val="22"/>
      <w:szCs w:val="22"/>
      <w:lang w:val="da-D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1E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1E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1E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1E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1E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1E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1E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1E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1E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Dthesis">
    <w:name w:val="PhD thesis"/>
    <w:basedOn w:val="Normal"/>
    <w:qFormat/>
    <w:rsid w:val="00D750AD"/>
    <w:pPr>
      <w:jc w:val="both"/>
    </w:pPr>
    <w:rPr>
      <w:rFonts w:ascii="Arial" w:hAnsi="Arial" w:cs="Arial"/>
      <w:color w:val="000000"/>
      <w:sz w:val="20"/>
      <w:szCs w:val="20"/>
      <w:bdr w:val="none" w:sz="0" w:space="0" w:color="auto" w:frame="1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B01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1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1E4"/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1E4"/>
    <w:rPr>
      <w:rFonts w:eastAsiaTheme="majorEastAsia" w:cstheme="majorBidi"/>
      <w:i/>
      <w:iCs/>
      <w:color w:val="0F4761" w:themeColor="accent1" w:themeShade="BF"/>
      <w:lang w:val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1E4"/>
    <w:rPr>
      <w:rFonts w:eastAsiaTheme="majorEastAsia" w:cstheme="majorBidi"/>
      <w:color w:val="0F4761" w:themeColor="accent1" w:themeShade="BF"/>
      <w:lang w:val="da-D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1E4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1E4"/>
    <w:rPr>
      <w:rFonts w:eastAsiaTheme="majorEastAsia" w:cstheme="majorBidi"/>
      <w:color w:val="595959" w:themeColor="text1" w:themeTint="A6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1E4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1E4"/>
    <w:rPr>
      <w:rFonts w:eastAsiaTheme="majorEastAsia" w:cstheme="majorBidi"/>
      <w:color w:val="272727" w:themeColor="text1" w:themeTint="D8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6B0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01E4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1E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01E4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6B01E4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01E4"/>
    <w:rPr>
      <w:i/>
      <w:iCs/>
      <w:color w:val="404040" w:themeColor="text1" w:themeTint="BF"/>
      <w:lang w:val="da-DK"/>
    </w:rPr>
  </w:style>
  <w:style w:type="paragraph" w:styleId="ListParagraph">
    <w:name w:val="List Paragraph"/>
    <w:basedOn w:val="Normal"/>
    <w:uiPriority w:val="34"/>
    <w:qFormat/>
    <w:rsid w:val="006B01E4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0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1E4"/>
    <w:rPr>
      <w:i/>
      <w:iCs/>
      <w:color w:val="0F4761" w:themeColor="accent1" w:themeShade="BF"/>
      <w:lang w:val="da-DK"/>
    </w:rPr>
  </w:style>
  <w:style w:type="character" w:styleId="IntenseReference">
    <w:name w:val="Intense Reference"/>
    <w:basedOn w:val="DefaultParagraphFont"/>
    <w:uiPriority w:val="32"/>
    <w:qFormat/>
    <w:rsid w:val="006B0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Schou Andersen</dc:creator>
  <cp:keywords/>
  <dc:description/>
  <cp:lastModifiedBy>Mikkel Schou Andersen</cp:lastModifiedBy>
  <cp:revision>3</cp:revision>
  <dcterms:created xsi:type="dcterms:W3CDTF">2024-10-19T21:46:00Z</dcterms:created>
  <dcterms:modified xsi:type="dcterms:W3CDTF">2025-04-18T00:16:00Z</dcterms:modified>
</cp:coreProperties>
</file>