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CCEA" w14:textId="77777777" w:rsidR="00F309C2" w:rsidRDefault="00F309C2" w:rsidP="00F309C2">
      <w:pPr>
        <w:rPr>
          <w:color w:val="00B0F0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365"/>
        <w:gridCol w:w="1096"/>
        <w:gridCol w:w="1096"/>
        <w:gridCol w:w="1216"/>
        <w:gridCol w:w="1216"/>
        <w:gridCol w:w="1196"/>
        <w:gridCol w:w="1175"/>
      </w:tblGrid>
      <w:tr w:rsidR="00F309C2" w:rsidRPr="00A71A89" w14:paraId="133D1F01" w14:textId="77777777" w:rsidTr="00B16F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</w:tcPr>
          <w:p w14:paraId="35081C94" w14:textId="77777777" w:rsidR="00F309C2" w:rsidRPr="00ED46B5" w:rsidRDefault="00F309C2" w:rsidP="00B16FB2">
            <w:pPr>
              <w:rPr>
                <w:sz w:val="22"/>
                <w:szCs w:val="22"/>
              </w:rPr>
            </w:pPr>
            <w:r w:rsidRPr="00ED46B5">
              <w:rPr>
                <w:sz w:val="22"/>
                <w:szCs w:val="22"/>
              </w:rPr>
              <w:t xml:space="preserve">Supplemental Table 1: The Percentages of </w:t>
            </w:r>
            <w:r>
              <w:rPr>
                <w:sz w:val="22"/>
                <w:szCs w:val="22"/>
              </w:rPr>
              <w:t xml:space="preserve">Pre-Mortem </w:t>
            </w:r>
            <w:r w:rsidRPr="00ED46B5">
              <w:rPr>
                <w:sz w:val="22"/>
                <w:szCs w:val="22"/>
              </w:rPr>
              <w:t>Clinical Etiological Diagnoses Across Decadal Groups</w:t>
            </w:r>
          </w:p>
        </w:tc>
      </w:tr>
      <w:tr w:rsidR="00F309C2" w:rsidRPr="00A71A89" w14:paraId="352B2681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DB168C" w14:textId="77777777" w:rsidR="00F309C2" w:rsidRPr="00DB6AF8" w:rsidRDefault="00F309C2" w:rsidP="00B16FB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Clinical Etiology</w:t>
            </w:r>
          </w:p>
        </w:tc>
        <w:tc>
          <w:tcPr>
            <w:tcW w:w="0" w:type="auto"/>
            <w:hideMark/>
          </w:tcPr>
          <w:p w14:paraId="31FCC0A4" w14:textId="77777777" w:rsidR="00F309C2" w:rsidRPr="00DB6AF8" w:rsidRDefault="00F309C2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50 – 59 Years (N=202)</w:t>
            </w:r>
          </w:p>
        </w:tc>
        <w:tc>
          <w:tcPr>
            <w:tcW w:w="0" w:type="auto"/>
            <w:hideMark/>
          </w:tcPr>
          <w:p w14:paraId="48772DDE" w14:textId="77777777" w:rsidR="00F309C2" w:rsidRPr="00DB6AF8" w:rsidRDefault="00F309C2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60 – 69 Years (N=842)</w:t>
            </w:r>
          </w:p>
        </w:tc>
        <w:tc>
          <w:tcPr>
            <w:tcW w:w="0" w:type="auto"/>
            <w:hideMark/>
          </w:tcPr>
          <w:p w14:paraId="1F2772C5" w14:textId="77777777" w:rsidR="00F309C2" w:rsidRPr="00DB6AF8" w:rsidRDefault="00F309C2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70 – 79 Years (N=1399)</w:t>
            </w:r>
          </w:p>
        </w:tc>
        <w:tc>
          <w:tcPr>
            <w:tcW w:w="0" w:type="auto"/>
            <w:hideMark/>
          </w:tcPr>
          <w:p w14:paraId="476AB03B" w14:textId="77777777" w:rsidR="00F309C2" w:rsidRPr="00DB6AF8" w:rsidRDefault="00F309C2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80 – 89 Years (N=2043)</w:t>
            </w:r>
          </w:p>
        </w:tc>
        <w:tc>
          <w:tcPr>
            <w:tcW w:w="0" w:type="auto"/>
            <w:hideMark/>
          </w:tcPr>
          <w:p w14:paraId="62F797E8" w14:textId="77777777" w:rsidR="00F309C2" w:rsidRPr="00DB6AF8" w:rsidRDefault="00F309C2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90 + Years (N=1357)</w:t>
            </w:r>
          </w:p>
        </w:tc>
        <w:tc>
          <w:tcPr>
            <w:tcW w:w="0" w:type="auto"/>
            <w:hideMark/>
          </w:tcPr>
          <w:p w14:paraId="4F8B7C44" w14:textId="77777777" w:rsidR="00F309C2" w:rsidRPr="00DB6AF8" w:rsidRDefault="00F309C2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Overall (N=5843)</w:t>
            </w:r>
          </w:p>
        </w:tc>
      </w:tr>
      <w:tr w:rsidR="00F309C2" w:rsidRPr="00A71A89" w14:paraId="2B80A8F8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70E89F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Alzheimer’s Disease (AD), n (%)</w:t>
            </w:r>
          </w:p>
        </w:tc>
        <w:tc>
          <w:tcPr>
            <w:tcW w:w="0" w:type="auto"/>
            <w:hideMark/>
          </w:tcPr>
          <w:p w14:paraId="2D98F9B9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85 (42.1)</w:t>
            </w:r>
          </w:p>
        </w:tc>
        <w:tc>
          <w:tcPr>
            <w:tcW w:w="0" w:type="auto"/>
            <w:hideMark/>
          </w:tcPr>
          <w:p w14:paraId="60B0FF81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381 (45.2)</w:t>
            </w:r>
          </w:p>
        </w:tc>
        <w:tc>
          <w:tcPr>
            <w:tcW w:w="0" w:type="auto"/>
            <w:hideMark/>
          </w:tcPr>
          <w:p w14:paraId="0146D4C7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759 (54.3)</w:t>
            </w:r>
          </w:p>
        </w:tc>
        <w:tc>
          <w:tcPr>
            <w:tcW w:w="0" w:type="auto"/>
            <w:hideMark/>
          </w:tcPr>
          <w:p w14:paraId="155D92C3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1374 (67.3)</w:t>
            </w:r>
          </w:p>
        </w:tc>
        <w:tc>
          <w:tcPr>
            <w:tcW w:w="0" w:type="auto"/>
            <w:hideMark/>
          </w:tcPr>
          <w:p w14:paraId="41D40CB8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860 (63.4)</w:t>
            </w:r>
          </w:p>
        </w:tc>
        <w:tc>
          <w:tcPr>
            <w:tcW w:w="0" w:type="auto"/>
            <w:hideMark/>
          </w:tcPr>
          <w:p w14:paraId="7EF8D7ED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3459 (59.2)</w:t>
            </w:r>
          </w:p>
        </w:tc>
      </w:tr>
      <w:tr w:rsidR="00F309C2" w:rsidRPr="00A71A89" w14:paraId="3ECEFE0D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DEEDF7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Lewy Body Disease (LBD), n (%)</w:t>
            </w:r>
          </w:p>
        </w:tc>
        <w:tc>
          <w:tcPr>
            <w:tcW w:w="0" w:type="auto"/>
            <w:hideMark/>
          </w:tcPr>
          <w:p w14:paraId="605BD53A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 (2.0)</w:t>
            </w:r>
          </w:p>
        </w:tc>
        <w:tc>
          <w:tcPr>
            <w:tcW w:w="0" w:type="auto"/>
            <w:hideMark/>
          </w:tcPr>
          <w:p w14:paraId="3E0FEA44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54 (6.4)</w:t>
            </w:r>
          </w:p>
        </w:tc>
        <w:tc>
          <w:tcPr>
            <w:tcW w:w="0" w:type="auto"/>
            <w:hideMark/>
          </w:tcPr>
          <w:p w14:paraId="039AF52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155 (11.1)</w:t>
            </w:r>
          </w:p>
        </w:tc>
        <w:tc>
          <w:tcPr>
            <w:tcW w:w="0" w:type="auto"/>
            <w:hideMark/>
          </w:tcPr>
          <w:p w14:paraId="6ABC2A84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151 (7.4)</w:t>
            </w:r>
          </w:p>
        </w:tc>
        <w:tc>
          <w:tcPr>
            <w:tcW w:w="0" w:type="auto"/>
            <w:hideMark/>
          </w:tcPr>
          <w:p w14:paraId="4FB7F71F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37 (2.7)</w:t>
            </w:r>
          </w:p>
        </w:tc>
        <w:tc>
          <w:tcPr>
            <w:tcW w:w="0" w:type="auto"/>
            <w:hideMark/>
          </w:tcPr>
          <w:p w14:paraId="5F90530D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401 (6.9)</w:t>
            </w:r>
          </w:p>
        </w:tc>
      </w:tr>
      <w:tr w:rsidR="00F309C2" w:rsidRPr="00A71A89" w14:paraId="7B911DAE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F51AE1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Progressive Supranuclear Palsy (PSP), n (%)</w:t>
            </w:r>
          </w:p>
        </w:tc>
        <w:tc>
          <w:tcPr>
            <w:tcW w:w="0" w:type="auto"/>
            <w:hideMark/>
          </w:tcPr>
          <w:p w14:paraId="471501A1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8 (4.0)</w:t>
            </w:r>
          </w:p>
        </w:tc>
        <w:tc>
          <w:tcPr>
            <w:tcW w:w="0" w:type="auto"/>
            <w:hideMark/>
          </w:tcPr>
          <w:p w14:paraId="0BEC59CE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29 (3.4)</w:t>
            </w:r>
          </w:p>
        </w:tc>
        <w:tc>
          <w:tcPr>
            <w:tcW w:w="0" w:type="auto"/>
            <w:hideMark/>
          </w:tcPr>
          <w:p w14:paraId="053DDEEC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39 (2.8)</w:t>
            </w:r>
          </w:p>
        </w:tc>
        <w:tc>
          <w:tcPr>
            <w:tcW w:w="0" w:type="auto"/>
            <w:hideMark/>
          </w:tcPr>
          <w:p w14:paraId="319DC838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19 (0.9)</w:t>
            </w:r>
          </w:p>
        </w:tc>
        <w:tc>
          <w:tcPr>
            <w:tcW w:w="0" w:type="auto"/>
            <w:hideMark/>
          </w:tcPr>
          <w:p w14:paraId="0D16E6EF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42A62974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95 (1.6)</w:t>
            </w:r>
          </w:p>
        </w:tc>
      </w:tr>
      <w:tr w:rsidR="00F309C2" w:rsidRPr="00A71A89" w14:paraId="446FCB2D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2C948D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Corticobasal Degeneration (CBD), n (%)</w:t>
            </w:r>
          </w:p>
        </w:tc>
        <w:tc>
          <w:tcPr>
            <w:tcW w:w="0" w:type="auto"/>
            <w:hideMark/>
          </w:tcPr>
          <w:p w14:paraId="0E4B8DC3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 (1.5)</w:t>
            </w:r>
          </w:p>
        </w:tc>
        <w:tc>
          <w:tcPr>
            <w:tcW w:w="0" w:type="auto"/>
            <w:hideMark/>
          </w:tcPr>
          <w:p w14:paraId="038A2F96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48 (5.7)</w:t>
            </w:r>
          </w:p>
        </w:tc>
        <w:tc>
          <w:tcPr>
            <w:tcW w:w="0" w:type="auto"/>
            <w:hideMark/>
          </w:tcPr>
          <w:p w14:paraId="67503461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39 (2.8)</w:t>
            </w:r>
          </w:p>
        </w:tc>
        <w:tc>
          <w:tcPr>
            <w:tcW w:w="0" w:type="auto"/>
            <w:hideMark/>
          </w:tcPr>
          <w:p w14:paraId="0AF6517F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12 (0.6)</w:t>
            </w:r>
          </w:p>
        </w:tc>
        <w:tc>
          <w:tcPr>
            <w:tcW w:w="0" w:type="auto"/>
            <w:hideMark/>
          </w:tcPr>
          <w:p w14:paraId="26A129F7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0FD39E62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102 (1.7)</w:t>
            </w:r>
          </w:p>
        </w:tc>
      </w:tr>
      <w:tr w:rsidR="00F309C2" w:rsidRPr="00A71A89" w14:paraId="48211C36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D25252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FTLD with motor neuron disease (e.g., ALS), n (%)</w:t>
            </w:r>
          </w:p>
        </w:tc>
        <w:tc>
          <w:tcPr>
            <w:tcW w:w="0" w:type="auto"/>
            <w:hideMark/>
          </w:tcPr>
          <w:p w14:paraId="12ACC685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 (1.5)</w:t>
            </w:r>
          </w:p>
        </w:tc>
        <w:tc>
          <w:tcPr>
            <w:tcW w:w="0" w:type="auto"/>
            <w:hideMark/>
          </w:tcPr>
          <w:p w14:paraId="09488EAC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8 (1.0)</w:t>
            </w:r>
          </w:p>
        </w:tc>
        <w:tc>
          <w:tcPr>
            <w:tcW w:w="0" w:type="auto"/>
            <w:hideMark/>
          </w:tcPr>
          <w:p w14:paraId="3F96125C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5 (0.4)</w:t>
            </w:r>
          </w:p>
        </w:tc>
        <w:tc>
          <w:tcPr>
            <w:tcW w:w="0" w:type="auto"/>
            <w:hideMark/>
          </w:tcPr>
          <w:p w14:paraId="7B4B1DE6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0BC6EF87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69DFC1F7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16 (0.3)</w:t>
            </w:r>
          </w:p>
        </w:tc>
      </w:tr>
      <w:tr w:rsidR="00F309C2" w:rsidRPr="00A71A89" w14:paraId="23E49579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442AA5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FTLD, other, n (%)</w:t>
            </w:r>
          </w:p>
        </w:tc>
        <w:tc>
          <w:tcPr>
            <w:tcW w:w="0" w:type="auto"/>
            <w:hideMark/>
          </w:tcPr>
          <w:p w14:paraId="0724CC6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69 (34.2)</w:t>
            </w:r>
          </w:p>
        </w:tc>
        <w:tc>
          <w:tcPr>
            <w:tcW w:w="0" w:type="auto"/>
            <w:hideMark/>
          </w:tcPr>
          <w:p w14:paraId="29C2DB7F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252 (29.9)</w:t>
            </w:r>
          </w:p>
        </w:tc>
        <w:tc>
          <w:tcPr>
            <w:tcW w:w="0" w:type="auto"/>
            <w:hideMark/>
          </w:tcPr>
          <w:p w14:paraId="336B5A93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242 (17.3)</w:t>
            </w:r>
          </w:p>
        </w:tc>
        <w:tc>
          <w:tcPr>
            <w:tcW w:w="0" w:type="auto"/>
            <w:hideMark/>
          </w:tcPr>
          <w:p w14:paraId="387E7F29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67 (3.3)</w:t>
            </w:r>
          </w:p>
        </w:tc>
        <w:tc>
          <w:tcPr>
            <w:tcW w:w="0" w:type="auto"/>
            <w:hideMark/>
          </w:tcPr>
          <w:p w14:paraId="67E125DA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8 (0.6)</w:t>
            </w:r>
          </w:p>
        </w:tc>
        <w:tc>
          <w:tcPr>
            <w:tcW w:w="0" w:type="auto"/>
            <w:hideMark/>
          </w:tcPr>
          <w:p w14:paraId="437613D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638 (10.9)</w:t>
            </w:r>
          </w:p>
        </w:tc>
      </w:tr>
      <w:tr w:rsidR="00F309C2" w:rsidRPr="00A71A89" w14:paraId="02A7B45D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46FF6D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Vascular Brain Injury or Vascular Dementia including Stroke, n (%)</w:t>
            </w:r>
          </w:p>
        </w:tc>
        <w:tc>
          <w:tcPr>
            <w:tcW w:w="0" w:type="auto"/>
            <w:hideMark/>
          </w:tcPr>
          <w:p w14:paraId="25C1C27B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154E9FE9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 (0.5)</w:t>
            </w:r>
          </w:p>
        </w:tc>
        <w:tc>
          <w:tcPr>
            <w:tcW w:w="0" w:type="auto"/>
            <w:hideMark/>
          </w:tcPr>
          <w:p w14:paraId="04595C1B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9 (0.6)</w:t>
            </w:r>
          </w:p>
        </w:tc>
        <w:tc>
          <w:tcPr>
            <w:tcW w:w="0" w:type="auto"/>
            <w:hideMark/>
          </w:tcPr>
          <w:p w14:paraId="732F1C98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66 (3.2)</w:t>
            </w:r>
          </w:p>
        </w:tc>
        <w:tc>
          <w:tcPr>
            <w:tcW w:w="0" w:type="auto"/>
            <w:hideMark/>
          </w:tcPr>
          <w:p w14:paraId="7168FA89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73 (5.4)</w:t>
            </w:r>
          </w:p>
        </w:tc>
        <w:tc>
          <w:tcPr>
            <w:tcW w:w="0" w:type="auto"/>
            <w:hideMark/>
          </w:tcPr>
          <w:p w14:paraId="63605B9E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152 (2.6)</w:t>
            </w:r>
          </w:p>
        </w:tc>
      </w:tr>
      <w:tr w:rsidR="00F309C2" w:rsidRPr="00A71A89" w14:paraId="32EBCFDE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BEFFD7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Down Syndrome, n (%)</w:t>
            </w:r>
          </w:p>
        </w:tc>
        <w:tc>
          <w:tcPr>
            <w:tcW w:w="0" w:type="auto"/>
            <w:hideMark/>
          </w:tcPr>
          <w:p w14:paraId="1869D3D2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(0.5)</w:t>
            </w:r>
          </w:p>
        </w:tc>
        <w:tc>
          <w:tcPr>
            <w:tcW w:w="0" w:type="auto"/>
            <w:hideMark/>
          </w:tcPr>
          <w:p w14:paraId="2EEFDB4F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42BD2C22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6E52E44C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7D0D308A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7E0C24C7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</w:tr>
      <w:tr w:rsidR="00F309C2" w:rsidRPr="00A71A89" w14:paraId="0F817847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924EF1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Huntington’s Disease, n (%)</w:t>
            </w:r>
          </w:p>
        </w:tc>
        <w:tc>
          <w:tcPr>
            <w:tcW w:w="0" w:type="auto"/>
            <w:hideMark/>
          </w:tcPr>
          <w:p w14:paraId="56EB3E7A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19C8C0BD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4596D426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46558634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5A0A4EE8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58820833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</w:tr>
      <w:tr w:rsidR="00F309C2" w:rsidRPr="00A71A89" w14:paraId="1433FF3A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EFF6E9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Prion Disease, n (%)</w:t>
            </w:r>
          </w:p>
        </w:tc>
        <w:tc>
          <w:tcPr>
            <w:tcW w:w="0" w:type="auto"/>
            <w:hideMark/>
          </w:tcPr>
          <w:p w14:paraId="34E02E8C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 (2.0)</w:t>
            </w:r>
          </w:p>
        </w:tc>
        <w:tc>
          <w:tcPr>
            <w:tcW w:w="0" w:type="auto"/>
            <w:hideMark/>
          </w:tcPr>
          <w:p w14:paraId="17668BE6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 (0.4)</w:t>
            </w:r>
          </w:p>
        </w:tc>
        <w:tc>
          <w:tcPr>
            <w:tcW w:w="0" w:type="auto"/>
            <w:hideMark/>
          </w:tcPr>
          <w:p w14:paraId="5411C4A1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48B138A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  <w:tc>
          <w:tcPr>
            <w:tcW w:w="0" w:type="auto"/>
            <w:hideMark/>
          </w:tcPr>
          <w:p w14:paraId="51D7CC57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5EC705BD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9 (0.2)</w:t>
            </w:r>
          </w:p>
        </w:tc>
      </w:tr>
      <w:tr w:rsidR="00F309C2" w:rsidRPr="00A71A89" w14:paraId="5279D746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D30633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Traumatic Brain Injury (TBI), n (%)</w:t>
            </w:r>
          </w:p>
        </w:tc>
        <w:tc>
          <w:tcPr>
            <w:tcW w:w="0" w:type="auto"/>
            <w:hideMark/>
          </w:tcPr>
          <w:p w14:paraId="1FA199DD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159863C4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12381DB0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 (0.1)</w:t>
            </w:r>
          </w:p>
        </w:tc>
        <w:tc>
          <w:tcPr>
            <w:tcW w:w="0" w:type="auto"/>
            <w:hideMark/>
          </w:tcPr>
          <w:p w14:paraId="0DD7A75B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 (0.1)</w:t>
            </w:r>
          </w:p>
        </w:tc>
        <w:tc>
          <w:tcPr>
            <w:tcW w:w="0" w:type="auto"/>
            <w:hideMark/>
          </w:tcPr>
          <w:p w14:paraId="253C0D4D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 (0.3)</w:t>
            </w:r>
          </w:p>
        </w:tc>
        <w:tc>
          <w:tcPr>
            <w:tcW w:w="0" w:type="auto"/>
            <w:hideMark/>
          </w:tcPr>
          <w:p w14:paraId="0BD70224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8 (0.1)</w:t>
            </w:r>
          </w:p>
        </w:tc>
      </w:tr>
      <w:tr w:rsidR="00F309C2" w:rsidRPr="00A71A89" w14:paraId="7A8A8CFD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447B1D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Normal Pressure Hydrocephalus, n (%)</w:t>
            </w:r>
          </w:p>
        </w:tc>
        <w:tc>
          <w:tcPr>
            <w:tcW w:w="0" w:type="auto"/>
            <w:hideMark/>
          </w:tcPr>
          <w:p w14:paraId="0933C37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1DF0526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03D556E1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 (0.2)</w:t>
            </w:r>
          </w:p>
        </w:tc>
        <w:tc>
          <w:tcPr>
            <w:tcW w:w="0" w:type="auto"/>
            <w:hideMark/>
          </w:tcPr>
          <w:p w14:paraId="2A72A193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  <w:tc>
          <w:tcPr>
            <w:tcW w:w="0" w:type="auto"/>
            <w:hideMark/>
          </w:tcPr>
          <w:p w14:paraId="0AAD41D9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33C3D336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 (0.1)</w:t>
            </w:r>
          </w:p>
        </w:tc>
      </w:tr>
      <w:tr w:rsidR="00F309C2" w:rsidRPr="00A71A89" w14:paraId="0713C719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4FC5F7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CNS Neoplasm, n (%)</w:t>
            </w:r>
          </w:p>
        </w:tc>
        <w:tc>
          <w:tcPr>
            <w:tcW w:w="0" w:type="auto"/>
            <w:hideMark/>
          </w:tcPr>
          <w:p w14:paraId="7F6A5889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DD38EBC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8178BA7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2A5558D7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73DFB69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0FE2B3AE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</w:tr>
      <w:tr w:rsidR="00F309C2" w:rsidRPr="00A71A89" w14:paraId="438EB911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C9B5FE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Other Neurologic, Genetic, or Infectious Condition, n (%)</w:t>
            </w:r>
          </w:p>
        </w:tc>
        <w:tc>
          <w:tcPr>
            <w:tcW w:w="0" w:type="auto"/>
            <w:hideMark/>
          </w:tcPr>
          <w:p w14:paraId="015795B0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18162E32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5 (0.6)</w:t>
            </w:r>
          </w:p>
        </w:tc>
        <w:tc>
          <w:tcPr>
            <w:tcW w:w="0" w:type="auto"/>
            <w:hideMark/>
          </w:tcPr>
          <w:p w14:paraId="25F702E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1037ACAE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9 (0.4)</w:t>
            </w:r>
          </w:p>
        </w:tc>
        <w:tc>
          <w:tcPr>
            <w:tcW w:w="0" w:type="auto"/>
            <w:hideMark/>
          </w:tcPr>
          <w:p w14:paraId="42E84CFD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7 (0.5)</w:t>
            </w:r>
          </w:p>
        </w:tc>
        <w:tc>
          <w:tcPr>
            <w:tcW w:w="0" w:type="auto"/>
            <w:hideMark/>
          </w:tcPr>
          <w:p w14:paraId="64DE69D3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21 (0.4)</w:t>
            </w:r>
          </w:p>
        </w:tc>
      </w:tr>
      <w:tr w:rsidR="00F309C2" w:rsidRPr="00A71A89" w14:paraId="47F67644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5E8CDA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Depression, n (%)</w:t>
            </w:r>
          </w:p>
        </w:tc>
        <w:tc>
          <w:tcPr>
            <w:tcW w:w="0" w:type="auto"/>
            <w:hideMark/>
          </w:tcPr>
          <w:p w14:paraId="274E7292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078E09AF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 (0.4)</w:t>
            </w:r>
          </w:p>
        </w:tc>
        <w:tc>
          <w:tcPr>
            <w:tcW w:w="0" w:type="auto"/>
            <w:hideMark/>
          </w:tcPr>
          <w:p w14:paraId="6F162C5A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40B07839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8 (0.4)</w:t>
            </w:r>
          </w:p>
        </w:tc>
        <w:tc>
          <w:tcPr>
            <w:tcW w:w="0" w:type="auto"/>
            <w:hideMark/>
          </w:tcPr>
          <w:p w14:paraId="4D010264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 (0.4)</w:t>
            </w:r>
          </w:p>
        </w:tc>
        <w:tc>
          <w:tcPr>
            <w:tcW w:w="0" w:type="auto"/>
            <w:hideMark/>
          </w:tcPr>
          <w:p w14:paraId="3AC58E72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18 (0.3)</w:t>
            </w:r>
          </w:p>
        </w:tc>
      </w:tr>
      <w:tr w:rsidR="00F309C2" w:rsidRPr="00A71A89" w14:paraId="5A88E2BC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23FA26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 xml:space="preserve">Bipolar Disorder, n (%) </w:t>
            </w:r>
          </w:p>
        </w:tc>
        <w:tc>
          <w:tcPr>
            <w:tcW w:w="0" w:type="auto"/>
            <w:hideMark/>
          </w:tcPr>
          <w:p w14:paraId="60406FC6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30CF552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432BFDF7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09BAC8E5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5DB9BCB3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3989121E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</w:tr>
      <w:tr w:rsidR="00F309C2" w:rsidRPr="00A71A89" w14:paraId="1425D54A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6F3E55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 xml:space="preserve">Schizophrenia, n (%) </w:t>
            </w:r>
          </w:p>
        </w:tc>
        <w:tc>
          <w:tcPr>
            <w:tcW w:w="0" w:type="auto"/>
            <w:hideMark/>
          </w:tcPr>
          <w:p w14:paraId="56B71C44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49C4514B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0B6F7601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4E0EA9FA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39BBCB4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28A319E9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</w:tr>
      <w:tr w:rsidR="00F309C2" w:rsidRPr="00A71A89" w14:paraId="5522E6BB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7442F7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Other Psychiatric Disease, n (%)</w:t>
            </w:r>
          </w:p>
        </w:tc>
        <w:tc>
          <w:tcPr>
            <w:tcW w:w="0" w:type="auto"/>
            <w:hideMark/>
          </w:tcPr>
          <w:p w14:paraId="2939B15C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555CFA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680CA444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4806BA0A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  <w:tc>
          <w:tcPr>
            <w:tcW w:w="0" w:type="auto"/>
            <w:hideMark/>
          </w:tcPr>
          <w:p w14:paraId="451BFCB5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5DBA74E2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(0.0)</w:t>
            </w:r>
          </w:p>
        </w:tc>
      </w:tr>
      <w:tr w:rsidR="00F309C2" w:rsidRPr="00A71A89" w14:paraId="3C94B1E1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FA6B9A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Alcohol Abuse, n (%)</w:t>
            </w:r>
          </w:p>
        </w:tc>
        <w:tc>
          <w:tcPr>
            <w:tcW w:w="0" w:type="auto"/>
            <w:hideMark/>
          </w:tcPr>
          <w:p w14:paraId="3FFEBA5A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A3FEC82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 (0.2)</w:t>
            </w:r>
          </w:p>
        </w:tc>
        <w:tc>
          <w:tcPr>
            <w:tcW w:w="0" w:type="auto"/>
            <w:hideMark/>
          </w:tcPr>
          <w:p w14:paraId="7160FA96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307A31A6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 (0.1)</w:t>
            </w:r>
          </w:p>
        </w:tc>
        <w:tc>
          <w:tcPr>
            <w:tcW w:w="0" w:type="auto"/>
            <w:hideMark/>
          </w:tcPr>
          <w:p w14:paraId="5ACF6905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61FCDC1A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 (0.1)</w:t>
            </w:r>
          </w:p>
        </w:tc>
      </w:tr>
      <w:tr w:rsidR="00F309C2" w:rsidRPr="00A71A89" w14:paraId="3B62F36A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78D5D0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Cognitive Impairment, Systemic Illness or Medical Illness, n (%)</w:t>
            </w:r>
          </w:p>
        </w:tc>
        <w:tc>
          <w:tcPr>
            <w:tcW w:w="0" w:type="auto"/>
            <w:hideMark/>
          </w:tcPr>
          <w:p w14:paraId="49AF5491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664C2DDE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 (0.2)</w:t>
            </w:r>
          </w:p>
        </w:tc>
        <w:tc>
          <w:tcPr>
            <w:tcW w:w="0" w:type="auto"/>
            <w:hideMark/>
          </w:tcPr>
          <w:p w14:paraId="13888CC5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 (0.2)</w:t>
            </w:r>
          </w:p>
        </w:tc>
        <w:tc>
          <w:tcPr>
            <w:tcW w:w="0" w:type="auto"/>
            <w:hideMark/>
          </w:tcPr>
          <w:p w14:paraId="788D235A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19 (0.9)</w:t>
            </w:r>
          </w:p>
        </w:tc>
        <w:tc>
          <w:tcPr>
            <w:tcW w:w="0" w:type="auto"/>
            <w:hideMark/>
          </w:tcPr>
          <w:p w14:paraId="59921FF7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14 (1.0)</w:t>
            </w:r>
          </w:p>
        </w:tc>
        <w:tc>
          <w:tcPr>
            <w:tcW w:w="0" w:type="auto"/>
            <w:hideMark/>
          </w:tcPr>
          <w:p w14:paraId="55E132B3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38 (0.7)</w:t>
            </w:r>
          </w:p>
        </w:tc>
      </w:tr>
      <w:tr w:rsidR="00F309C2" w:rsidRPr="00A71A89" w14:paraId="03EF3718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21030C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Cognitive Impairment, Medications, n (%)</w:t>
            </w:r>
          </w:p>
        </w:tc>
        <w:tc>
          <w:tcPr>
            <w:tcW w:w="0" w:type="auto"/>
            <w:hideMark/>
          </w:tcPr>
          <w:p w14:paraId="337EBF86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20863B31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hideMark/>
          </w:tcPr>
          <w:p w14:paraId="58999387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16BD7BE3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4 (0.2)</w:t>
            </w:r>
          </w:p>
        </w:tc>
        <w:tc>
          <w:tcPr>
            <w:tcW w:w="0" w:type="auto"/>
            <w:hideMark/>
          </w:tcPr>
          <w:p w14:paraId="7E465EC5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 (0.1)</w:t>
            </w:r>
          </w:p>
        </w:tc>
        <w:tc>
          <w:tcPr>
            <w:tcW w:w="0" w:type="auto"/>
            <w:hideMark/>
          </w:tcPr>
          <w:p w14:paraId="6CAEAB51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 (0.1)</w:t>
            </w:r>
          </w:p>
        </w:tc>
      </w:tr>
      <w:tr w:rsidR="00F309C2" w:rsidRPr="00A71A89" w14:paraId="13E1F3BD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214028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lastRenderedPageBreak/>
              <w:t>Cognitive Impairment, Other Reasons, n (%)</w:t>
            </w:r>
          </w:p>
        </w:tc>
        <w:tc>
          <w:tcPr>
            <w:tcW w:w="0" w:type="auto"/>
            <w:hideMark/>
          </w:tcPr>
          <w:p w14:paraId="15A6E6FF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10 (5.0)</w:t>
            </w:r>
          </w:p>
        </w:tc>
        <w:tc>
          <w:tcPr>
            <w:tcW w:w="0" w:type="auto"/>
            <w:hideMark/>
          </w:tcPr>
          <w:p w14:paraId="3EF87B69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17 (2.0)</w:t>
            </w:r>
          </w:p>
        </w:tc>
        <w:tc>
          <w:tcPr>
            <w:tcW w:w="0" w:type="auto"/>
            <w:hideMark/>
          </w:tcPr>
          <w:p w14:paraId="5DA33C84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20 (1.4)</w:t>
            </w:r>
          </w:p>
        </w:tc>
        <w:tc>
          <w:tcPr>
            <w:tcW w:w="0" w:type="auto"/>
            <w:hideMark/>
          </w:tcPr>
          <w:p w14:paraId="5A5577D5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20 (1.0)</w:t>
            </w:r>
          </w:p>
        </w:tc>
        <w:tc>
          <w:tcPr>
            <w:tcW w:w="0" w:type="auto"/>
            <w:hideMark/>
          </w:tcPr>
          <w:p w14:paraId="1BE30517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11 (0.8)</w:t>
            </w:r>
          </w:p>
        </w:tc>
        <w:tc>
          <w:tcPr>
            <w:tcW w:w="0" w:type="auto"/>
            <w:hideMark/>
          </w:tcPr>
          <w:p w14:paraId="6F470D9B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78 (1.3)</w:t>
            </w:r>
          </w:p>
        </w:tc>
      </w:tr>
      <w:tr w:rsidR="00F309C2" w:rsidRPr="00A71A89" w14:paraId="633D2334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5059DF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Not Cognitively Impaired, n (%)</w:t>
            </w:r>
          </w:p>
        </w:tc>
        <w:tc>
          <w:tcPr>
            <w:tcW w:w="0" w:type="auto"/>
            <w:hideMark/>
          </w:tcPr>
          <w:p w14:paraId="4B94B367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9 (4.5)</w:t>
            </w:r>
          </w:p>
        </w:tc>
        <w:tc>
          <w:tcPr>
            <w:tcW w:w="0" w:type="auto"/>
            <w:hideMark/>
          </w:tcPr>
          <w:p w14:paraId="22B345C5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21 (2.5)</w:t>
            </w:r>
          </w:p>
        </w:tc>
        <w:tc>
          <w:tcPr>
            <w:tcW w:w="0" w:type="auto"/>
            <w:hideMark/>
          </w:tcPr>
          <w:p w14:paraId="528857C1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100 (7.1)</w:t>
            </w:r>
          </w:p>
        </w:tc>
        <w:tc>
          <w:tcPr>
            <w:tcW w:w="0" w:type="auto"/>
            <w:hideMark/>
          </w:tcPr>
          <w:p w14:paraId="539B6200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255 (12.5)</w:t>
            </w:r>
          </w:p>
        </w:tc>
        <w:tc>
          <w:tcPr>
            <w:tcW w:w="0" w:type="auto"/>
            <w:hideMark/>
          </w:tcPr>
          <w:p w14:paraId="0B0B8081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295 (21.7)</w:t>
            </w:r>
          </w:p>
        </w:tc>
        <w:tc>
          <w:tcPr>
            <w:tcW w:w="0" w:type="auto"/>
            <w:hideMark/>
          </w:tcPr>
          <w:p w14:paraId="534D9AEC" w14:textId="77777777" w:rsidR="00F309C2" w:rsidRPr="00A71A89" w:rsidRDefault="00F309C2" w:rsidP="00B16F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680 (11.6)</w:t>
            </w:r>
          </w:p>
        </w:tc>
      </w:tr>
      <w:tr w:rsidR="00F309C2" w:rsidRPr="00A71A89" w14:paraId="1CD8A523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7C6911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Missing/Unknown, n (%)</w:t>
            </w:r>
          </w:p>
        </w:tc>
        <w:tc>
          <w:tcPr>
            <w:tcW w:w="0" w:type="auto"/>
            <w:hideMark/>
          </w:tcPr>
          <w:p w14:paraId="2ED78F96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6 (3.0)</w:t>
            </w:r>
          </w:p>
        </w:tc>
        <w:tc>
          <w:tcPr>
            <w:tcW w:w="0" w:type="auto"/>
            <w:hideMark/>
          </w:tcPr>
          <w:p w14:paraId="1EAC423D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12 (1.4)</w:t>
            </w:r>
          </w:p>
        </w:tc>
        <w:tc>
          <w:tcPr>
            <w:tcW w:w="0" w:type="auto"/>
            <w:hideMark/>
          </w:tcPr>
          <w:p w14:paraId="5175E258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18 (1.3)</w:t>
            </w:r>
          </w:p>
        </w:tc>
        <w:tc>
          <w:tcPr>
            <w:tcW w:w="0" w:type="auto"/>
            <w:hideMark/>
          </w:tcPr>
          <w:p w14:paraId="32792F0C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31 (1.5)</w:t>
            </w:r>
          </w:p>
        </w:tc>
        <w:tc>
          <w:tcPr>
            <w:tcW w:w="0" w:type="auto"/>
            <w:hideMark/>
          </w:tcPr>
          <w:p w14:paraId="6E0EBA78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39 (2.9)</w:t>
            </w:r>
          </w:p>
        </w:tc>
        <w:tc>
          <w:tcPr>
            <w:tcW w:w="0" w:type="auto"/>
            <w:hideMark/>
          </w:tcPr>
          <w:p w14:paraId="46148900" w14:textId="77777777" w:rsidR="00F309C2" w:rsidRPr="00A71A89" w:rsidRDefault="00F309C2" w:rsidP="00B16F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71A89">
              <w:rPr>
                <w:sz w:val="22"/>
                <w:szCs w:val="22"/>
              </w:rPr>
              <w:t>106 (1.8)</w:t>
            </w:r>
          </w:p>
        </w:tc>
      </w:tr>
      <w:tr w:rsidR="00F309C2" w:rsidRPr="00DB6AF8" w14:paraId="36BF9ED5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</w:tcPr>
          <w:p w14:paraId="3E43E4EA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This table presents the percentages of various pre-mortem clinical etiological diagnoses stratified by age groups (50–59 years, 60–69 years, 70–79 years, 80–89 years, and 90+ years) along with the overall percentages. Each row represents a specific diagnosis, with the corresponding counts (N) and percentages (%) for each age group and the overall population (N=5843).</w:t>
            </w:r>
          </w:p>
          <w:p w14:paraId="4DB1BD7F" w14:textId="77777777" w:rsidR="00F309C2" w:rsidRPr="00DB6AF8" w:rsidRDefault="00F309C2" w:rsidP="00B16FB2">
            <w:pPr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Abbreviations: AD Alzheimer’s Disease; LBD Lewy Body Disease; PSP Progressive Supranuclear Palsy; CBD Corticobasal Degeneration; FTLD Frontotemporal Lobar Degeneration; ALS Amyotrophic Lateral Sclerosis; TBI Traumatic Brain Injury; CNS Central Nervous System; CAA Cerebral Amyloid Angiopathy; VBI Vascular Brain Injury;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DB6AF8">
              <w:rPr>
                <w:b w:val="0"/>
                <w:bCs w:val="0"/>
                <w:sz w:val="22"/>
                <w:szCs w:val="22"/>
              </w:rPr>
              <w:t>NPH Normal Pressure Hydrocephalus; MCI Mild Cognitive Impairment.</w:t>
            </w:r>
          </w:p>
        </w:tc>
      </w:tr>
    </w:tbl>
    <w:p w14:paraId="6BAC59AC" w14:textId="77777777" w:rsidR="007020B5" w:rsidRDefault="007020B5"/>
    <w:sectPr w:rsidR="007020B5" w:rsidSect="00F309C2">
      <w:footerReference w:type="even" r:id="rId4"/>
      <w:footerReference w:type="default" r:id="rId5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71056518"/>
      <w:docPartObj>
        <w:docPartGallery w:val="Page Numbers (Bottom of Page)"/>
        <w:docPartUnique/>
      </w:docPartObj>
    </w:sdtPr>
    <w:sdtContent>
      <w:p w14:paraId="68D28445" w14:textId="77777777" w:rsidR="00000000" w:rsidRDefault="00000000" w:rsidP="008B77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F294306" w14:textId="77777777" w:rsidR="00000000" w:rsidRDefault="00000000" w:rsidP="00E20F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27762801"/>
      <w:docPartObj>
        <w:docPartGallery w:val="Page Numbers (Bottom of Page)"/>
        <w:docPartUnique/>
      </w:docPartObj>
    </w:sdtPr>
    <w:sdtContent>
      <w:p w14:paraId="390C1714" w14:textId="77777777" w:rsidR="00000000" w:rsidRDefault="00000000" w:rsidP="008B77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DE25A5" w14:textId="77777777" w:rsidR="00000000" w:rsidRDefault="00000000" w:rsidP="00E20F43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C2"/>
    <w:rsid w:val="000D5D24"/>
    <w:rsid w:val="00242F61"/>
    <w:rsid w:val="005E09CA"/>
    <w:rsid w:val="00636909"/>
    <w:rsid w:val="007020B5"/>
    <w:rsid w:val="00A73041"/>
    <w:rsid w:val="00B07465"/>
    <w:rsid w:val="00BD70C7"/>
    <w:rsid w:val="00F309C2"/>
    <w:rsid w:val="00FA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84DDB"/>
  <w15:chartTrackingRefBased/>
  <w15:docId w15:val="{DA728131-23B2-6D4C-92D4-7F1A4318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9C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09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9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9C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9C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9C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9C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9C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9C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9C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9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9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9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9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9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9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9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9C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9C2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9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9C2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9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9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9C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309C2"/>
    <w:rPr>
      <w:b/>
      <w:bCs/>
    </w:rPr>
  </w:style>
  <w:style w:type="paragraph" w:styleId="NormalWeb">
    <w:name w:val="Normal (Web)"/>
    <w:basedOn w:val="Normal"/>
    <w:uiPriority w:val="99"/>
    <w:unhideWhenUsed/>
    <w:rsid w:val="00F309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30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9C2"/>
  </w:style>
  <w:style w:type="table" w:styleId="PlainTable2">
    <w:name w:val="Plain Table 2"/>
    <w:basedOn w:val="TableNormal"/>
    <w:uiPriority w:val="42"/>
    <w:rsid w:val="00F309C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F309C2"/>
  </w:style>
  <w:style w:type="character" w:styleId="Emphasis">
    <w:name w:val="Emphasis"/>
    <w:basedOn w:val="DefaultParagraphFont"/>
    <w:uiPriority w:val="20"/>
    <w:qFormat/>
    <w:rsid w:val="00F309C2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F30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Cellas Hayes</dc:creator>
  <cp:keywords/>
  <dc:description/>
  <cp:lastModifiedBy>Cellas Hayes</cp:lastModifiedBy>
  <cp:revision>1</cp:revision>
  <dcterms:created xsi:type="dcterms:W3CDTF">2025-03-14T03:29:00Z</dcterms:created>
  <dcterms:modified xsi:type="dcterms:W3CDTF">2025-03-14T03:30:00Z</dcterms:modified>
</cp:coreProperties>
</file>