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9270" w:type="dxa"/>
        <w:tblLook w:val="04A0" w:firstRow="1" w:lastRow="0" w:firstColumn="1" w:lastColumn="0" w:noHBand="0" w:noVBand="1"/>
      </w:tblPr>
      <w:tblGrid>
        <w:gridCol w:w="1702"/>
        <w:gridCol w:w="1387"/>
        <w:gridCol w:w="1194"/>
        <w:gridCol w:w="949"/>
        <w:gridCol w:w="1376"/>
        <w:gridCol w:w="1291"/>
        <w:gridCol w:w="1461"/>
      </w:tblGrid>
      <w:tr w:rsidR="00A42C82" w:rsidRPr="00475A44" w14:paraId="0F70E516" w14:textId="77777777" w:rsidTr="00B16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0" w:type="dxa"/>
            <w:gridSpan w:val="7"/>
            <w:noWrap/>
          </w:tcPr>
          <w:p w14:paraId="0B6727DC" w14:textId="77777777" w:rsidR="00A42C82" w:rsidRPr="00475A44" w:rsidRDefault="00A42C82" w:rsidP="00B16FB2">
            <w:pPr>
              <w:rPr>
                <w:color w:val="000000" w:themeColor="text1"/>
                <w:sz w:val="20"/>
                <w:szCs w:val="20"/>
              </w:rPr>
            </w:pPr>
            <w:r w:rsidRPr="00475A44">
              <w:rPr>
                <w:color w:val="000000" w:themeColor="text1"/>
                <w:sz w:val="20"/>
                <w:szCs w:val="20"/>
              </w:rPr>
              <w:t xml:space="preserve">Supplementary Table 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475A44">
              <w:rPr>
                <w:color w:val="000000" w:themeColor="text1"/>
                <w:sz w:val="20"/>
                <w:szCs w:val="20"/>
              </w:rPr>
              <w:t xml:space="preserve">: Interaction Associations of Sex, </w:t>
            </w:r>
            <w:r w:rsidRPr="00475A44">
              <w:rPr>
                <w:i/>
                <w:iCs/>
                <w:color w:val="000000" w:themeColor="text1"/>
                <w:sz w:val="20"/>
                <w:szCs w:val="20"/>
              </w:rPr>
              <w:t>APOE ε4</w:t>
            </w:r>
            <w:r w:rsidRPr="00475A44">
              <w:rPr>
                <w:color w:val="000000" w:themeColor="text1"/>
                <w:sz w:val="20"/>
                <w:szCs w:val="20"/>
              </w:rPr>
              <w:t>, and Age at Death on Prevalence Rate of Neuropathology</w:t>
            </w:r>
          </w:p>
        </w:tc>
      </w:tr>
      <w:tr w:rsidR="00A42C82" w:rsidRPr="00475A44" w14:paraId="003E95CB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79113F60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>Outcome and Sample Size</w:t>
            </w:r>
          </w:p>
        </w:tc>
        <w:tc>
          <w:tcPr>
            <w:tcW w:w="1452" w:type="dxa"/>
            <w:noWrap/>
            <w:hideMark/>
          </w:tcPr>
          <w:p w14:paraId="25B94388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i/>
                <w:iCs/>
                <w:color w:val="000000"/>
                <w:sz w:val="20"/>
                <w:szCs w:val="20"/>
              </w:rPr>
              <w:t xml:space="preserve">APOE ε4 </w:t>
            </w:r>
            <w:r w:rsidRPr="00475A44">
              <w:rPr>
                <w:i/>
                <w:iCs/>
                <w:color w:val="000000"/>
                <w:sz w:val="20"/>
                <w:szCs w:val="20"/>
              </w:rPr>
              <w:br/>
            </w:r>
            <w:r w:rsidRPr="00475A44">
              <w:rPr>
                <w:sz w:val="20"/>
                <w:szCs w:val="20"/>
              </w:rPr>
              <w:t>PRR (95% CI), p-value</w:t>
            </w:r>
          </w:p>
        </w:tc>
        <w:tc>
          <w:tcPr>
            <w:tcW w:w="1248" w:type="dxa"/>
            <w:noWrap/>
            <w:hideMark/>
          </w:tcPr>
          <w:p w14:paraId="4F608369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 xml:space="preserve">Age at Death </w:t>
            </w:r>
          </w:p>
          <w:p w14:paraId="449E262A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>PRR (95% CI), p-value</w:t>
            </w:r>
          </w:p>
        </w:tc>
        <w:tc>
          <w:tcPr>
            <w:tcW w:w="990" w:type="dxa"/>
            <w:noWrap/>
            <w:hideMark/>
          </w:tcPr>
          <w:p w14:paraId="022AFCFE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 xml:space="preserve">Sex (Male vs. Female) </w:t>
            </w:r>
            <w:r w:rsidRPr="00475A44">
              <w:rPr>
                <w:sz w:val="20"/>
                <w:szCs w:val="20"/>
              </w:rPr>
              <w:t>PRR (95% CI), p-value</w:t>
            </w:r>
          </w:p>
        </w:tc>
        <w:tc>
          <w:tcPr>
            <w:tcW w:w="1440" w:type="dxa"/>
            <w:noWrap/>
            <w:hideMark/>
          </w:tcPr>
          <w:p w14:paraId="463846A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75A44">
              <w:rPr>
                <w:i/>
                <w:iCs/>
                <w:color w:val="000000"/>
                <w:sz w:val="20"/>
                <w:szCs w:val="20"/>
              </w:rPr>
              <w:t>APOE ε4 *</w:t>
            </w:r>
            <w:r w:rsidRPr="00475A44">
              <w:rPr>
                <w:sz w:val="20"/>
                <w:szCs w:val="20"/>
              </w:rPr>
              <w:t xml:space="preserve"> Age at Death </w:t>
            </w:r>
          </w:p>
          <w:p w14:paraId="77FC7A12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>PRR (95% CI), p-value</w:t>
            </w:r>
          </w:p>
        </w:tc>
        <w:tc>
          <w:tcPr>
            <w:tcW w:w="1350" w:type="dxa"/>
            <w:noWrap/>
            <w:hideMark/>
          </w:tcPr>
          <w:p w14:paraId="2BE3F4DC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 xml:space="preserve">Sex * Age at Death </w:t>
            </w:r>
          </w:p>
          <w:p w14:paraId="63355A2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>PRR (95% CI), p-value</w:t>
            </w:r>
          </w:p>
        </w:tc>
        <w:tc>
          <w:tcPr>
            <w:tcW w:w="1530" w:type="dxa"/>
            <w:noWrap/>
            <w:hideMark/>
          </w:tcPr>
          <w:p w14:paraId="10D1BB1B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 xml:space="preserve">Sex * </w:t>
            </w:r>
            <w:r w:rsidRPr="00475A44">
              <w:rPr>
                <w:i/>
                <w:iCs/>
                <w:color w:val="000000"/>
                <w:sz w:val="20"/>
                <w:szCs w:val="20"/>
              </w:rPr>
              <w:t>APOE ε4 *</w:t>
            </w:r>
            <w:r w:rsidRPr="00475A44">
              <w:rPr>
                <w:color w:val="000000"/>
                <w:sz w:val="20"/>
                <w:szCs w:val="20"/>
              </w:rPr>
              <w:t xml:space="preserve"> </w:t>
            </w:r>
            <w:r w:rsidRPr="00475A44">
              <w:rPr>
                <w:sz w:val="20"/>
                <w:szCs w:val="20"/>
              </w:rPr>
              <w:t xml:space="preserve">Age at Death </w:t>
            </w:r>
          </w:p>
          <w:p w14:paraId="5903C237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sz w:val="20"/>
                <w:szCs w:val="20"/>
              </w:rPr>
              <w:t>PRR (95% CI), p-value</w:t>
            </w:r>
          </w:p>
        </w:tc>
      </w:tr>
      <w:tr w:rsidR="00A42C82" w:rsidRPr="00475A44" w14:paraId="624A9263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7C05501A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 xml:space="preserve">Neuritic plaques, </w:t>
            </w: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>N=5763</w:t>
            </w:r>
          </w:p>
        </w:tc>
        <w:tc>
          <w:tcPr>
            <w:tcW w:w="1452" w:type="dxa"/>
            <w:noWrap/>
            <w:vAlign w:val="bottom"/>
            <w:hideMark/>
          </w:tcPr>
          <w:p w14:paraId="72DF00F6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2.81 (2.02 - 3.91), p&lt;0.001</w:t>
            </w:r>
          </w:p>
        </w:tc>
        <w:tc>
          <w:tcPr>
            <w:tcW w:w="1248" w:type="dxa"/>
            <w:noWrap/>
            <w:vAlign w:val="bottom"/>
            <w:hideMark/>
          </w:tcPr>
          <w:p w14:paraId="7034CDD5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1.01 (1.01 - 1.02),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34C956F2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1.54 (1.03 - 2.30), p=0.03</w:t>
            </w:r>
          </w:p>
        </w:tc>
        <w:tc>
          <w:tcPr>
            <w:tcW w:w="1440" w:type="dxa"/>
            <w:noWrap/>
            <w:vAlign w:val="bottom"/>
            <w:hideMark/>
          </w:tcPr>
          <w:p w14:paraId="2B19516A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0.99 (0.99 - 1.00), p&lt;0.001</w:t>
            </w:r>
          </w:p>
        </w:tc>
        <w:tc>
          <w:tcPr>
            <w:tcW w:w="1350" w:type="dxa"/>
            <w:noWrap/>
            <w:vAlign w:val="bottom"/>
            <w:hideMark/>
          </w:tcPr>
          <w:p w14:paraId="05551EA3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0.80 (0.50 - 1.27), p=0.34</w:t>
            </w:r>
          </w:p>
        </w:tc>
        <w:tc>
          <w:tcPr>
            <w:tcW w:w="1530" w:type="dxa"/>
            <w:noWrap/>
            <w:vAlign w:val="bottom"/>
            <w:hideMark/>
          </w:tcPr>
          <w:p w14:paraId="2D84FF80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1.00 (0.99 - 1.00), p=0.04</w:t>
            </w:r>
          </w:p>
        </w:tc>
      </w:tr>
      <w:tr w:rsidR="00A42C82" w:rsidRPr="00475A44" w14:paraId="28FA0377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61DEC557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 xml:space="preserve">Braak staging, </w:t>
            </w: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>N=5678</w:t>
            </w:r>
          </w:p>
        </w:tc>
        <w:tc>
          <w:tcPr>
            <w:tcW w:w="1452" w:type="dxa"/>
            <w:noWrap/>
            <w:vAlign w:val="bottom"/>
            <w:hideMark/>
          </w:tcPr>
          <w:p w14:paraId="3A459198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1.69 (1.41 - 2.03), p&lt;0.001</w:t>
            </w:r>
          </w:p>
        </w:tc>
        <w:tc>
          <w:tcPr>
            <w:tcW w:w="1248" w:type="dxa"/>
            <w:noWrap/>
            <w:vAlign w:val="bottom"/>
            <w:hideMark/>
          </w:tcPr>
          <w:p w14:paraId="19EF38C8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1.01 (1.01 - 1.01),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09620BDA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0.98 (0.78 - 1.24), p=0.89</w:t>
            </w:r>
          </w:p>
        </w:tc>
        <w:tc>
          <w:tcPr>
            <w:tcW w:w="1440" w:type="dxa"/>
            <w:noWrap/>
            <w:vAlign w:val="bottom"/>
            <w:hideMark/>
          </w:tcPr>
          <w:p w14:paraId="116D70B5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0.99 (0.99 - 1.00), p&lt;0.001</w:t>
            </w:r>
          </w:p>
        </w:tc>
        <w:tc>
          <w:tcPr>
            <w:tcW w:w="1350" w:type="dxa"/>
            <w:noWrap/>
            <w:vAlign w:val="bottom"/>
            <w:hideMark/>
          </w:tcPr>
          <w:p w14:paraId="2E89804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1.13 (0.86 - 1.46), p=0.38</w:t>
            </w:r>
          </w:p>
        </w:tc>
        <w:tc>
          <w:tcPr>
            <w:tcW w:w="1530" w:type="dxa"/>
            <w:noWrap/>
            <w:vAlign w:val="bottom"/>
            <w:hideMark/>
          </w:tcPr>
          <w:p w14:paraId="6C0C2526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(1.00 - 1.00), p=0.96</w:t>
            </w:r>
          </w:p>
        </w:tc>
      </w:tr>
      <w:tr w:rsidR="00A42C82" w:rsidRPr="00475A44" w14:paraId="2071672B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1A63ABD9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Diffuse plaques, N=5298</w:t>
            </w:r>
          </w:p>
        </w:tc>
        <w:tc>
          <w:tcPr>
            <w:tcW w:w="1452" w:type="dxa"/>
            <w:noWrap/>
            <w:vAlign w:val="bottom"/>
            <w:hideMark/>
          </w:tcPr>
          <w:p w14:paraId="7CC45F79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2.03 (1.56 - 2.63), p&lt;0.001</w:t>
            </w:r>
          </w:p>
        </w:tc>
        <w:tc>
          <w:tcPr>
            <w:tcW w:w="1248" w:type="dxa"/>
            <w:noWrap/>
            <w:vAlign w:val="bottom"/>
            <w:hideMark/>
          </w:tcPr>
          <w:p w14:paraId="148F9547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1.01 (1.01 - 1.01),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635E830E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1.30 (0.94 - 1.81), p=0.11</w:t>
            </w:r>
          </w:p>
        </w:tc>
        <w:tc>
          <w:tcPr>
            <w:tcW w:w="1440" w:type="dxa"/>
            <w:noWrap/>
            <w:vAlign w:val="bottom"/>
            <w:hideMark/>
          </w:tcPr>
          <w:p w14:paraId="3BD6AE1E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0.99 (0.99 - 1.00), p&lt;0.001</w:t>
            </w:r>
          </w:p>
        </w:tc>
        <w:tc>
          <w:tcPr>
            <w:tcW w:w="1350" w:type="dxa"/>
            <w:noWrap/>
            <w:vAlign w:val="bottom"/>
            <w:hideMark/>
          </w:tcPr>
          <w:p w14:paraId="35E27C4E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0.82 (0.56 - 1.19), p=0.30</w:t>
            </w:r>
          </w:p>
        </w:tc>
        <w:tc>
          <w:tcPr>
            <w:tcW w:w="1530" w:type="dxa"/>
            <w:noWrap/>
            <w:vAlign w:val="bottom"/>
            <w:hideMark/>
          </w:tcPr>
          <w:p w14:paraId="4CC79A25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(0.99 - 1.00), p=0.13</w:t>
            </w:r>
          </w:p>
        </w:tc>
      </w:tr>
      <w:tr w:rsidR="00A42C82" w:rsidRPr="00475A44" w14:paraId="35A6F1FF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398F9B69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 xml:space="preserve">LBD pathology, </w:t>
            </w: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>N=5523</w:t>
            </w:r>
          </w:p>
        </w:tc>
        <w:tc>
          <w:tcPr>
            <w:tcW w:w="1452" w:type="dxa"/>
            <w:noWrap/>
            <w:vAlign w:val="bottom"/>
            <w:hideMark/>
          </w:tcPr>
          <w:p w14:paraId="5549ED3A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4.04 (2.00 - 8.17), p&lt;0.001</w:t>
            </w:r>
          </w:p>
        </w:tc>
        <w:tc>
          <w:tcPr>
            <w:tcW w:w="1248" w:type="dxa"/>
            <w:noWrap/>
            <w:vAlign w:val="bottom"/>
            <w:hideMark/>
          </w:tcPr>
          <w:p w14:paraId="101E9AF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(1.00 - 1.01), p=0.15</w:t>
            </w:r>
          </w:p>
        </w:tc>
        <w:tc>
          <w:tcPr>
            <w:tcW w:w="990" w:type="dxa"/>
            <w:noWrap/>
            <w:vAlign w:val="bottom"/>
            <w:hideMark/>
          </w:tcPr>
          <w:p w14:paraId="012CE2B6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1.31 (0.57 - 3.00), p=0.53</w:t>
            </w:r>
          </w:p>
        </w:tc>
        <w:tc>
          <w:tcPr>
            <w:tcW w:w="1440" w:type="dxa"/>
            <w:noWrap/>
            <w:vAlign w:val="bottom"/>
            <w:hideMark/>
          </w:tcPr>
          <w:p w14:paraId="32020AD4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0.99 (0.98 - 0.99), p=0.002</w:t>
            </w:r>
          </w:p>
        </w:tc>
        <w:tc>
          <w:tcPr>
            <w:tcW w:w="1350" w:type="dxa"/>
            <w:noWrap/>
            <w:vAlign w:val="bottom"/>
            <w:hideMark/>
          </w:tcPr>
          <w:p w14:paraId="13662F07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0.51 (0.17 - 1.54), p=0.23</w:t>
            </w:r>
          </w:p>
        </w:tc>
        <w:tc>
          <w:tcPr>
            <w:tcW w:w="1530" w:type="dxa"/>
            <w:noWrap/>
            <w:vAlign w:val="bottom"/>
            <w:hideMark/>
          </w:tcPr>
          <w:p w14:paraId="5226CD83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0.99 (0.98 - 1.00), p=0.15</w:t>
            </w:r>
          </w:p>
        </w:tc>
      </w:tr>
      <w:tr w:rsidR="00A42C82" w:rsidRPr="00475A44" w14:paraId="278E47D7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609E85DF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TDP-43, N=2049</w:t>
            </w:r>
          </w:p>
        </w:tc>
        <w:tc>
          <w:tcPr>
            <w:tcW w:w="1452" w:type="dxa"/>
            <w:noWrap/>
            <w:vAlign w:val="bottom"/>
            <w:hideMark/>
          </w:tcPr>
          <w:p w14:paraId="3C82ABBB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0.28 (0.09 - 0.82), p=0.02</w:t>
            </w:r>
          </w:p>
        </w:tc>
        <w:tc>
          <w:tcPr>
            <w:tcW w:w="1248" w:type="dxa"/>
            <w:noWrap/>
            <w:vAlign w:val="bottom"/>
            <w:hideMark/>
          </w:tcPr>
          <w:p w14:paraId="7C02F81A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1.01 (1.00 - 1.01), p=0.20</w:t>
            </w:r>
          </w:p>
        </w:tc>
        <w:tc>
          <w:tcPr>
            <w:tcW w:w="990" w:type="dxa"/>
            <w:noWrap/>
            <w:vAlign w:val="bottom"/>
            <w:hideMark/>
          </w:tcPr>
          <w:p w14:paraId="18F4EF1D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0.88 (0.31 - 2.47), p=0.81</w:t>
            </w:r>
          </w:p>
        </w:tc>
        <w:tc>
          <w:tcPr>
            <w:tcW w:w="1440" w:type="dxa"/>
            <w:noWrap/>
            <w:vAlign w:val="bottom"/>
            <w:hideMark/>
          </w:tcPr>
          <w:p w14:paraId="0785F425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1.02 (1.01 - 1.03), p=0.007</w:t>
            </w:r>
          </w:p>
        </w:tc>
        <w:tc>
          <w:tcPr>
            <w:tcW w:w="1350" w:type="dxa"/>
            <w:noWrap/>
            <w:vAlign w:val="bottom"/>
            <w:hideMark/>
          </w:tcPr>
          <w:p w14:paraId="38F3E34B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5.97 (1.37 - 26.00), p=0.02</w:t>
            </w:r>
          </w:p>
        </w:tc>
        <w:tc>
          <w:tcPr>
            <w:tcW w:w="1530" w:type="dxa"/>
            <w:noWrap/>
            <w:vAlign w:val="bottom"/>
            <w:hideMark/>
          </w:tcPr>
          <w:p w14:paraId="7F638265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(0.99 - 1.01), p=0.78</w:t>
            </w:r>
          </w:p>
        </w:tc>
      </w:tr>
      <w:tr w:rsidR="00A42C82" w:rsidRPr="00475A44" w14:paraId="740A27AF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1866D335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Hippocampal sclerosis, N=3212</w:t>
            </w:r>
          </w:p>
        </w:tc>
        <w:tc>
          <w:tcPr>
            <w:tcW w:w="1452" w:type="dxa"/>
            <w:noWrap/>
            <w:vAlign w:val="bottom"/>
            <w:hideMark/>
          </w:tcPr>
          <w:p w14:paraId="3BC15266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0.28 (0.04 - 1.88), p=0.19</w:t>
            </w:r>
          </w:p>
        </w:tc>
        <w:tc>
          <w:tcPr>
            <w:tcW w:w="1248" w:type="dxa"/>
            <w:noWrap/>
            <w:vAlign w:val="bottom"/>
            <w:hideMark/>
          </w:tcPr>
          <w:p w14:paraId="0282EB19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1.02 (1.00 - 1.03), p=0.04</w:t>
            </w:r>
          </w:p>
        </w:tc>
        <w:tc>
          <w:tcPr>
            <w:tcW w:w="990" w:type="dxa"/>
            <w:noWrap/>
            <w:vAlign w:val="bottom"/>
            <w:hideMark/>
          </w:tcPr>
          <w:p w14:paraId="7381E1F7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0.87 (0.13 - 5.66), p=0.88</w:t>
            </w:r>
          </w:p>
        </w:tc>
        <w:tc>
          <w:tcPr>
            <w:tcW w:w="1440" w:type="dxa"/>
            <w:noWrap/>
            <w:vAlign w:val="bottom"/>
            <w:hideMark/>
          </w:tcPr>
          <w:p w14:paraId="58C6B04D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1.02 (0.99 - 1.04), p=0.18</w:t>
            </w:r>
          </w:p>
        </w:tc>
        <w:tc>
          <w:tcPr>
            <w:tcW w:w="1350" w:type="dxa"/>
            <w:noWrap/>
            <w:vAlign w:val="bottom"/>
            <w:hideMark/>
          </w:tcPr>
          <w:p w14:paraId="59665635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5.01 (0.34 - 72.79), p=0.24</w:t>
            </w:r>
          </w:p>
        </w:tc>
        <w:tc>
          <w:tcPr>
            <w:tcW w:w="1530" w:type="dxa"/>
            <w:noWrap/>
            <w:vAlign w:val="bottom"/>
            <w:hideMark/>
          </w:tcPr>
          <w:p w14:paraId="46062019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(0.98 - 1.02), p=0.96</w:t>
            </w:r>
          </w:p>
        </w:tc>
      </w:tr>
      <w:tr w:rsidR="00A42C82" w:rsidRPr="00475A44" w14:paraId="03153B5A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44A16527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Arteriolosclerosis, N=5195</w:t>
            </w:r>
          </w:p>
        </w:tc>
        <w:tc>
          <w:tcPr>
            <w:tcW w:w="1452" w:type="dxa"/>
            <w:noWrap/>
            <w:vAlign w:val="bottom"/>
            <w:hideMark/>
          </w:tcPr>
          <w:p w14:paraId="7EB25751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0.80 (0.59 - 1.09), p=0.15</w:t>
            </w:r>
          </w:p>
        </w:tc>
        <w:tc>
          <w:tcPr>
            <w:tcW w:w="1248" w:type="dxa"/>
            <w:noWrap/>
            <w:vAlign w:val="bottom"/>
            <w:hideMark/>
          </w:tcPr>
          <w:p w14:paraId="1ACCA993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1.00 (1.00 - 1.01), p=0.006</w:t>
            </w:r>
          </w:p>
        </w:tc>
        <w:tc>
          <w:tcPr>
            <w:tcW w:w="990" w:type="dxa"/>
            <w:noWrap/>
            <w:vAlign w:val="bottom"/>
            <w:hideMark/>
          </w:tcPr>
          <w:p w14:paraId="38923C80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0.79 (0.59 - 1.07), p=0.13</w:t>
            </w:r>
          </w:p>
        </w:tc>
        <w:tc>
          <w:tcPr>
            <w:tcW w:w="1440" w:type="dxa"/>
            <w:noWrap/>
            <w:vAlign w:val="bottom"/>
            <w:hideMark/>
          </w:tcPr>
          <w:p w14:paraId="5D27DB02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(1.00 - 1.01), p=0.11</w:t>
            </w:r>
          </w:p>
        </w:tc>
        <w:tc>
          <w:tcPr>
            <w:tcW w:w="1350" w:type="dxa"/>
            <w:noWrap/>
            <w:vAlign w:val="bottom"/>
            <w:hideMark/>
          </w:tcPr>
          <w:p w14:paraId="5D09B3C4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1.33 (0.86 - 2.08), p=0.20</w:t>
            </w:r>
          </w:p>
        </w:tc>
        <w:tc>
          <w:tcPr>
            <w:tcW w:w="1530" w:type="dxa"/>
            <w:noWrap/>
            <w:vAlign w:val="bottom"/>
            <w:hideMark/>
          </w:tcPr>
          <w:p w14:paraId="58425073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(1.00 - 1.01), p=0.14</w:t>
            </w:r>
          </w:p>
        </w:tc>
      </w:tr>
      <w:tr w:rsidR="00A42C82" w:rsidRPr="00475A44" w14:paraId="5E8221CE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60928A90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Atherosclerosis of the circle of Willis, N=5703</w:t>
            </w:r>
          </w:p>
        </w:tc>
        <w:tc>
          <w:tcPr>
            <w:tcW w:w="1452" w:type="dxa"/>
            <w:noWrap/>
            <w:vAlign w:val="bottom"/>
            <w:hideMark/>
          </w:tcPr>
          <w:p w14:paraId="70DAB038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0.84 (0.58 - 1.20), p=0.33</w:t>
            </w:r>
          </w:p>
        </w:tc>
        <w:tc>
          <w:tcPr>
            <w:tcW w:w="1248" w:type="dxa"/>
            <w:noWrap/>
            <w:vAlign w:val="bottom"/>
            <w:hideMark/>
          </w:tcPr>
          <w:p w14:paraId="10A7597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1.01 (1.01 - 1.02),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7F210811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0.96 (0.68 - 1.36), p=0.83</w:t>
            </w:r>
          </w:p>
        </w:tc>
        <w:tc>
          <w:tcPr>
            <w:tcW w:w="1440" w:type="dxa"/>
            <w:noWrap/>
            <w:vAlign w:val="bottom"/>
            <w:hideMark/>
          </w:tcPr>
          <w:p w14:paraId="313F7774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(1.00 - 1.01), p=0.28</w:t>
            </w:r>
          </w:p>
        </w:tc>
        <w:tc>
          <w:tcPr>
            <w:tcW w:w="1350" w:type="dxa"/>
            <w:noWrap/>
            <w:vAlign w:val="bottom"/>
            <w:hideMark/>
          </w:tcPr>
          <w:p w14:paraId="6AD6599B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1.32 (0.78 - 2.25), p=0.30</w:t>
            </w:r>
          </w:p>
        </w:tc>
        <w:tc>
          <w:tcPr>
            <w:tcW w:w="1530" w:type="dxa"/>
            <w:noWrap/>
            <w:vAlign w:val="bottom"/>
            <w:hideMark/>
          </w:tcPr>
          <w:p w14:paraId="3C387F8D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(1.00 - 1.00), p=0.99</w:t>
            </w:r>
          </w:p>
        </w:tc>
      </w:tr>
      <w:tr w:rsidR="00A42C82" w:rsidRPr="00475A44" w14:paraId="0B630AD1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4157D705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Cerebral Amyloid Angiopathy, N=5672</w:t>
            </w:r>
          </w:p>
        </w:tc>
        <w:tc>
          <w:tcPr>
            <w:tcW w:w="1452" w:type="dxa"/>
            <w:noWrap/>
            <w:vAlign w:val="bottom"/>
            <w:hideMark/>
          </w:tcPr>
          <w:p w14:paraId="61E0A5F8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2.25 (1.42 - 3.57), p&lt;0.001</w:t>
            </w:r>
          </w:p>
        </w:tc>
        <w:tc>
          <w:tcPr>
            <w:tcW w:w="1248" w:type="dxa"/>
            <w:noWrap/>
            <w:vAlign w:val="bottom"/>
            <w:hideMark/>
          </w:tcPr>
          <w:p w14:paraId="024BFC0E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1.01 (1.00 - 1.01),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38115A36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1.16 (0.66 - 2.05), p=0.61</w:t>
            </w:r>
          </w:p>
        </w:tc>
        <w:tc>
          <w:tcPr>
            <w:tcW w:w="1440" w:type="dxa"/>
            <w:noWrap/>
            <w:vAlign w:val="bottom"/>
            <w:hideMark/>
          </w:tcPr>
          <w:p w14:paraId="0CBE9B25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(0.99 - 1.00), p=0.20</w:t>
            </w:r>
          </w:p>
        </w:tc>
        <w:tc>
          <w:tcPr>
            <w:tcW w:w="1350" w:type="dxa"/>
            <w:noWrap/>
            <w:vAlign w:val="bottom"/>
            <w:hideMark/>
          </w:tcPr>
          <w:p w14:paraId="0752968A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1.14 (0.58 - 2.22), p=0.70</w:t>
            </w:r>
          </w:p>
        </w:tc>
        <w:tc>
          <w:tcPr>
            <w:tcW w:w="1530" w:type="dxa"/>
            <w:noWrap/>
            <w:vAlign w:val="bottom"/>
            <w:hideMark/>
          </w:tcPr>
          <w:p w14:paraId="0665D32D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(0.99 - 1.00), p=0.58</w:t>
            </w:r>
          </w:p>
        </w:tc>
      </w:tr>
      <w:tr w:rsidR="00A42C82" w:rsidRPr="00475A44" w14:paraId="16CE8D02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71A2A081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Infarcts/lacunes, N=5732</w:t>
            </w:r>
          </w:p>
        </w:tc>
        <w:tc>
          <w:tcPr>
            <w:tcW w:w="1452" w:type="dxa"/>
            <w:noWrap/>
            <w:vAlign w:val="bottom"/>
            <w:hideMark/>
          </w:tcPr>
          <w:p w14:paraId="06F477FE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0.81 (0.22 - 3.02), p=0.75</w:t>
            </w:r>
          </w:p>
        </w:tc>
        <w:tc>
          <w:tcPr>
            <w:tcW w:w="1248" w:type="dxa"/>
            <w:noWrap/>
            <w:vAlign w:val="bottom"/>
            <w:hideMark/>
          </w:tcPr>
          <w:p w14:paraId="6BABF9CD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1.04 (1.03 - 1.05),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3F9B25F5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1.46 (0.43 - 4.93), p=0.55</w:t>
            </w:r>
          </w:p>
        </w:tc>
        <w:tc>
          <w:tcPr>
            <w:tcW w:w="1440" w:type="dxa"/>
            <w:noWrap/>
            <w:vAlign w:val="bottom"/>
            <w:hideMark/>
          </w:tcPr>
          <w:p w14:paraId="3E0C04D7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(0.99 - 1.02), p=0.74</w:t>
            </w:r>
          </w:p>
        </w:tc>
        <w:tc>
          <w:tcPr>
            <w:tcW w:w="1350" w:type="dxa"/>
            <w:noWrap/>
            <w:vAlign w:val="bottom"/>
            <w:hideMark/>
          </w:tcPr>
          <w:p w14:paraId="6E2287F7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0.93 (0.14 - 6.12), p=0.94</w:t>
            </w:r>
          </w:p>
        </w:tc>
        <w:tc>
          <w:tcPr>
            <w:tcW w:w="1530" w:type="dxa"/>
            <w:noWrap/>
            <w:vAlign w:val="bottom"/>
            <w:hideMark/>
          </w:tcPr>
          <w:p w14:paraId="3DC70318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0.99 (0.98 - 1.01), p=0.45</w:t>
            </w:r>
          </w:p>
        </w:tc>
      </w:tr>
      <w:tr w:rsidR="00A42C82" w:rsidRPr="00475A44" w14:paraId="0E6B19EF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0D043EAD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lastRenderedPageBreak/>
              <w:t>Microinfarcts, N=5734</w:t>
            </w:r>
          </w:p>
        </w:tc>
        <w:tc>
          <w:tcPr>
            <w:tcW w:w="1452" w:type="dxa"/>
            <w:noWrap/>
            <w:vAlign w:val="bottom"/>
            <w:hideMark/>
          </w:tcPr>
          <w:p w14:paraId="76E5281E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1.16 (0.33 - 4.10), p=0.82</w:t>
            </w:r>
          </w:p>
        </w:tc>
        <w:tc>
          <w:tcPr>
            <w:tcW w:w="1248" w:type="dxa"/>
            <w:noWrap/>
            <w:vAlign w:val="bottom"/>
            <w:hideMark/>
          </w:tcPr>
          <w:p w14:paraId="50410CB8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475A44">
              <w:rPr>
                <w:b/>
                <w:bCs/>
                <w:color w:val="000000"/>
                <w:sz w:val="20"/>
                <w:szCs w:val="20"/>
              </w:rPr>
              <w:t>1.04 (1.03 - 1.05), p&lt;0.001</w:t>
            </w:r>
          </w:p>
        </w:tc>
        <w:tc>
          <w:tcPr>
            <w:tcW w:w="990" w:type="dxa"/>
            <w:noWrap/>
            <w:vAlign w:val="bottom"/>
            <w:hideMark/>
          </w:tcPr>
          <w:p w14:paraId="6A91D86A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0.84 (0.27 - 2.67), p=0.77</w:t>
            </w:r>
          </w:p>
        </w:tc>
        <w:tc>
          <w:tcPr>
            <w:tcW w:w="1440" w:type="dxa"/>
            <w:noWrap/>
            <w:vAlign w:val="bottom"/>
            <w:hideMark/>
          </w:tcPr>
          <w:p w14:paraId="78285816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(0.98 - 1.01), p=0.73</w:t>
            </w:r>
          </w:p>
        </w:tc>
        <w:tc>
          <w:tcPr>
            <w:tcW w:w="1350" w:type="dxa"/>
            <w:noWrap/>
            <w:vAlign w:val="bottom"/>
            <w:hideMark/>
          </w:tcPr>
          <w:p w14:paraId="3EC82E51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0.75 (0.12 - 4.56), p=0.75</w:t>
            </w:r>
          </w:p>
        </w:tc>
        <w:tc>
          <w:tcPr>
            <w:tcW w:w="1530" w:type="dxa"/>
            <w:noWrap/>
            <w:vAlign w:val="bottom"/>
            <w:hideMark/>
          </w:tcPr>
          <w:p w14:paraId="20A5A9AD" w14:textId="77777777" w:rsidR="00A42C82" w:rsidRPr="00475A44" w:rsidRDefault="00A42C8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(0.99 - 1.01), p=0.88</w:t>
            </w:r>
          </w:p>
        </w:tc>
      </w:tr>
      <w:tr w:rsidR="00A42C82" w:rsidRPr="00475A44" w14:paraId="5E7D0006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noWrap/>
            <w:hideMark/>
          </w:tcPr>
          <w:p w14:paraId="3DCE8F43" w14:textId="77777777" w:rsidR="00A42C82" w:rsidRPr="00475A44" w:rsidRDefault="00A42C82" w:rsidP="00B16FB2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Hemorrhages/ microbleeds, N=5622</w:t>
            </w:r>
          </w:p>
        </w:tc>
        <w:tc>
          <w:tcPr>
            <w:tcW w:w="1452" w:type="dxa"/>
            <w:noWrap/>
            <w:vAlign w:val="bottom"/>
            <w:hideMark/>
          </w:tcPr>
          <w:p w14:paraId="385AC1FA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0.19 (0.02 - 1.84), p=0.15</w:t>
            </w:r>
          </w:p>
        </w:tc>
        <w:tc>
          <w:tcPr>
            <w:tcW w:w="1248" w:type="dxa"/>
            <w:noWrap/>
            <w:vAlign w:val="bottom"/>
            <w:hideMark/>
          </w:tcPr>
          <w:p w14:paraId="0CD055FC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1.00 (0.98 - 1.02), p=0.89</w:t>
            </w:r>
          </w:p>
        </w:tc>
        <w:tc>
          <w:tcPr>
            <w:tcW w:w="990" w:type="dxa"/>
            <w:noWrap/>
            <w:vAlign w:val="bottom"/>
            <w:hideMark/>
          </w:tcPr>
          <w:p w14:paraId="2F7F66EF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1.73 (0.27 - 11.16), p=0.57</w:t>
            </w:r>
          </w:p>
        </w:tc>
        <w:tc>
          <w:tcPr>
            <w:tcW w:w="1440" w:type="dxa"/>
            <w:noWrap/>
            <w:vAlign w:val="bottom"/>
            <w:hideMark/>
          </w:tcPr>
          <w:p w14:paraId="459CB61E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1.02 (0.99 - 1.05), p=0.17</w:t>
            </w:r>
          </w:p>
        </w:tc>
        <w:tc>
          <w:tcPr>
            <w:tcW w:w="1350" w:type="dxa"/>
            <w:noWrap/>
            <w:vAlign w:val="bottom"/>
            <w:hideMark/>
          </w:tcPr>
          <w:p w14:paraId="280367D4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0.40 (0.02 - 8.69), p=0.56</w:t>
            </w:r>
          </w:p>
        </w:tc>
        <w:tc>
          <w:tcPr>
            <w:tcW w:w="1530" w:type="dxa"/>
            <w:noWrap/>
            <w:vAlign w:val="bottom"/>
            <w:hideMark/>
          </w:tcPr>
          <w:p w14:paraId="25B2FC12" w14:textId="77777777" w:rsidR="00A42C82" w:rsidRPr="00475A44" w:rsidRDefault="00A42C8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75A44">
              <w:rPr>
                <w:color w:val="000000"/>
                <w:sz w:val="20"/>
                <w:szCs w:val="20"/>
              </w:rPr>
              <w:t>0.99 (0.97 - 1.02), p=0.53</w:t>
            </w:r>
          </w:p>
        </w:tc>
      </w:tr>
      <w:tr w:rsidR="00A42C82" w:rsidRPr="00475A44" w14:paraId="2D2CB169" w14:textId="77777777" w:rsidTr="00B16FB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0" w:type="dxa"/>
            <w:gridSpan w:val="7"/>
            <w:noWrap/>
          </w:tcPr>
          <w:p w14:paraId="7C76DCF0" w14:textId="77777777" w:rsidR="00A42C82" w:rsidRPr="00475A44" w:rsidRDefault="00A42C82" w:rsidP="00B16FB2">
            <w:pPr>
              <w:rPr>
                <w:b w:val="0"/>
                <w:bCs w:val="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 xml:space="preserve">Model: pathology outcome ~ centered education + sex * </w:t>
            </w:r>
            <w:r w:rsidRPr="00475A44">
              <w:rPr>
                <w:b w:val="0"/>
                <w:bCs w:val="0"/>
                <w:i/>
                <w:iCs/>
                <w:color w:val="000000"/>
                <w:sz w:val="20"/>
                <w:szCs w:val="20"/>
              </w:rPr>
              <w:t>APOE ε4</w:t>
            </w: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 xml:space="preserve"> *</w:t>
            </w:r>
            <w:r w:rsidRPr="00475A44">
              <w:rPr>
                <w:b w:val="0"/>
                <w:bCs w:val="0"/>
                <w:sz w:val="20"/>
                <w:szCs w:val="20"/>
              </w:rPr>
              <w:t xml:space="preserve"> age at death (years). The N represents the total sample size used in the regression model considering that some pathologies were missing in participants. </w:t>
            </w:r>
          </w:p>
          <w:p w14:paraId="7706DF91" w14:textId="77777777" w:rsidR="00A42C82" w:rsidRPr="00475A44" w:rsidRDefault="00A42C82" w:rsidP="00B16FB2">
            <w:pPr>
              <w:rPr>
                <w:b w:val="0"/>
                <w:bCs w:val="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Data are presented as prevalenc</w:t>
            </w:r>
            <w:r>
              <w:rPr>
                <w:b w:val="0"/>
                <w:bCs w:val="0"/>
                <w:sz w:val="20"/>
                <w:szCs w:val="20"/>
              </w:rPr>
              <w:t>e rate</w:t>
            </w:r>
            <w:r w:rsidRPr="00475A44">
              <w:rPr>
                <w:b w:val="0"/>
                <w:bCs w:val="0"/>
                <w:sz w:val="20"/>
                <w:szCs w:val="20"/>
              </w:rPr>
              <w:t xml:space="preserve"> ratios and 95% confidence intervals.</w:t>
            </w:r>
          </w:p>
          <w:p w14:paraId="5DBBAB98" w14:textId="77777777" w:rsidR="00A42C82" w:rsidRPr="00475A44" w:rsidRDefault="00A42C82" w:rsidP="00B16FB2">
            <w:pPr>
              <w:rPr>
                <w:b w:val="0"/>
                <w:bCs w:val="0"/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>Bold indicates significance.</w:t>
            </w:r>
          </w:p>
          <w:p w14:paraId="03B2D20B" w14:textId="77777777" w:rsidR="00A42C82" w:rsidRPr="00475A44" w:rsidRDefault="00A42C82" w:rsidP="00B16FB2">
            <w:pPr>
              <w:rPr>
                <w:sz w:val="20"/>
                <w:szCs w:val="20"/>
              </w:rPr>
            </w:pPr>
            <w:r w:rsidRPr="00475A44">
              <w:rPr>
                <w:b w:val="0"/>
                <w:bCs w:val="0"/>
                <w:sz w:val="20"/>
                <w:szCs w:val="20"/>
              </w:rPr>
              <w:t xml:space="preserve">Abbreviations: </w:t>
            </w:r>
            <w:r w:rsidRPr="00475A44">
              <w:rPr>
                <w:b w:val="0"/>
                <w:bCs w:val="0"/>
                <w:i/>
                <w:iCs/>
                <w:sz w:val="20"/>
                <w:szCs w:val="20"/>
              </w:rPr>
              <w:t>APOE</w:t>
            </w:r>
            <w:r w:rsidRPr="00475A44">
              <w:rPr>
                <w:b w:val="0"/>
                <w:bCs w:val="0"/>
                <w:sz w:val="20"/>
                <w:szCs w:val="20"/>
              </w:rPr>
              <w:t xml:space="preserve"> apolipoprotein E epsilon 4; P</w:t>
            </w:r>
            <w:r>
              <w:rPr>
                <w:b w:val="0"/>
                <w:bCs w:val="0"/>
                <w:sz w:val="20"/>
                <w:szCs w:val="20"/>
              </w:rPr>
              <w:t>R</w:t>
            </w:r>
            <w:r w:rsidRPr="00475A44">
              <w:rPr>
                <w:b w:val="0"/>
                <w:bCs w:val="0"/>
                <w:sz w:val="20"/>
                <w:szCs w:val="20"/>
              </w:rPr>
              <w:t xml:space="preserve">R prevalence </w:t>
            </w:r>
            <w:r>
              <w:rPr>
                <w:b w:val="0"/>
                <w:bCs w:val="0"/>
                <w:sz w:val="20"/>
                <w:szCs w:val="20"/>
              </w:rPr>
              <w:t xml:space="preserve">rate </w:t>
            </w:r>
            <w:r w:rsidRPr="00475A44">
              <w:rPr>
                <w:b w:val="0"/>
                <w:bCs w:val="0"/>
                <w:sz w:val="20"/>
                <w:szCs w:val="20"/>
              </w:rPr>
              <w:t xml:space="preserve">ratio; CI confidence interval; LBD Lewy Body </w:t>
            </w:r>
          </w:p>
          <w:p w14:paraId="7E30B214" w14:textId="77777777" w:rsidR="00A42C82" w:rsidRPr="00475A44" w:rsidRDefault="00A42C82" w:rsidP="00B16FB2">
            <w:pPr>
              <w:rPr>
                <w:color w:val="000000"/>
                <w:sz w:val="20"/>
                <w:szCs w:val="20"/>
              </w:rPr>
            </w:pPr>
            <w:r w:rsidRPr="00475A44">
              <w:rPr>
                <w:b w:val="0"/>
                <w:bCs w:val="0"/>
                <w:color w:val="000000"/>
                <w:sz w:val="20"/>
                <w:szCs w:val="20"/>
              </w:rPr>
              <w:t>Disease Pathology; TDP-43 Transactive response DNA binding protein 43</w:t>
            </w:r>
          </w:p>
        </w:tc>
      </w:tr>
    </w:tbl>
    <w:p w14:paraId="33F614F4" w14:textId="77777777" w:rsidR="007020B5" w:rsidRDefault="007020B5"/>
    <w:sectPr w:rsidR="00702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82"/>
    <w:rsid w:val="000D5D24"/>
    <w:rsid w:val="00242F61"/>
    <w:rsid w:val="005E09CA"/>
    <w:rsid w:val="00636909"/>
    <w:rsid w:val="007020B5"/>
    <w:rsid w:val="00A42C82"/>
    <w:rsid w:val="00A73041"/>
    <w:rsid w:val="00B07465"/>
    <w:rsid w:val="00BD70C7"/>
    <w:rsid w:val="00F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0A3093"/>
  <w15:chartTrackingRefBased/>
  <w15:docId w15:val="{DB503DF3-5513-CC4D-9AB2-CDC4A280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8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2C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C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C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C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C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C8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C8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C8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C8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C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C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C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C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C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C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C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C8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C82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C82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C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C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C82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A42C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Cellas Hayes</dc:creator>
  <cp:keywords/>
  <dc:description/>
  <cp:lastModifiedBy>Cellas Hayes</cp:lastModifiedBy>
  <cp:revision>1</cp:revision>
  <dcterms:created xsi:type="dcterms:W3CDTF">2025-03-14T03:29:00Z</dcterms:created>
  <dcterms:modified xsi:type="dcterms:W3CDTF">2025-03-14T03:30:00Z</dcterms:modified>
</cp:coreProperties>
</file>