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A931" w14:textId="7289EFEA" w:rsidR="00E755AF" w:rsidRPr="00EC6680" w:rsidRDefault="00E755AF" w:rsidP="00E755AF">
      <w:pPr>
        <w:pStyle w:val="Heading1"/>
        <w:jc w:val="center"/>
        <w:rPr>
          <w:rFonts w:ascii="Arial" w:eastAsia="Times New Roman" w:hAnsi="Arial" w:cs="Arial"/>
          <w:b/>
          <w:bCs/>
          <w:color w:val="auto"/>
        </w:rPr>
      </w:pPr>
      <w:bookmarkStart w:id="0" w:name="_Hlk116548980"/>
      <w:bookmarkStart w:id="1" w:name="_Hlk125098233"/>
      <w:r w:rsidRPr="00EC6680">
        <w:rPr>
          <w:rFonts w:ascii="Arial" w:eastAsia="Times New Roman" w:hAnsi="Arial" w:cs="Arial"/>
          <w:b/>
          <w:bCs/>
          <w:color w:val="auto"/>
        </w:rPr>
        <w:t>Supplementary Information</w:t>
      </w:r>
    </w:p>
    <w:p w14:paraId="5031551B" w14:textId="77777777" w:rsidR="00E755AF" w:rsidRPr="00EC6680" w:rsidRDefault="00E755AF" w:rsidP="00E755AF">
      <w:pPr>
        <w:rPr>
          <w:rFonts w:ascii="Arial" w:hAnsi="Arial" w:cs="Arial"/>
        </w:rPr>
      </w:pPr>
    </w:p>
    <w:p w14:paraId="7C3DB45C" w14:textId="256CD449" w:rsidR="00E755AF" w:rsidRPr="00EC6680" w:rsidRDefault="00E755AF" w:rsidP="00E755AF">
      <w:pPr>
        <w:spacing w:after="120" w:line="480" w:lineRule="auto"/>
        <w:jc w:val="both"/>
        <w:outlineLvl w:val="0"/>
        <w:rPr>
          <w:rFonts w:ascii="Arial" w:eastAsia="Times New Roman" w:hAnsi="Arial" w:cs="Arial"/>
          <w:b/>
          <w:bCs/>
        </w:rPr>
      </w:pPr>
      <w:r w:rsidRPr="00EC6680">
        <w:rPr>
          <w:rFonts w:ascii="Arial" w:eastAsia="Times New Roman" w:hAnsi="Arial" w:cs="Arial"/>
          <w:b/>
          <w:bCs/>
        </w:rPr>
        <w:t>Telomere-driven senescence accelerates tau pathology, neuroinflammation and neurodegeneration in a tauopathy mouse model.</w:t>
      </w:r>
    </w:p>
    <w:p w14:paraId="663D1EB6" w14:textId="77777777" w:rsidR="00E755AF" w:rsidRPr="00DA7CDA" w:rsidRDefault="00E755AF" w:rsidP="00E755AF">
      <w:pPr>
        <w:spacing w:after="120" w:line="480" w:lineRule="auto"/>
        <w:jc w:val="both"/>
        <w:rPr>
          <w:rFonts w:ascii="Arial" w:eastAsia="Times New Roman" w:hAnsi="Arial" w:cs="Arial"/>
          <w:i/>
          <w:iCs/>
          <w:noProof/>
          <w:sz w:val="22"/>
          <w:szCs w:val="22"/>
        </w:rPr>
      </w:pPr>
      <w:bookmarkStart w:id="2" w:name="_Hlk126654023"/>
      <w:bookmarkStart w:id="3" w:name="_Hlk116590347"/>
      <w:bookmarkEnd w:id="0"/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Debora Palomares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, Axelle Vanparys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1,2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, Joana Jorgji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, Esther Paître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, Pascal Kienlen-Campard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</w:rPr>
        <w:t>*, Nuria Suelves</w:t>
      </w:r>
      <w:r w:rsidRPr="00DA7CDA">
        <w:rPr>
          <w:rFonts w:ascii="Arial" w:eastAsia="Times New Roman" w:hAnsi="Arial" w:cs="Arial"/>
          <w:i/>
          <w:iCs/>
          <w:noProof/>
          <w:sz w:val="22"/>
          <w:szCs w:val="22"/>
          <w:vertAlign w:val="superscript"/>
        </w:rPr>
        <w:t>1*</w:t>
      </w:r>
    </w:p>
    <w:p w14:paraId="51D01E88" w14:textId="77777777" w:rsidR="00E755AF" w:rsidRPr="00EC6680" w:rsidRDefault="00E755AF" w:rsidP="00E755AF">
      <w:pPr>
        <w:spacing w:after="120" w:line="480" w:lineRule="auto"/>
        <w:jc w:val="both"/>
        <w:rPr>
          <w:rFonts w:ascii="Arial" w:eastAsia="Times New Roman" w:hAnsi="Arial" w:cs="Arial"/>
          <w:sz w:val="22"/>
          <w:szCs w:val="22"/>
        </w:rPr>
      </w:pPr>
      <w:bookmarkStart w:id="4" w:name="_Hlk116923969"/>
      <w:bookmarkEnd w:id="2"/>
      <w:r w:rsidRPr="00EC6680">
        <w:rPr>
          <w:rFonts w:ascii="Arial" w:eastAsia="Times New Roman" w:hAnsi="Arial" w:cs="Arial"/>
          <w:sz w:val="22"/>
          <w:szCs w:val="22"/>
          <w:vertAlign w:val="superscript"/>
        </w:rPr>
        <w:t>1</w:t>
      </w:r>
      <w:r w:rsidRPr="00EC6680">
        <w:rPr>
          <w:rFonts w:ascii="Arial" w:eastAsia="Times New Roman" w:hAnsi="Arial" w:cs="Arial"/>
          <w:sz w:val="22"/>
          <w:szCs w:val="22"/>
        </w:rPr>
        <w:t>Aging and Dementia Group, Cellular and Molecular Division (CEMO), Institute of Neuroscience (IoNS), UCLouvain, Brussels, Belgium.</w:t>
      </w:r>
    </w:p>
    <w:p w14:paraId="38302F42" w14:textId="77777777" w:rsidR="00E755AF" w:rsidRPr="00EC6680" w:rsidRDefault="00E755AF" w:rsidP="00E755AF">
      <w:pPr>
        <w:spacing w:after="120"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EC6680">
        <w:rPr>
          <w:rFonts w:ascii="Arial" w:eastAsia="Times New Roman" w:hAnsi="Arial" w:cs="Arial"/>
          <w:sz w:val="22"/>
          <w:szCs w:val="22"/>
          <w:vertAlign w:val="superscript"/>
        </w:rPr>
        <w:t>2</w:t>
      </w:r>
      <w:r w:rsidRPr="00EC6680">
        <w:rPr>
          <w:rFonts w:ascii="Arial" w:eastAsia="Times New Roman" w:hAnsi="Arial" w:cs="Arial"/>
          <w:sz w:val="22"/>
          <w:szCs w:val="22"/>
        </w:rPr>
        <w:t>Louvain Aging Brain Lab, Clinical Division (NEUR), Institute of Neuroscience (IoNS), UCLouvain, Brussels, Belgium.</w:t>
      </w:r>
    </w:p>
    <w:p w14:paraId="2B91C760" w14:textId="77777777" w:rsidR="00E755AF" w:rsidRPr="00EC6680" w:rsidRDefault="00E755AF" w:rsidP="00E755AF">
      <w:pPr>
        <w:spacing w:after="120" w:line="480" w:lineRule="auto"/>
        <w:jc w:val="both"/>
        <w:rPr>
          <w:rFonts w:ascii="Arial" w:eastAsia="Times New Roman" w:hAnsi="Arial" w:cs="Arial"/>
          <w:sz w:val="22"/>
          <w:szCs w:val="22"/>
          <w:vertAlign w:val="superscript"/>
        </w:rPr>
      </w:pPr>
    </w:p>
    <w:p w14:paraId="129A83E5" w14:textId="77777777" w:rsidR="00E755AF" w:rsidRPr="00EC6680" w:rsidRDefault="00E755AF" w:rsidP="00E755AF">
      <w:pPr>
        <w:spacing w:after="120" w:line="480" w:lineRule="auto"/>
        <w:jc w:val="both"/>
        <w:rPr>
          <w:rFonts w:ascii="Arial" w:eastAsia="Times New Roman" w:hAnsi="Arial" w:cs="Arial"/>
          <w:noProof/>
          <w:sz w:val="22"/>
          <w:szCs w:val="22"/>
        </w:rPr>
      </w:pPr>
    </w:p>
    <w:p w14:paraId="4CC2AFBF" w14:textId="77777777" w:rsidR="00E755AF" w:rsidRPr="00EC6680" w:rsidRDefault="00E755AF" w:rsidP="00E755AF">
      <w:pPr>
        <w:spacing w:after="0" w:line="48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EC6680">
        <w:rPr>
          <w:rFonts w:ascii="Arial" w:eastAsia="Times New Roman" w:hAnsi="Arial" w:cs="Arial"/>
          <w:b/>
          <w:bCs/>
          <w:sz w:val="22"/>
          <w:szCs w:val="22"/>
          <w:vertAlign w:val="superscript"/>
        </w:rPr>
        <w:t>*</w:t>
      </w:r>
      <w:r w:rsidRPr="00EC6680">
        <w:rPr>
          <w:rFonts w:ascii="Arial" w:eastAsia="Times New Roman" w:hAnsi="Arial" w:cs="Arial"/>
          <w:b/>
          <w:bCs/>
          <w:sz w:val="22"/>
          <w:szCs w:val="22"/>
        </w:rPr>
        <w:t xml:space="preserve">Correspondence to: </w:t>
      </w:r>
      <w:r w:rsidRPr="00EC6680">
        <w:rPr>
          <w:rFonts w:ascii="Arial" w:eastAsia="Times New Roman" w:hAnsi="Arial" w:cs="Arial"/>
          <w:sz w:val="22"/>
          <w:szCs w:val="22"/>
        </w:rPr>
        <w:t>Nuria Suelves (</w:t>
      </w:r>
      <w:hyperlink r:id="rId7" w:history="1">
        <w:r w:rsidRPr="00EC6680">
          <w:rPr>
            <w:rFonts w:ascii="Arial" w:eastAsia="Times New Roman" w:hAnsi="Arial" w:cs="Arial"/>
            <w:sz w:val="22"/>
            <w:szCs w:val="22"/>
            <w:u w:val="single"/>
          </w:rPr>
          <w:t>nuria.suelves@uclouvain.be</w:t>
        </w:r>
      </w:hyperlink>
      <w:r w:rsidRPr="00EC6680">
        <w:rPr>
          <w:rFonts w:ascii="Arial" w:eastAsia="Times New Roman" w:hAnsi="Arial" w:cs="Arial"/>
          <w:sz w:val="22"/>
          <w:szCs w:val="22"/>
        </w:rPr>
        <w:t>) and Pascal Kienlen-Campard (</w:t>
      </w:r>
      <w:hyperlink r:id="rId8" w:history="1">
        <w:r w:rsidRPr="00EC6680">
          <w:rPr>
            <w:rFonts w:ascii="Arial" w:eastAsia="Times New Roman" w:hAnsi="Arial" w:cs="Arial"/>
            <w:sz w:val="22"/>
            <w:szCs w:val="22"/>
            <w:u w:val="single"/>
          </w:rPr>
          <w:t>pascal.kienlen-campard@uclouvain.be</w:t>
        </w:r>
      </w:hyperlink>
      <w:r w:rsidRPr="00EC6680">
        <w:rPr>
          <w:rFonts w:ascii="Arial" w:eastAsia="Times New Roman" w:hAnsi="Arial" w:cs="Arial"/>
          <w:sz w:val="22"/>
          <w:szCs w:val="22"/>
        </w:rPr>
        <w:t>)</w:t>
      </w:r>
    </w:p>
    <w:bookmarkEnd w:id="1"/>
    <w:bookmarkEnd w:id="3"/>
    <w:bookmarkEnd w:id="4"/>
    <w:p w14:paraId="28897F44" w14:textId="77777777" w:rsidR="000C5BE5" w:rsidRPr="00EC6680" w:rsidRDefault="000C5BE5">
      <w:pPr>
        <w:rPr>
          <w:rFonts w:ascii="Arial" w:hAnsi="Arial" w:cs="Arial"/>
          <w:sz w:val="20"/>
          <w:szCs w:val="20"/>
        </w:rPr>
      </w:pPr>
    </w:p>
    <w:p w14:paraId="27F7023B" w14:textId="77777777" w:rsidR="00FD7CF1" w:rsidRPr="00EC6680" w:rsidRDefault="000C5BE5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61C0DB1B" w14:textId="6D23799C" w:rsidR="00FD7CF1" w:rsidRPr="00EC6680" w:rsidRDefault="00FD7CF1">
      <w:pPr>
        <w:rPr>
          <w:rFonts w:ascii="Arial" w:hAnsi="Arial" w:cs="Arial"/>
          <w:b/>
          <w:bCs/>
        </w:rPr>
      </w:pPr>
      <w:r w:rsidRPr="00EC6680">
        <w:rPr>
          <w:rFonts w:ascii="Arial" w:hAnsi="Arial" w:cs="Arial"/>
          <w:b/>
          <w:bCs/>
        </w:rPr>
        <w:lastRenderedPageBreak/>
        <w:t>Supplementary Figures and Legends</w:t>
      </w:r>
    </w:p>
    <w:p w14:paraId="57231209" w14:textId="01213B53" w:rsidR="00D53A9E" w:rsidRPr="00EC6680" w:rsidRDefault="008C0239" w:rsidP="00003C87">
      <w:pPr>
        <w:jc w:val="center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758532" wp14:editId="2FDC800D">
            <wp:extent cx="5623200" cy="5428800"/>
            <wp:effectExtent l="0" t="0" r="0" b="635"/>
            <wp:docPr id="2679454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54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28A3C" w14:textId="77E9FCFE" w:rsidR="00AE7B41" w:rsidRDefault="00E67D23" w:rsidP="00E67D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</w:t>
      </w:r>
      <w:r w:rsidR="00DA7CDA">
        <w:rPr>
          <w:rFonts w:ascii="Arial" w:hAnsi="Arial" w:cs="Arial"/>
          <w:b/>
          <w:bCs/>
          <w:sz w:val="20"/>
          <w:szCs w:val="20"/>
        </w:rPr>
        <w:t>1</w:t>
      </w:r>
      <w:r w:rsidRPr="00EC6680">
        <w:rPr>
          <w:rFonts w:ascii="Arial" w:hAnsi="Arial" w:cs="Arial"/>
          <w:b/>
          <w:bCs/>
          <w:sz w:val="20"/>
          <w:szCs w:val="20"/>
        </w:rPr>
        <w:t> </w:t>
      </w:r>
      <w:r w:rsidRPr="00EC6680">
        <w:rPr>
          <w:rFonts w:ascii="Arial" w:hAnsi="Arial" w:cs="Arial"/>
          <w:sz w:val="20"/>
          <w:szCs w:val="20"/>
        </w:rPr>
        <w:t>The expression levels of the P301S human tau transgene remain consistent across different brain regions in 6-month-old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(PS19) mice. </w:t>
      </w:r>
      <w:r w:rsidRPr="00EC6680">
        <w:rPr>
          <w:rFonts w:ascii="Arial" w:hAnsi="Arial" w:cs="Arial"/>
          <w:b/>
          <w:bCs/>
          <w:sz w:val="20"/>
          <w:szCs w:val="20"/>
          <w:lang w:val="en-GB"/>
        </w:rPr>
        <w:t xml:space="preserve">a </w:t>
      </w:r>
      <w:r w:rsidRPr="00EC6680">
        <w:rPr>
          <w:rFonts w:ascii="Arial" w:hAnsi="Arial" w:cs="Arial"/>
          <w:sz w:val="20"/>
          <w:szCs w:val="20"/>
          <w:lang w:val="en-GB"/>
        </w:rPr>
        <w:t>mRNA levels of the human tau transgene were measured by RT-qPCR in hippocampal and cortical extracts from 6-month-old </w:t>
      </w:r>
      <w:r w:rsidRPr="00EC6680">
        <w:rPr>
          <w:rFonts w:ascii="Arial" w:hAnsi="Arial" w:cs="Arial"/>
          <w:sz w:val="20"/>
          <w:szCs w:val="20"/>
        </w:rPr>
        <w:t>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 </w:t>
      </w:r>
      <w:r w:rsidRPr="00EC6680">
        <w:rPr>
          <w:rFonts w:ascii="Arial" w:hAnsi="Arial" w:cs="Arial"/>
          <w:sz w:val="20"/>
          <w:szCs w:val="20"/>
          <w:lang w:val="nn-NO"/>
        </w:rPr>
        <w:t>(</w:t>
      </w:r>
      <w:r w:rsidRPr="00EC6680">
        <w:rPr>
          <w:rFonts w:ascii="Arial" w:hAnsi="Arial" w:cs="Arial"/>
          <w:sz w:val="20"/>
          <w:szCs w:val="20"/>
        </w:rPr>
        <w:t>n=6 [</w:t>
      </w:r>
      <w:r w:rsidRPr="00EC6680">
        <w:rPr>
          <w:rFonts w:ascii="Arial" w:hAnsi="Arial" w:cs="Arial"/>
          <w:sz w:val="20"/>
          <w:szCs w:val="20"/>
          <w:lang w:val="pt-BR"/>
        </w:rPr>
        <w:t xml:space="preserve">3 </w:t>
      </w:r>
      <w:r w:rsidRPr="00EC6680">
        <w:rPr>
          <w:rFonts w:ascii="Arial" w:hAnsi="Arial" w:cs="Arial"/>
          <w:i/>
          <w:iCs/>
          <w:sz w:val="20"/>
          <w:szCs w:val="20"/>
          <w:lang w:val="pt-BR"/>
        </w:rPr>
        <w:t>m.</w:t>
      </w:r>
      <w:r w:rsidRPr="00EC6680">
        <w:rPr>
          <w:rFonts w:ascii="Arial" w:hAnsi="Arial" w:cs="Arial"/>
          <w:sz w:val="20"/>
          <w:szCs w:val="20"/>
          <w:lang w:val="pt-BR"/>
        </w:rPr>
        <w:t xml:space="preserve">, 3 </w:t>
      </w:r>
      <w:r w:rsidRPr="00EC6680">
        <w:rPr>
          <w:rFonts w:ascii="Arial" w:hAnsi="Arial" w:cs="Arial"/>
          <w:i/>
          <w:iCs/>
          <w:sz w:val="20"/>
          <w:szCs w:val="20"/>
          <w:lang w:val="pt-BR"/>
        </w:rPr>
        <w:t>f.</w:t>
      </w:r>
      <w:r w:rsidRPr="00EC6680">
        <w:rPr>
          <w:rFonts w:ascii="Arial" w:hAnsi="Arial" w:cs="Arial"/>
          <w:sz w:val="20"/>
          <w:szCs w:val="20"/>
          <w:lang w:val="pt-BR"/>
        </w:rPr>
        <w:t>] per group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, paired 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Student’s </w:t>
      </w:r>
      <w:r w:rsidRPr="00EC6680">
        <w:rPr>
          <w:rFonts w:ascii="Arial" w:hAnsi="Arial" w:cs="Arial"/>
          <w:i/>
          <w:iCs/>
          <w:sz w:val="20"/>
          <w:szCs w:val="20"/>
          <w:lang w:val="nn-NO"/>
        </w:rPr>
        <w:t>t-</w:t>
      </w:r>
      <w:r w:rsidRPr="00EC6680">
        <w:rPr>
          <w:rFonts w:ascii="Arial" w:hAnsi="Arial" w:cs="Arial"/>
          <w:sz w:val="20"/>
          <w:szCs w:val="20"/>
          <w:lang w:val="nn-NO"/>
        </w:rPr>
        <w:t>test</w:t>
      </w:r>
      <w:r w:rsidRPr="00EC6680">
        <w:rPr>
          <w:rFonts w:ascii="Arial" w:hAnsi="Arial" w:cs="Arial"/>
          <w:sz w:val="20"/>
          <w:szCs w:val="20"/>
        </w:rPr>
        <w:t xml:space="preserve">). </w:t>
      </w:r>
      <w:r w:rsidRPr="00EC6680">
        <w:rPr>
          <w:rFonts w:ascii="Arial" w:hAnsi="Arial" w:cs="Arial"/>
          <w:b/>
          <w:bCs/>
          <w:sz w:val="20"/>
          <w:szCs w:val="20"/>
        </w:rPr>
        <w:t xml:space="preserve">b-c </w:t>
      </w:r>
      <w:r w:rsidR="00D06D66" w:rsidRPr="00EC6680">
        <w:rPr>
          <w:rFonts w:ascii="Arial" w:hAnsi="Arial" w:cs="Arial"/>
          <w:sz w:val="20"/>
          <w:szCs w:val="20"/>
        </w:rPr>
        <w:t xml:space="preserve">Relative levels of the human tau protein were detected by WB in hippocampal and cortical protein </w:t>
      </w:r>
      <w:r w:rsidR="00772C03" w:rsidRPr="00EC6680">
        <w:rPr>
          <w:rFonts w:ascii="Arial" w:hAnsi="Arial" w:cs="Arial"/>
          <w:sz w:val="20"/>
          <w:szCs w:val="20"/>
        </w:rPr>
        <w:t>extracts from</w:t>
      </w:r>
      <w:r w:rsidR="00D06D66" w:rsidRPr="00EC6680">
        <w:rPr>
          <w:rFonts w:ascii="Arial" w:hAnsi="Arial" w:cs="Arial"/>
          <w:sz w:val="20"/>
          <w:szCs w:val="20"/>
        </w:rPr>
        <w:t xml:space="preserve"> 6-month-old </w:t>
      </w:r>
      <w:r w:rsidR="00D06D66" w:rsidRPr="00EC6680">
        <w:rPr>
          <w:rFonts w:ascii="Arial" w:hAnsi="Arial" w:cs="Arial"/>
          <w:sz w:val="20"/>
          <w:szCs w:val="20"/>
          <w:lang w:val="en-GB"/>
        </w:rPr>
        <w:t xml:space="preserve">WT and </w:t>
      </w:r>
      <w:r w:rsidR="00D06D66" w:rsidRPr="00EC6680">
        <w:rPr>
          <w:rFonts w:ascii="Arial" w:hAnsi="Arial" w:cs="Arial"/>
          <w:sz w:val="20"/>
          <w:szCs w:val="20"/>
        </w:rPr>
        <w:t>Tau</w:t>
      </w:r>
      <w:r w:rsidR="00D06D66"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="00D06D66" w:rsidRPr="00EC6680">
        <w:rPr>
          <w:rFonts w:ascii="Arial" w:hAnsi="Arial" w:cs="Arial"/>
          <w:sz w:val="20"/>
          <w:szCs w:val="20"/>
        </w:rPr>
        <w:t xml:space="preserve"> mice </w:t>
      </w:r>
      <w:r w:rsidR="00D06D66" w:rsidRPr="00EC6680">
        <w:rPr>
          <w:rFonts w:ascii="Arial" w:hAnsi="Arial" w:cs="Arial"/>
          <w:sz w:val="20"/>
          <w:szCs w:val="20"/>
          <w:lang w:val="en-GB"/>
        </w:rPr>
        <w:t>using a total tau antibody (D1M9X clone</w:t>
      </w:r>
      <w:r w:rsidR="00D06D66" w:rsidRPr="00EC6680">
        <w:rPr>
          <w:rFonts w:ascii="Arial" w:hAnsi="Arial" w:cs="Arial"/>
          <w:sz w:val="20"/>
          <w:szCs w:val="20"/>
        </w:rPr>
        <w:t>) (</w:t>
      </w:r>
      <w:r w:rsidR="00D06D66" w:rsidRPr="00EC6680">
        <w:rPr>
          <w:rFonts w:ascii="Arial" w:hAnsi="Arial" w:cs="Arial"/>
          <w:b/>
          <w:bCs/>
          <w:sz w:val="20"/>
          <w:szCs w:val="20"/>
        </w:rPr>
        <w:t>b</w:t>
      </w:r>
      <w:r w:rsidR="00D06D66" w:rsidRPr="00EC6680">
        <w:rPr>
          <w:rFonts w:ascii="Arial" w:hAnsi="Arial" w:cs="Arial"/>
          <w:sz w:val="20"/>
          <w:szCs w:val="20"/>
        </w:rPr>
        <w:t>) and an antibody against pathologically phosphorylated tau (AT8) (</w:t>
      </w:r>
      <w:r w:rsidR="00D06D66" w:rsidRPr="00EC6680">
        <w:rPr>
          <w:rFonts w:ascii="Arial" w:hAnsi="Arial" w:cs="Arial"/>
          <w:b/>
          <w:bCs/>
          <w:sz w:val="20"/>
          <w:szCs w:val="20"/>
        </w:rPr>
        <w:t>c</w:t>
      </w:r>
      <w:r w:rsidR="00D06D66" w:rsidRPr="00EC6680">
        <w:rPr>
          <w:rFonts w:ascii="Arial" w:hAnsi="Arial" w:cs="Arial"/>
          <w:sz w:val="20"/>
          <w:szCs w:val="20"/>
        </w:rPr>
        <w:t>). n=5-6</w:t>
      </w:r>
      <w:r w:rsidR="00D06D66" w:rsidRPr="00EC6680">
        <w:rPr>
          <w:rFonts w:ascii="Arial" w:hAnsi="Arial" w:cs="Arial"/>
          <w:sz w:val="20"/>
          <w:szCs w:val="20"/>
          <w:lang w:val="en-GB"/>
        </w:rPr>
        <w:t xml:space="preserve">, </w:t>
      </w:r>
      <w:r w:rsidR="00D06D66" w:rsidRPr="00EC6680">
        <w:rPr>
          <w:rFonts w:ascii="Arial" w:hAnsi="Arial" w:cs="Arial"/>
          <w:sz w:val="20"/>
          <w:szCs w:val="20"/>
          <w:lang w:val="nn-NO"/>
        </w:rPr>
        <w:t xml:space="preserve">*P &lt; 0.05, paired Student’s </w:t>
      </w:r>
      <w:r w:rsidR="00D06D66" w:rsidRPr="00EC6680">
        <w:rPr>
          <w:rFonts w:ascii="Arial" w:hAnsi="Arial" w:cs="Arial"/>
          <w:i/>
          <w:iCs/>
          <w:sz w:val="20"/>
          <w:szCs w:val="20"/>
          <w:lang w:val="nn-NO"/>
        </w:rPr>
        <w:t>t-</w:t>
      </w:r>
      <w:r w:rsidR="00D06D66" w:rsidRPr="00EC6680">
        <w:rPr>
          <w:rFonts w:ascii="Arial" w:hAnsi="Arial" w:cs="Arial"/>
          <w:sz w:val="20"/>
          <w:szCs w:val="20"/>
          <w:lang w:val="nn-NO"/>
        </w:rPr>
        <w:t>test</w:t>
      </w:r>
      <w:r w:rsidR="00D06D66" w:rsidRPr="00EC6680">
        <w:rPr>
          <w:rFonts w:ascii="Arial" w:hAnsi="Arial" w:cs="Arial"/>
          <w:sz w:val="20"/>
          <w:szCs w:val="20"/>
        </w:rPr>
        <w:t xml:space="preserve">. </w:t>
      </w:r>
      <w:r w:rsidRPr="00EC6680">
        <w:rPr>
          <w:rFonts w:ascii="Arial" w:hAnsi="Arial" w:cs="Arial"/>
          <w:b/>
          <w:bCs/>
          <w:sz w:val="20"/>
          <w:szCs w:val="20"/>
        </w:rPr>
        <w:t xml:space="preserve">d-f </w:t>
      </w:r>
      <w:r w:rsidRPr="00EC6680">
        <w:rPr>
          <w:rFonts w:ascii="Arial" w:hAnsi="Arial" w:cs="Arial"/>
          <w:sz w:val="20"/>
          <w:szCs w:val="20"/>
        </w:rPr>
        <w:t xml:space="preserve">Immunofluorescence analysis of human tau (Tau13 clone) in the hippocampal, entorhinal/piriform and somatosensory/association cortical regions on brain sections from 6-month-old 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WT and </w:t>
      </w:r>
      <w:r w:rsidRPr="00EC6680">
        <w:rPr>
          <w:rFonts w:ascii="Arial" w:hAnsi="Arial" w:cs="Arial"/>
          <w:sz w:val="20"/>
          <w:szCs w:val="20"/>
        </w:rPr>
        <w:t>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mice. The relative fluorescence intensity (</w:t>
      </w:r>
      <w:r w:rsidRPr="00EC6680">
        <w:rPr>
          <w:rFonts w:ascii="Arial" w:hAnsi="Arial" w:cs="Arial"/>
          <w:b/>
          <w:bCs/>
          <w:sz w:val="20"/>
          <w:szCs w:val="20"/>
        </w:rPr>
        <w:t>e</w:t>
      </w:r>
      <w:r w:rsidRPr="00EC6680">
        <w:rPr>
          <w:rFonts w:ascii="Arial" w:hAnsi="Arial" w:cs="Arial"/>
          <w:sz w:val="20"/>
          <w:szCs w:val="20"/>
        </w:rPr>
        <w:t>) and the percentage of area covered by Tau13 (</w:t>
      </w:r>
      <w:r w:rsidRPr="00EC6680">
        <w:rPr>
          <w:rFonts w:ascii="Arial" w:hAnsi="Arial" w:cs="Arial"/>
          <w:b/>
          <w:bCs/>
          <w:sz w:val="20"/>
          <w:szCs w:val="20"/>
        </w:rPr>
        <w:t>f</w:t>
      </w:r>
      <w:r w:rsidRPr="00EC6680">
        <w:rPr>
          <w:rFonts w:ascii="Arial" w:hAnsi="Arial" w:cs="Arial"/>
          <w:sz w:val="20"/>
          <w:szCs w:val="20"/>
        </w:rPr>
        <w:t>) were measured</w:t>
      </w:r>
      <w:r w:rsidR="00CE5FB0" w:rsidRPr="00EC6680">
        <w:rPr>
          <w:rFonts w:ascii="Arial" w:hAnsi="Arial" w:cs="Arial"/>
          <w:sz w:val="20"/>
          <w:szCs w:val="20"/>
        </w:rPr>
        <w:t xml:space="preserve"> in the Tau</w:t>
      </w:r>
      <w:r w:rsidR="00CE5FB0"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="00CE5FB0" w:rsidRPr="00EC6680">
        <w:rPr>
          <w:rFonts w:ascii="Arial" w:hAnsi="Arial" w:cs="Arial"/>
          <w:sz w:val="20"/>
          <w:szCs w:val="20"/>
        </w:rPr>
        <w:t xml:space="preserve"> brains</w:t>
      </w:r>
      <w:r w:rsidRPr="00EC6680">
        <w:rPr>
          <w:rFonts w:ascii="Arial" w:hAnsi="Arial" w:cs="Arial"/>
          <w:sz w:val="20"/>
          <w:szCs w:val="20"/>
        </w:rPr>
        <w:t xml:space="preserve">. </w:t>
      </w:r>
      <w:r w:rsidRPr="00EC6680">
        <w:rPr>
          <w:rFonts w:ascii="Arial" w:hAnsi="Arial" w:cs="Arial"/>
          <w:sz w:val="20"/>
          <w:szCs w:val="20"/>
          <w:lang w:val="en-GB"/>
        </w:rPr>
        <w:t>(Repeated-measures one-way ANOVA with Geisser-Greenhouse correction,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</w:t>
      </w:r>
      <w:r w:rsidRPr="00EC6680">
        <w:rPr>
          <w:rFonts w:ascii="Arial" w:hAnsi="Arial" w:cs="Arial"/>
          <w:sz w:val="20"/>
          <w:szCs w:val="20"/>
        </w:rPr>
        <w:t>n=4 [2</w:t>
      </w:r>
      <w:r w:rsidRPr="00EC6680">
        <w:rPr>
          <w:rFonts w:ascii="Arial" w:hAnsi="Arial" w:cs="Arial"/>
          <w:sz w:val="20"/>
          <w:szCs w:val="20"/>
          <w:lang w:val="pt-BR"/>
        </w:rPr>
        <w:t xml:space="preserve"> </w:t>
      </w:r>
      <w:r w:rsidRPr="00EC6680">
        <w:rPr>
          <w:rFonts w:ascii="Arial" w:hAnsi="Arial" w:cs="Arial"/>
          <w:i/>
          <w:iCs/>
          <w:sz w:val="20"/>
          <w:szCs w:val="20"/>
          <w:lang w:val="pt-BR"/>
        </w:rPr>
        <w:t>m.</w:t>
      </w:r>
      <w:r w:rsidRPr="00EC6680">
        <w:rPr>
          <w:rFonts w:ascii="Arial" w:hAnsi="Arial" w:cs="Arial"/>
          <w:sz w:val="20"/>
          <w:szCs w:val="20"/>
          <w:lang w:val="pt-BR"/>
        </w:rPr>
        <w:t xml:space="preserve">, 2 </w:t>
      </w:r>
      <w:r w:rsidRPr="00EC6680">
        <w:rPr>
          <w:rFonts w:ascii="Arial" w:hAnsi="Arial" w:cs="Arial"/>
          <w:i/>
          <w:iCs/>
          <w:sz w:val="20"/>
          <w:szCs w:val="20"/>
          <w:lang w:val="pt-BR"/>
        </w:rPr>
        <w:t>f.</w:t>
      </w:r>
      <w:r w:rsidRPr="00EC6680">
        <w:rPr>
          <w:rFonts w:ascii="Arial" w:hAnsi="Arial" w:cs="Arial"/>
          <w:sz w:val="20"/>
          <w:szCs w:val="20"/>
          <w:lang w:val="pt-BR"/>
        </w:rPr>
        <w:t>] per group</w:t>
      </w:r>
      <w:r w:rsidRPr="00EC6680">
        <w:rPr>
          <w:rFonts w:ascii="Arial" w:hAnsi="Arial" w:cs="Arial"/>
          <w:sz w:val="20"/>
          <w:szCs w:val="20"/>
        </w:rPr>
        <w:t>).</w:t>
      </w:r>
    </w:p>
    <w:p w14:paraId="669B9ECC" w14:textId="77777777" w:rsidR="00AE7B41" w:rsidRDefault="00AE7B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36A5780" w14:textId="77777777" w:rsidR="00DA7CDA" w:rsidRPr="00EC6680" w:rsidRDefault="00DA7CDA" w:rsidP="00DA7CDA">
      <w:pPr>
        <w:jc w:val="center"/>
        <w:rPr>
          <w:rFonts w:ascii="Arial" w:hAnsi="Arial" w:cs="Arial"/>
        </w:rPr>
      </w:pPr>
      <w:r w:rsidRPr="00EC6680">
        <w:rPr>
          <w:rFonts w:ascii="Arial" w:hAnsi="Arial" w:cs="Arial"/>
          <w:noProof/>
        </w:rPr>
        <w:lastRenderedPageBreak/>
        <w:drawing>
          <wp:inline distT="0" distB="0" distL="0" distR="0" wp14:anchorId="5A597AD4" wp14:editId="09F8BD97">
            <wp:extent cx="5623200" cy="1400400"/>
            <wp:effectExtent l="0" t="0" r="0" b="9525"/>
            <wp:docPr id="1745448579" name="Picture 1" descr="A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48579" name="Picture 1" descr="A black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14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B794D" w14:textId="11AC98E3" w:rsidR="00AE7B41" w:rsidRDefault="00DA7CDA" w:rsidP="00DA7CD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EC66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EC6680">
        <w:rPr>
          <w:rFonts w:ascii="Arial" w:hAnsi="Arial" w:cs="Arial"/>
          <w:sz w:val="20"/>
          <w:szCs w:val="20"/>
          <w:lang w:val="en-GB"/>
        </w:rPr>
        <w:t>Schematic representation of the two senescence models and experimental time points used for our study. WT, G3Terc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-/-</w:t>
      </w:r>
      <w:r w:rsidRPr="00EC6680">
        <w:rPr>
          <w:rFonts w:ascii="Arial" w:hAnsi="Arial" w:cs="Arial"/>
          <w:sz w:val="20"/>
          <w:szCs w:val="20"/>
          <w:lang w:val="en-GB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Tg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and G3Terc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-/-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Tg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mice were sacrificed, and their brains collected at 6 months. WT, G2Terc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-/-</w:t>
      </w:r>
      <w:r w:rsidRPr="00EC6680">
        <w:rPr>
          <w:rFonts w:ascii="Arial" w:hAnsi="Arial" w:cs="Arial"/>
          <w:sz w:val="20"/>
          <w:szCs w:val="20"/>
          <w:lang w:val="en-GB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Tg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-/-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  <w:lang w:val="en-GB"/>
        </w:rPr>
        <w:t>Tg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 mice were sacrificed, and their brains collected at 9 months. </w:t>
      </w:r>
      <w:r w:rsidRPr="00EC6680">
        <w:rPr>
          <w:rFonts w:ascii="Arial" w:hAnsi="Arial" w:cs="Arial"/>
          <w:sz w:val="20"/>
          <w:szCs w:val="20"/>
        </w:rPr>
        <w:t xml:space="preserve">Created in </w:t>
      </w:r>
      <w:proofErr w:type="spellStart"/>
      <w:r w:rsidRPr="00EC6680">
        <w:rPr>
          <w:rFonts w:ascii="Arial" w:hAnsi="Arial" w:cs="Arial"/>
          <w:sz w:val="20"/>
          <w:szCs w:val="20"/>
        </w:rPr>
        <w:t>BioRender</w:t>
      </w:r>
      <w:proofErr w:type="spellEnd"/>
      <w:r w:rsidRPr="00EC6680">
        <w:rPr>
          <w:rFonts w:ascii="Arial" w:hAnsi="Arial" w:cs="Arial"/>
          <w:sz w:val="20"/>
          <w:szCs w:val="20"/>
        </w:rPr>
        <w:t xml:space="preserve">. Kienlen-Campard, P. (2025) </w:t>
      </w:r>
      <w:hyperlink r:id="rId11" w:history="1">
        <w:r w:rsidRPr="00EC6680">
          <w:rPr>
            <w:rStyle w:val="Hyperlink"/>
            <w:rFonts w:ascii="Arial" w:hAnsi="Arial" w:cs="Arial"/>
            <w:color w:val="auto"/>
            <w:sz w:val="20"/>
            <w:szCs w:val="20"/>
          </w:rPr>
          <w:t>https://BioRender.com/k4g060o</w:t>
        </w:r>
      </w:hyperlink>
      <w:r w:rsidRPr="00EC6680">
        <w:rPr>
          <w:rFonts w:ascii="Arial" w:hAnsi="Arial" w:cs="Arial"/>
          <w:sz w:val="20"/>
          <w:szCs w:val="20"/>
        </w:rPr>
        <w:t xml:space="preserve"> </w:t>
      </w:r>
    </w:p>
    <w:p w14:paraId="25720692" w14:textId="77777777" w:rsidR="00AE7B41" w:rsidRDefault="00AE7B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59B1505" w14:textId="0DFAFEED" w:rsidR="00716AF8" w:rsidRPr="00EC6680" w:rsidRDefault="002D1552" w:rsidP="0008303A">
      <w:pPr>
        <w:jc w:val="center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184F618" wp14:editId="1BA7E6E2">
            <wp:extent cx="5623200" cy="2318400"/>
            <wp:effectExtent l="0" t="0" r="0" b="5715"/>
            <wp:docPr id="18848089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3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C73B6" w14:textId="5FC98993" w:rsidR="00ED3BA3" w:rsidRPr="00EC6680" w:rsidRDefault="00ED3BA3" w:rsidP="00ED3BA3">
      <w:pPr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S3 </w:t>
      </w:r>
      <w:r w:rsidRPr="00EC6680">
        <w:rPr>
          <w:rFonts w:ascii="Arial" w:hAnsi="Arial" w:cs="Arial"/>
          <w:sz w:val="20"/>
          <w:szCs w:val="20"/>
        </w:rPr>
        <w:t xml:space="preserve">Senescence-induced DNA damage correlates with pathological tau levels </w:t>
      </w:r>
      <w:r w:rsidR="00912F7D" w:rsidRPr="00EC6680">
        <w:rPr>
          <w:rFonts w:ascii="Arial" w:hAnsi="Arial" w:cs="Arial"/>
          <w:sz w:val="20"/>
          <w:szCs w:val="20"/>
        </w:rPr>
        <w:t>in tauopathy and senescence-tauopathy conditions at 6 months</w:t>
      </w:r>
      <w:r w:rsidRPr="00EC6680">
        <w:rPr>
          <w:rFonts w:ascii="Arial" w:hAnsi="Arial" w:cs="Arial"/>
          <w:sz w:val="20"/>
          <w:szCs w:val="20"/>
        </w:rPr>
        <w:t xml:space="preserve">. </w:t>
      </w:r>
      <w:r w:rsidRPr="00EC6680">
        <w:rPr>
          <w:rFonts w:ascii="Arial" w:hAnsi="Arial" w:cs="Arial"/>
          <w:b/>
          <w:bCs/>
          <w:sz w:val="20"/>
          <w:szCs w:val="20"/>
        </w:rPr>
        <w:t>a</w:t>
      </w:r>
      <w:r w:rsidRPr="00EC6680">
        <w:rPr>
          <w:rFonts w:ascii="Arial" w:hAnsi="Arial" w:cs="Arial"/>
          <w:sz w:val="20"/>
          <w:szCs w:val="20"/>
        </w:rPr>
        <w:t xml:space="preserve"> Relative levels of the DNA damage biomarker γH2AX detected by WB using hippocampal protein extracts from 6-month-old 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> and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> 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> mice </w:t>
      </w:r>
      <w:r w:rsidRPr="00EC6680">
        <w:rPr>
          <w:rFonts w:ascii="Arial" w:hAnsi="Arial" w:cs="Arial"/>
          <w:sz w:val="20"/>
          <w:szCs w:val="20"/>
          <w:lang w:val="nn-NO"/>
        </w:rPr>
        <w:t>(*</w:t>
      </w:r>
      <w:r w:rsidRPr="00EC6680">
        <w:rPr>
          <w:rFonts w:ascii="Arial" w:hAnsi="Arial" w:cs="Arial"/>
          <w:i/>
          <w:iCs/>
          <w:sz w:val="20"/>
          <w:szCs w:val="20"/>
          <w:lang w:val="nn-NO"/>
        </w:rPr>
        <w:t>P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&lt; 0.05, </w:t>
      </w:r>
      <w:r w:rsidRPr="00EC6680">
        <w:rPr>
          <w:rFonts w:ascii="Arial" w:hAnsi="Arial" w:cs="Arial"/>
          <w:sz w:val="20"/>
          <w:szCs w:val="20"/>
          <w:lang w:val="en-GB"/>
        </w:rPr>
        <w:t>**</w:t>
      </w:r>
      <w:r w:rsidRPr="00EC6680">
        <w:rPr>
          <w:rFonts w:ascii="Arial" w:hAnsi="Arial" w:cs="Arial"/>
          <w:i/>
          <w:iCs/>
          <w:sz w:val="20"/>
          <w:szCs w:val="20"/>
          <w:lang w:val="en-GB"/>
        </w:rPr>
        <w:t>P </w:t>
      </w:r>
      <w:r w:rsidRPr="00EC6680">
        <w:rPr>
          <w:rFonts w:ascii="Arial" w:hAnsi="Arial" w:cs="Arial"/>
          <w:sz w:val="20"/>
          <w:szCs w:val="20"/>
          <w:lang w:val="en-GB"/>
        </w:rPr>
        <w:t>&lt; 0.01, One-way ANOVA with Tukey’s post-hoc analysis,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</w:t>
      </w:r>
      <w:r w:rsidRPr="00EC6680">
        <w:rPr>
          <w:rFonts w:ascii="Arial" w:hAnsi="Arial" w:cs="Arial"/>
          <w:sz w:val="20"/>
          <w:szCs w:val="20"/>
        </w:rPr>
        <w:t xml:space="preserve">n= 4-6 mice/group). </w:t>
      </w:r>
      <w:r w:rsidRPr="00EC6680">
        <w:rPr>
          <w:rFonts w:ascii="Arial" w:hAnsi="Arial" w:cs="Arial"/>
          <w:b/>
          <w:bCs/>
          <w:sz w:val="20"/>
          <w:szCs w:val="20"/>
        </w:rPr>
        <w:t>b</w:t>
      </w:r>
      <w:r w:rsidRPr="00EC6680">
        <w:rPr>
          <w:rFonts w:ascii="Arial" w:hAnsi="Arial" w:cs="Arial"/>
          <w:sz w:val="20"/>
          <w:szCs w:val="20"/>
        </w:rPr>
        <w:t> Correlation analysis of γH2AX and hyperphosphorylated tau in 6-month-old 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> and G3Terc-/- 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> mice (Fig. 3a and S3a, Spearman correlation, n=10)</w:t>
      </w:r>
    </w:p>
    <w:p w14:paraId="1BF5370B" w14:textId="77777777" w:rsidR="00ED3BA3" w:rsidRPr="00EC6680" w:rsidRDefault="00ED3BA3" w:rsidP="00D60ECD">
      <w:pPr>
        <w:jc w:val="both"/>
        <w:rPr>
          <w:rFonts w:ascii="Arial" w:hAnsi="Arial" w:cs="Arial"/>
          <w:sz w:val="20"/>
          <w:szCs w:val="20"/>
        </w:rPr>
      </w:pPr>
    </w:p>
    <w:p w14:paraId="6BDDBEBE" w14:textId="77777777" w:rsidR="00716AF8" w:rsidRPr="00EC6680" w:rsidRDefault="00716AF8">
      <w:pPr>
        <w:rPr>
          <w:rFonts w:ascii="Arial" w:hAnsi="Arial" w:cs="Arial"/>
          <w:sz w:val="20"/>
          <w:szCs w:val="20"/>
        </w:rPr>
      </w:pPr>
    </w:p>
    <w:p w14:paraId="7580229B" w14:textId="00F7A9CF" w:rsidR="00035B6E" w:rsidRPr="00EC6680" w:rsidRDefault="00035B6E">
      <w:pPr>
        <w:rPr>
          <w:rFonts w:ascii="Arial" w:hAnsi="Arial" w:cs="Arial"/>
          <w:noProof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br w:type="page"/>
      </w:r>
    </w:p>
    <w:p w14:paraId="383A28FD" w14:textId="0A7EB90F" w:rsidR="00716AF8" w:rsidRPr="00EC6680" w:rsidRDefault="003E2766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D61E946" wp14:editId="3A8E32CA">
            <wp:extent cx="5623200" cy="2034000"/>
            <wp:effectExtent l="0" t="0" r="0" b="4445"/>
            <wp:docPr id="4131395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03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58B61" w14:textId="77777777" w:rsidR="003E2766" w:rsidRPr="00EC6680" w:rsidRDefault="003E2766" w:rsidP="009D054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S4 </w:t>
      </w:r>
      <w:r w:rsidRPr="00EC6680">
        <w:rPr>
          <w:rFonts w:ascii="Arial" w:hAnsi="Arial" w:cs="Arial"/>
          <w:sz w:val="20"/>
          <w:szCs w:val="20"/>
        </w:rPr>
        <w:t>Total tau levels are significantly increased in a senescent-tauopathy context in relatively aged mice. Quantification of total tau levels after normalization to actin (Fig. 3) in hippocampal and cortical protein extracts of 6-month-old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(</w:t>
      </w:r>
      <w:r w:rsidRPr="00EC6680">
        <w:rPr>
          <w:rFonts w:ascii="Arial" w:hAnsi="Arial" w:cs="Arial"/>
          <w:b/>
          <w:bCs/>
          <w:sz w:val="20"/>
          <w:szCs w:val="20"/>
        </w:rPr>
        <w:t>a</w:t>
      </w:r>
      <w:r w:rsidRPr="00EC6680">
        <w:rPr>
          <w:rFonts w:ascii="Arial" w:hAnsi="Arial" w:cs="Arial"/>
          <w:sz w:val="20"/>
          <w:szCs w:val="20"/>
        </w:rPr>
        <w:t>) and 9-month-old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 (</w:t>
      </w:r>
      <w:r w:rsidRPr="00EC6680">
        <w:rPr>
          <w:rFonts w:ascii="Arial" w:hAnsi="Arial" w:cs="Arial"/>
          <w:b/>
          <w:bCs/>
          <w:sz w:val="20"/>
          <w:szCs w:val="20"/>
        </w:rPr>
        <w:t>b</w:t>
      </w:r>
      <w:r w:rsidRPr="00EC6680">
        <w:rPr>
          <w:rFonts w:ascii="Arial" w:hAnsi="Arial" w:cs="Arial"/>
          <w:sz w:val="20"/>
          <w:szCs w:val="20"/>
        </w:rPr>
        <w:t xml:space="preserve">). </w:t>
      </w:r>
      <w:r w:rsidRPr="00EC6680">
        <w:rPr>
          <w:rFonts w:ascii="Arial" w:hAnsi="Arial" w:cs="Arial"/>
          <w:sz w:val="20"/>
          <w:szCs w:val="20"/>
          <w:lang w:val="nn-NO"/>
        </w:rPr>
        <w:t>*</w:t>
      </w:r>
      <w:r w:rsidRPr="00EC6680">
        <w:rPr>
          <w:rFonts w:ascii="Arial" w:hAnsi="Arial" w:cs="Arial"/>
          <w:i/>
          <w:iCs/>
          <w:sz w:val="20"/>
          <w:szCs w:val="20"/>
          <w:lang w:val="nn-NO"/>
        </w:rPr>
        <w:t>P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&lt; 0.05, </w:t>
      </w:r>
      <w:r w:rsidRPr="00EC6680">
        <w:rPr>
          <w:rFonts w:ascii="Arial" w:hAnsi="Arial" w:cs="Arial"/>
          <w:i/>
          <w:iCs/>
          <w:sz w:val="20"/>
          <w:szCs w:val="20"/>
          <w:lang w:val="en-GB"/>
        </w:rPr>
        <w:t>**P</w:t>
      </w:r>
      <w:r w:rsidRPr="00EC6680">
        <w:rPr>
          <w:rFonts w:ascii="Arial" w:hAnsi="Arial" w:cs="Arial"/>
          <w:sz w:val="20"/>
          <w:szCs w:val="20"/>
          <w:lang w:val="en-GB"/>
        </w:rPr>
        <w:t> &lt; 0.01 (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Student’s </w:t>
      </w:r>
      <w:r w:rsidRPr="00EC6680">
        <w:rPr>
          <w:rFonts w:ascii="Arial" w:hAnsi="Arial" w:cs="Arial"/>
          <w:i/>
          <w:iCs/>
          <w:sz w:val="20"/>
          <w:szCs w:val="20"/>
          <w:lang w:val="nn-NO"/>
        </w:rPr>
        <w:t>t-</w:t>
      </w:r>
      <w:r w:rsidRPr="00EC6680">
        <w:rPr>
          <w:rFonts w:ascii="Arial" w:hAnsi="Arial" w:cs="Arial"/>
          <w:sz w:val="20"/>
          <w:szCs w:val="20"/>
          <w:lang w:val="nn-NO"/>
        </w:rPr>
        <w:t>test or Mann-Whitney’s test</w:t>
      </w:r>
      <w:r w:rsidRPr="00EC6680">
        <w:rPr>
          <w:rFonts w:ascii="Arial" w:hAnsi="Arial" w:cs="Arial"/>
          <w:sz w:val="20"/>
          <w:szCs w:val="20"/>
          <w:lang w:val="en-GB"/>
        </w:rPr>
        <w:t>,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</w:t>
      </w:r>
      <w:r w:rsidRPr="00EC6680">
        <w:rPr>
          <w:rFonts w:ascii="Arial" w:hAnsi="Arial" w:cs="Arial"/>
          <w:sz w:val="20"/>
          <w:szCs w:val="20"/>
        </w:rPr>
        <w:t>n= 5-12 mice/group)</w:t>
      </w:r>
    </w:p>
    <w:p w14:paraId="23A0D91B" w14:textId="77777777" w:rsidR="003E2766" w:rsidRPr="00EC6680" w:rsidRDefault="003E2766" w:rsidP="00D60ECD">
      <w:pPr>
        <w:jc w:val="both"/>
        <w:rPr>
          <w:rFonts w:ascii="Arial" w:hAnsi="Arial" w:cs="Arial"/>
          <w:sz w:val="20"/>
          <w:szCs w:val="20"/>
        </w:rPr>
      </w:pPr>
    </w:p>
    <w:p w14:paraId="2A52622D" w14:textId="358D3449" w:rsidR="003E2766" w:rsidRPr="00EC6680" w:rsidRDefault="003E2766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770DE342" w14:textId="6EF46E38" w:rsidR="004E0ADC" w:rsidRPr="00EC6680" w:rsidRDefault="006E0B20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8F28F47" wp14:editId="32355E4B">
            <wp:extent cx="5623200" cy="3114000"/>
            <wp:effectExtent l="0" t="0" r="0" b="0"/>
            <wp:docPr id="1442149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31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F2D0D" w14:textId="3F632638" w:rsidR="00716AF8" w:rsidRPr="00EC6680" w:rsidRDefault="00716AF8">
      <w:pPr>
        <w:rPr>
          <w:rFonts w:ascii="Arial" w:hAnsi="Arial" w:cs="Arial"/>
          <w:sz w:val="20"/>
          <w:szCs w:val="20"/>
        </w:rPr>
      </w:pPr>
    </w:p>
    <w:p w14:paraId="3AA3C383" w14:textId="77777777" w:rsidR="006E0B20" w:rsidRPr="00EC6680" w:rsidRDefault="006E0B20" w:rsidP="009D054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S5 </w:t>
      </w:r>
      <w:r w:rsidRPr="00EC6680">
        <w:rPr>
          <w:rFonts w:ascii="Arial" w:hAnsi="Arial" w:cs="Arial"/>
          <w:sz w:val="20"/>
          <w:szCs w:val="20"/>
        </w:rPr>
        <w:t xml:space="preserve">Lack of truncated and oligomeric tau in non-tauopathy mice. WB analysis of 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truncated and oligomeric tau levels in soluble and insoluble protein extracts from </w:t>
      </w:r>
      <w:r w:rsidRPr="00EC6680">
        <w:rPr>
          <w:rFonts w:ascii="Arial" w:hAnsi="Arial" w:cs="Arial"/>
          <w:sz w:val="20"/>
          <w:szCs w:val="20"/>
        </w:rPr>
        <w:t>9-month-old WT,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mouse hippocampi, 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using a total tau antibody (D1M9X clone). In the absence of mutated human tau (non-tauopathy conditions), there are no visible bands corresponding to truncated or oligomeric tau. </w:t>
      </w:r>
    </w:p>
    <w:p w14:paraId="79C98F32" w14:textId="77777777" w:rsidR="006E0B20" w:rsidRPr="00EC6680" w:rsidRDefault="006E0B20" w:rsidP="00AA5042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AD6C245" w14:textId="77777777" w:rsidR="00AA5042" w:rsidRPr="00EC6680" w:rsidRDefault="00AA5042" w:rsidP="004E0AD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51206B3" w14:textId="5F97D120" w:rsidR="004E0ADC" w:rsidRPr="00EC6680" w:rsidRDefault="004E0ADC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7A01680B" w14:textId="6C1D9AFD" w:rsidR="00716AF8" w:rsidRPr="00EC6680" w:rsidRDefault="008D26E1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6C92947" wp14:editId="46CFD359">
            <wp:extent cx="5623200" cy="3510000"/>
            <wp:effectExtent l="0" t="0" r="0" b="0"/>
            <wp:docPr id="1896812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35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4E4F6" w14:textId="77777777" w:rsidR="008D26E1" w:rsidRPr="00EC6680" w:rsidRDefault="008D26E1" w:rsidP="009D054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>Fig. S6 </w:t>
      </w:r>
      <w:r w:rsidRPr="00EC6680">
        <w:rPr>
          <w:rFonts w:ascii="Arial" w:hAnsi="Arial" w:cs="Arial"/>
          <w:sz w:val="20"/>
          <w:szCs w:val="20"/>
        </w:rPr>
        <w:t>Dystrophic microglia is observed in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brains. Iba1 (red) immunofluorescence representative images of 9-month-old WT,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brains by confocal microscopy. Apparent beading and fragmentation of microglia projections, signs of dystrophic microglia (white arrow heads), were observed exclusively in the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condition</w:t>
      </w:r>
    </w:p>
    <w:p w14:paraId="4904232D" w14:textId="77777777" w:rsidR="008D26E1" w:rsidRPr="00EC6680" w:rsidRDefault="008D26E1" w:rsidP="00D60ECD">
      <w:pPr>
        <w:jc w:val="both"/>
        <w:rPr>
          <w:rFonts w:ascii="Arial" w:hAnsi="Arial" w:cs="Arial"/>
          <w:sz w:val="20"/>
          <w:szCs w:val="20"/>
        </w:rPr>
      </w:pPr>
    </w:p>
    <w:p w14:paraId="4EA8CC6B" w14:textId="3CB70202" w:rsidR="004E0ADC" w:rsidRPr="00EC6680" w:rsidRDefault="004E0ADC" w:rsidP="00D60ECD">
      <w:pPr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23E92A9D" w14:textId="63244FBB" w:rsidR="00716AF8" w:rsidRPr="00EC6680" w:rsidRDefault="002C31C3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DDFF7AB" wp14:editId="0313A835">
            <wp:extent cx="5623200" cy="1432800"/>
            <wp:effectExtent l="0" t="0" r="0" b="0"/>
            <wp:docPr id="15916171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14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1E61A" w14:textId="77777777" w:rsidR="002C31C3" w:rsidRPr="00EC6680" w:rsidRDefault="002C31C3" w:rsidP="009D054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 xml:space="preserve">Fig. S7 </w:t>
      </w:r>
      <w:r w:rsidRPr="00EC6680">
        <w:rPr>
          <w:rFonts w:ascii="Arial" w:hAnsi="Arial" w:cs="Arial"/>
          <w:sz w:val="20"/>
          <w:szCs w:val="20"/>
        </w:rPr>
        <w:t xml:space="preserve">Senescence does not affect 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neurodegeneration in </w:t>
      </w:r>
      <w:r w:rsidRPr="00EC6680">
        <w:rPr>
          <w:rFonts w:ascii="Arial" w:hAnsi="Arial" w:cs="Arial"/>
          <w:sz w:val="20"/>
          <w:szCs w:val="20"/>
        </w:rPr>
        <w:t>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brains at 6 months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. </w:t>
      </w:r>
      <w:r w:rsidRPr="00EC6680">
        <w:rPr>
          <w:rFonts w:ascii="Arial" w:hAnsi="Arial" w:cs="Arial"/>
          <w:b/>
          <w:bCs/>
          <w:sz w:val="20"/>
          <w:szCs w:val="20"/>
          <w:lang w:val="en-GB"/>
        </w:rPr>
        <w:t xml:space="preserve">a </w:t>
      </w:r>
      <w:r w:rsidRPr="00EC6680">
        <w:rPr>
          <w:rFonts w:ascii="Arial" w:hAnsi="Arial" w:cs="Arial"/>
          <w:sz w:val="20"/>
          <w:szCs w:val="20"/>
          <w:lang w:val="en-GB"/>
        </w:rPr>
        <w:t xml:space="preserve">WB evaluation of NeuN expression in hippocampal extracts from </w:t>
      </w:r>
      <w:r w:rsidRPr="00EC6680">
        <w:rPr>
          <w:rFonts w:ascii="Arial" w:hAnsi="Arial" w:cs="Arial"/>
          <w:sz w:val="20"/>
          <w:szCs w:val="20"/>
        </w:rPr>
        <w:t>6-month-old WT,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</w:t>
      </w:r>
      <w:r w:rsidRPr="00EC6680">
        <w:rPr>
          <w:rFonts w:ascii="Arial" w:hAnsi="Arial" w:cs="Arial"/>
          <w:sz w:val="20"/>
          <w:szCs w:val="20"/>
          <w:lang w:val="en-GB"/>
        </w:rPr>
        <w:t>.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</w:t>
      </w:r>
      <w:r w:rsidRPr="00EC6680">
        <w:rPr>
          <w:rFonts w:ascii="Arial" w:hAnsi="Arial" w:cs="Arial"/>
          <w:sz w:val="20"/>
          <w:szCs w:val="20"/>
          <w:lang w:val="en-GB"/>
        </w:rPr>
        <w:t>One-way ANOVA with Tukey’s post-hoc analysis,</w:t>
      </w:r>
      <w:r w:rsidRPr="00EC6680">
        <w:rPr>
          <w:rFonts w:ascii="Arial" w:hAnsi="Arial" w:cs="Arial"/>
          <w:sz w:val="20"/>
          <w:szCs w:val="20"/>
          <w:lang w:val="nn-NO"/>
        </w:rPr>
        <w:t xml:space="preserve"> </w:t>
      </w:r>
      <w:r w:rsidRPr="00EC6680">
        <w:rPr>
          <w:rFonts w:ascii="Arial" w:hAnsi="Arial" w:cs="Arial"/>
          <w:sz w:val="20"/>
          <w:szCs w:val="20"/>
        </w:rPr>
        <w:t xml:space="preserve">n= 5-6 mice/group. </w:t>
      </w:r>
      <w:r w:rsidRPr="00EC6680">
        <w:rPr>
          <w:rFonts w:ascii="Arial" w:hAnsi="Arial" w:cs="Arial"/>
          <w:b/>
          <w:bCs/>
          <w:sz w:val="20"/>
          <w:szCs w:val="20"/>
        </w:rPr>
        <w:t>b</w:t>
      </w:r>
      <w:r w:rsidRPr="00EC6680">
        <w:rPr>
          <w:rFonts w:ascii="Arial" w:hAnsi="Arial" w:cs="Arial"/>
          <w:sz w:val="20"/>
          <w:szCs w:val="20"/>
        </w:rPr>
        <w:t xml:space="preserve"> NeuN immunofluorescence representative images from WT,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>,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G3Terc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</w:t>
      </w:r>
    </w:p>
    <w:p w14:paraId="2655A428" w14:textId="77777777" w:rsidR="002C31C3" w:rsidRPr="00EC6680" w:rsidRDefault="002C31C3" w:rsidP="00D60ECD">
      <w:pPr>
        <w:jc w:val="both"/>
        <w:rPr>
          <w:rFonts w:ascii="Arial" w:hAnsi="Arial" w:cs="Arial"/>
          <w:sz w:val="20"/>
          <w:szCs w:val="20"/>
        </w:rPr>
      </w:pPr>
    </w:p>
    <w:p w14:paraId="70668DAF" w14:textId="295658C7" w:rsidR="002C31C3" w:rsidRPr="00EC6680" w:rsidRDefault="002C31C3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70989AD7" w14:textId="499F1BE3" w:rsidR="002C31C3" w:rsidRPr="00EC6680" w:rsidRDefault="00D4781B" w:rsidP="00D60ECD">
      <w:pPr>
        <w:jc w:val="both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85F8742" wp14:editId="77FDAE20">
            <wp:extent cx="5623200" cy="1933200"/>
            <wp:effectExtent l="0" t="0" r="0" b="0"/>
            <wp:docPr id="81151545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193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FE80F" w14:textId="77777777" w:rsidR="00D4781B" w:rsidRPr="00EC6680" w:rsidRDefault="00D4781B" w:rsidP="009D0545">
      <w:pPr>
        <w:spacing w:line="276" w:lineRule="auto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 xml:space="preserve">Fig. S8 </w:t>
      </w:r>
      <w:r w:rsidRPr="00EC6680">
        <w:rPr>
          <w:rFonts w:ascii="Arial" w:hAnsi="Arial" w:cs="Arial"/>
          <w:sz w:val="20"/>
          <w:szCs w:val="20"/>
        </w:rPr>
        <w:t xml:space="preserve">Pathological tau immunostaining and neuroinflammation negatively correlate with hippocampal volume. </w:t>
      </w:r>
      <w:r w:rsidRPr="00EC6680">
        <w:rPr>
          <w:rFonts w:ascii="Arial" w:hAnsi="Arial" w:cs="Arial"/>
          <w:b/>
          <w:bCs/>
          <w:sz w:val="20"/>
          <w:szCs w:val="20"/>
        </w:rPr>
        <w:t>a</w:t>
      </w:r>
      <w:r w:rsidRPr="00EC6680">
        <w:rPr>
          <w:rFonts w:ascii="Arial" w:hAnsi="Arial" w:cs="Arial"/>
          <w:sz w:val="20"/>
          <w:szCs w:val="20"/>
        </w:rPr>
        <w:t xml:space="preserve"> Correlation analysis of the relationship between hyperphosphorylated tau (AT8-positive area) and hippocampal volume (mm</w:t>
      </w:r>
      <w:r w:rsidRPr="00EC6680">
        <w:rPr>
          <w:rFonts w:ascii="Arial" w:hAnsi="Arial" w:cs="Arial"/>
          <w:sz w:val="20"/>
          <w:szCs w:val="20"/>
          <w:vertAlign w:val="superscript"/>
        </w:rPr>
        <w:t>3</w:t>
      </w:r>
      <w:r w:rsidRPr="00EC6680">
        <w:rPr>
          <w:rFonts w:ascii="Arial" w:hAnsi="Arial" w:cs="Arial"/>
          <w:sz w:val="20"/>
          <w:szCs w:val="20"/>
        </w:rPr>
        <w:t>) in 9-month-old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 (Fig. 2 and 8, Spearman correlation, n=20). </w:t>
      </w:r>
      <w:r w:rsidRPr="00EC6680">
        <w:rPr>
          <w:rFonts w:ascii="Arial" w:hAnsi="Arial" w:cs="Arial"/>
          <w:b/>
          <w:bCs/>
          <w:sz w:val="20"/>
          <w:szCs w:val="20"/>
        </w:rPr>
        <w:t>b-c</w:t>
      </w:r>
      <w:r w:rsidRPr="00EC6680">
        <w:rPr>
          <w:rFonts w:ascii="Arial" w:hAnsi="Arial" w:cs="Arial"/>
          <w:sz w:val="20"/>
          <w:szCs w:val="20"/>
        </w:rPr>
        <w:t xml:space="preserve"> Correlation analysis of the relationship between hyperphosphorylated tau (AT8 area) and neuroinflammatory markers of astrogliosis (GFAP area) (</w:t>
      </w:r>
      <w:r w:rsidRPr="00EC6680">
        <w:rPr>
          <w:rFonts w:ascii="Arial" w:hAnsi="Arial" w:cs="Arial"/>
          <w:b/>
          <w:bCs/>
          <w:sz w:val="20"/>
          <w:szCs w:val="20"/>
        </w:rPr>
        <w:t>b</w:t>
      </w:r>
      <w:r w:rsidRPr="00EC6680">
        <w:rPr>
          <w:rFonts w:ascii="Arial" w:hAnsi="Arial" w:cs="Arial"/>
          <w:sz w:val="20"/>
          <w:szCs w:val="20"/>
        </w:rPr>
        <w:t>) and microgliosis (Iba1 area) (</w:t>
      </w:r>
      <w:r w:rsidRPr="00EC6680">
        <w:rPr>
          <w:rFonts w:ascii="Arial" w:hAnsi="Arial" w:cs="Arial"/>
          <w:b/>
          <w:bCs/>
          <w:sz w:val="20"/>
          <w:szCs w:val="20"/>
        </w:rPr>
        <w:t>c</w:t>
      </w:r>
      <w:r w:rsidRPr="00EC6680">
        <w:rPr>
          <w:rFonts w:ascii="Arial" w:hAnsi="Arial" w:cs="Arial"/>
          <w:sz w:val="20"/>
          <w:szCs w:val="20"/>
        </w:rPr>
        <w:t>) in 9-month-old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and G2Terc</w:t>
      </w:r>
      <w:r w:rsidRPr="00EC6680">
        <w:rPr>
          <w:rFonts w:ascii="Arial" w:hAnsi="Arial" w:cs="Arial"/>
          <w:sz w:val="20"/>
          <w:szCs w:val="20"/>
          <w:vertAlign w:val="superscript"/>
        </w:rPr>
        <w:t>-/-</w:t>
      </w:r>
      <w:r w:rsidRPr="00EC6680">
        <w:rPr>
          <w:rFonts w:ascii="Arial" w:hAnsi="Arial" w:cs="Arial"/>
          <w:sz w:val="20"/>
          <w:szCs w:val="20"/>
        </w:rPr>
        <w:t xml:space="preserve"> Tau</w:t>
      </w:r>
      <w:r w:rsidRPr="00EC6680">
        <w:rPr>
          <w:rFonts w:ascii="Arial" w:hAnsi="Arial" w:cs="Arial"/>
          <w:sz w:val="20"/>
          <w:szCs w:val="20"/>
          <w:vertAlign w:val="superscript"/>
        </w:rPr>
        <w:t>Tg</w:t>
      </w:r>
      <w:r w:rsidRPr="00EC6680">
        <w:rPr>
          <w:rFonts w:ascii="Arial" w:hAnsi="Arial" w:cs="Arial"/>
          <w:sz w:val="20"/>
          <w:szCs w:val="20"/>
        </w:rPr>
        <w:t xml:space="preserve"> mice (Fig. 2 and 6, Spearman correlation, n=20). </w:t>
      </w:r>
    </w:p>
    <w:p w14:paraId="05DE2E15" w14:textId="77777777" w:rsidR="004E0ADC" w:rsidRPr="00EC6680" w:rsidRDefault="004E0ADC">
      <w:pPr>
        <w:rPr>
          <w:rFonts w:ascii="Arial" w:hAnsi="Arial" w:cs="Arial"/>
          <w:sz w:val="20"/>
          <w:szCs w:val="20"/>
        </w:rPr>
      </w:pPr>
    </w:p>
    <w:p w14:paraId="021D9930" w14:textId="77777777" w:rsidR="00716AF8" w:rsidRPr="00EC6680" w:rsidRDefault="00716AF8">
      <w:pPr>
        <w:rPr>
          <w:rFonts w:ascii="Arial" w:hAnsi="Arial" w:cs="Arial"/>
          <w:sz w:val="20"/>
          <w:szCs w:val="20"/>
        </w:rPr>
      </w:pPr>
    </w:p>
    <w:p w14:paraId="0D5A4FDF" w14:textId="07E232BE" w:rsidR="004E0ADC" w:rsidRPr="00EC6680" w:rsidRDefault="004E0ADC">
      <w:pPr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sz w:val="20"/>
          <w:szCs w:val="20"/>
        </w:rPr>
        <w:br w:type="page"/>
      </w:r>
    </w:p>
    <w:p w14:paraId="1EDFFDF2" w14:textId="6B2DBCAC" w:rsidR="00716AF8" w:rsidRPr="00EC6680" w:rsidRDefault="00716AF8" w:rsidP="002E6EF5">
      <w:pPr>
        <w:jc w:val="center"/>
        <w:rPr>
          <w:rFonts w:ascii="Arial" w:hAnsi="Arial" w:cs="Arial"/>
          <w:sz w:val="20"/>
          <w:szCs w:val="20"/>
        </w:rPr>
      </w:pPr>
    </w:p>
    <w:p w14:paraId="3701A2CD" w14:textId="77777777" w:rsidR="001862E8" w:rsidRPr="00EC6680" w:rsidRDefault="001862E8" w:rsidP="001862E8">
      <w:pPr>
        <w:rPr>
          <w:rFonts w:ascii="Arial" w:hAnsi="Arial" w:cs="Arial"/>
          <w:b/>
          <w:bCs/>
        </w:rPr>
      </w:pPr>
      <w:r w:rsidRPr="00EC6680">
        <w:rPr>
          <w:rFonts w:ascii="Arial" w:hAnsi="Arial" w:cs="Arial"/>
          <w:b/>
          <w:bCs/>
        </w:rPr>
        <w:t>Supplementary Tables</w:t>
      </w:r>
    </w:p>
    <w:p w14:paraId="70B0750F" w14:textId="1FE9A064" w:rsidR="004E0ADC" w:rsidRPr="00EC6680" w:rsidRDefault="00604C2B">
      <w:pPr>
        <w:rPr>
          <w:rFonts w:ascii="Arial" w:hAnsi="Arial" w:cs="Arial"/>
          <w:noProof/>
          <w:sz w:val="20"/>
          <w:szCs w:val="20"/>
        </w:rPr>
      </w:pPr>
      <w:r w:rsidRPr="00EC6680">
        <w:rPr>
          <w:rFonts w:ascii="Arial" w:hAnsi="Arial" w:cs="Arial"/>
          <w:b/>
          <w:bCs/>
          <w:noProof/>
          <w:sz w:val="20"/>
          <w:szCs w:val="20"/>
        </w:rPr>
        <w:t xml:space="preserve">Table S1 </w:t>
      </w:r>
      <w:r w:rsidRPr="00EC6680">
        <w:rPr>
          <w:rFonts w:ascii="Arial" w:hAnsi="Arial" w:cs="Arial"/>
          <w:noProof/>
          <w:sz w:val="20"/>
          <w:szCs w:val="20"/>
        </w:rPr>
        <w:t>Sequences of primers used for quantitative RT-PCR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9"/>
        <w:gridCol w:w="3126"/>
        <w:gridCol w:w="3092"/>
      </w:tblGrid>
      <w:tr w:rsidR="00EC6680" w:rsidRPr="00EC6680" w14:paraId="3067E71C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91260B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Target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6D4729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Forward (5’- 3’)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4FD9EB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Reverse (5’- 3’)</w:t>
            </w:r>
          </w:p>
        </w:tc>
      </w:tr>
      <w:tr w:rsidR="00EC6680" w:rsidRPr="00EC6680" w14:paraId="34111336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19F5BD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Il1b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F521F7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GCAACTGTTCCTGAACTCAACT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24AD16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ATCTTTTGGGGTCCGTCAACT</w:t>
            </w:r>
          </w:p>
        </w:tc>
      </w:tr>
      <w:tr w:rsidR="00EC6680" w:rsidRPr="00EC6680" w14:paraId="40C0E1F6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1ADFE1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Cxcl1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0B6560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AACCGAAGTCATAGCCACAC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3CD4EA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GACACCTTTTAGCATCTTTTGG</w:t>
            </w:r>
          </w:p>
        </w:tc>
      </w:tr>
      <w:tr w:rsidR="00EC6680" w:rsidRPr="00EC6680" w14:paraId="497FE964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A962C0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p19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3E250E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CGCAGGTTCTTGGTCACTGT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08AF7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TGTTCACAGAAGCCAGAGCG</w:t>
            </w:r>
          </w:p>
        </w:tc>
      </w:tr>
      <w:tr w:rsidR="00EC6680" w:rsidRPr="00EC6680" w14:paraId="62EEADAB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97BFE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p21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690E0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CCTGGTGATGTCCGACCTG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708D6E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CCATGAGCGCATCGCAATC</w:t>
            </w:r>
          </w:p>
        </w:tc>
      </w:tr>
      <w:tr w:rsidR="00EC6680" w:rsidRPr="00EC6680" w14:paraId="06D80B09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896AEF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Tbp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D84FA8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GATGTGCGTCAGGCGTTC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74AB30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GGGTTATCTTCACACACCATGA</w:t>
            </w:r>
          </w:p>
        </w:tc>
      </w:tr>
      <w:tr w:rsidR="00EC6680" w:rsidRPr="00EC6680" w14:paraId="783292CA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C0D65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Gapdh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0AAD37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ACCCAGAAGACTGTGGATGG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3E26F" w14:textId="77777777" w:rsidR="00604C2B" w:rsidRPr="00EC6680" w:rsidRDefault="00604C2B" w:rsidP="00604C2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EC668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ACACATTGGGGGTAGGAAC</w:t>
            </w:r>
          </w:p>
        </w:tc>
      </w:tr>
      <w:tr w:rsidR="00EC6680" w:rsidRPr="00EC6680" w14:paraId="21DBA142" w14:textId="77777777" w:rsidTr="00AE5DEF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5F831" w14:textId="5725312F" w:rsidR="00AE5DEF" w:rsidRPr="00EC6680" w:rsidRDefault="00AE5DEF" w:rsidP="00AE5DE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EC6680">
              <w:rPr>
                <w:rFonts w:ascii="Arial" w:hAnsi="Arial" w:cs="Arial"/>
                <w:kern w:val="24"/>
                <w:sz w:val="20"/>
                <w:szCs w:val="20"/>
                <w:lang w:val="en-GB"/>
              </w:rPr>
              <w:t>Human Tau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DF34A8" w14:textId="48DCC6E5" w:rsidR="00AE5DEF" w:rsidRPr="00EC6680" w:rsidRDefault="00AE5DEF" w:rsidP="00AE5DE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EC6680">
              <w:rPr>
                <w:rFonts w:ascii="Arial" w:hAnsi="Arial" w:cs="Arial"/>
                <w:kern w:val="24"/>
                <w:sz w:val="20"/>
                <w:szCs w:val="20"/>
                <w:lang w:val="en-GB"/>
              </w:rPr>
              <w:t>GTCGAAGATTGGGTCCCT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40E77" w14:textId="58C70B78" w:rsidR="00AE5DEF" w:rsidRPr="00EC6680" w:rsidRDefault="00AE5DEF" w:rsidP="00AE5DE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EC6680">
              <w:rPr>
                <w:rFonts w:ascii="Arial" w:hAnsi="Arial" w:cs="Arial"/>
                <w:kern w:val="24"/>
                <w:sz w:val="20"/>
                <w:szCs w:val="20"/>
                <w:lang w:val="en-GB"/>
              </w:rPr>
              <w:t>GACACCACTGGCGACTTGTA</w:t>
            </w:r>
          </w:p>
        </w:tc>
      </w:tr>
    </w:tbl>
    <w:p w14:paraId="45A42BA6" w14:textId="77777777" w:rsidR="00604C2B" w:rsidRPr="00EC6680" w:rsidRDefault="00604C2B">
      <w:pPr>
        <w:rPr>
          <w:rFonts w:ascii="Arial" w:hAnsi="Arial" w:cs="Arial"/>
          <w:noProof/>
          <w:sz w:val="20"/>
          <w:szCs w:val="20"/>
        </w:rPr>
      </w:pPr>
    </w:p>
    <w:p w14:paraId="14C18B33" w14:textId="77777777" w:rsidR="00447C5D" w:rsidRPr="00EC6680" w:rsidRDefault="00447C5D">
      <w:pPr>
        <w:rPr>
          <w:rFonts w:ascii="Arial" w:hAnsi="Arial" w:cs="Arial"/>
          <w:noProof/>
          <w:sz w:val="20"/>
          <w:szCs w:val="20"/>
        </w:rPr>
      </w:pPr>
    </w:p>
    <w:p w14:paraId="5C58048D" w14:textId="77777777" w:rsidR="00447C5D" w:rsidRPr="00EC6680" w:rsidRDefault="00447C5D">
      <w:pPr>
        <w:rPr>
          <w:rFonts w:ascii="Arial" w:hAnsi="Arial" w:cs="Arial"/>
          <w:noProof/>
          <w:sz w:val="20"/>
          <w:szCs w:val="20"/>
        </w:rPr>
      </w:pPr>
    </w:p>
    <w:p w14:paraId="3A4DAE03" w14:textId="6005DF65" w:rsidR="004E0ADC" w:rsidRPr="00EC6680" w:rsidRDefault="004E0ADC">
      <w:pPr>
        <w:rPr>
          <w:rFonts w:ascii="Arial" w:hAnsi="Arial" w:cs="Arial"/>
          <w:noProof/>
          <w:sz w:val="20"/>
          <w:szCs w:val="20"/>
        </w:rPr>
      </w:pPr>
      <w:r w:rsidRPr="00EC6680">
        <w:rPr>
          <w:rFonts w:ascii="Arial" w:hAnsi="Arial" w:cs="Arial"/>
          <w:noProof/>
          <w:sz w:val="20"/>
          <w:szCs w:val="20"/>
        </w:rPr>
        <w:br w:type="page"/>
      </w:r>
    </w:p>
    <w:p w14:paraId="204D0175" w14:textId="7398D883" w:rsidR="00716AF8" w:rsidRPr="00EC6680" w:rsidRDefault="00716AF8" w:rsidP="002E6EF5">
      <w:pPr>
        <w:jc w:val="center"/>
        <w:rPr>
          <w:rFonts w:ascii="Arial" w:hAnsi="Arial" w:cs="Arial"/>
          <w:sz w:val="20"/>
          <w:szCs w:val="20"/>
        </w:rPr>
      </w:pPr>
    </w:p>
    <w:p w14:paraId="5D7DFA32" w14:textId="77777777" w:rsidR="00A925CF" w:rsidRPr="00EC6680" w:rsidRDefault="00A925CF" w:rsidP="00A925CF">
      <w:pPr>
        <w:spacing w:line="240" w:lineRule="auto"/>
        <w:rPr>
          <w:rFonts w:ascii="Arial" w:hAnsi="Arial" w:cs="Arial"/>
          <w:sz w:val="20"/>
          <w:szCs w:val="20"/>
        </w:rPr>
      </w:pPr>
      <w:r w:rsidRPr="00EC6680">
        <w:rPr>
          <w:rFonts w:ascii="Arial" w:hAnsi="Arial" w:cs="Arial"/>
          <w:b/>
          <w:bCs/>
          <w:sz w:val="20"/>
          <w:szCs w:val="20"/>
        </w:rPr>
        <w:t xml:space="preserve">Table S2 </w:t>
      </w:r>
      <w:r w:rsidRPr="00EC6680">
        <w:rPr>
          <w:rFonts w:ascii="Arial" w:hAnsi="Arial" w:cs="Arial"/>
          <w:sz w:val="20"/>
          <w:szCs w:val="20"/>
        </w:rPr>
        <w:t>Information on primary antibodies</w:t>
      </w:r>
    </w:p>
    <w:tbl>
      <w:tblPr>
        <w:tblW w:w="93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7"/>
        <w:gridCol w:w="1558"/>
        <w:gridCol w:w="2194"/>
        <w:gridCol w:w="1716"/>
        <w:gridCol w:w="2115"/>
      </w:tblGrid>
      <w:tr w:rsidR="00EC6680" w:rsidRPr="00EC6680" w14:paraId="1F68DD63" w14:textId="77777777" w:rsidTr="00D43B15">
        <w:trPr>
          <w:trHeight w:val="20"/>
        </w:trPr>
        <w:tc>
          <w:tcPr>
            <w:tcW w:w="1757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26FE84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Target</w:t>
            </w:r>
          </w:p>
        </w:tc>
        <w:tc>
          <w:tcPr>
            <w:tcW w:w="1558" w:type="dxa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A2E67A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Clone</w:t>
            </w:r>
          </w:p>
        </w:tc>
        <w:tc>
          <w:tcPr>
            <w:tcW w:w="2194" w:type="dxa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14C0BB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Source</w:t>
            </w:r>
          </w:p>
        </w:tc>
        <w:tc>
          <w:tcPr>
            <w:tcW w:w="1716" w:type="dxa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D69A02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Reference</w:t>
            </w:r>
          </w:p>
        </w:tc>
        <w:tc>
          <w:tcPr>
            <w:tcW w:w="2115" w:type="dxa"/>
            <w:tcBorders>
              <w:top w:val="single" w:sz="1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832C980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Application (Dilution)</w:t>
            </w:r>
          </w:p>
        </w:tc>
      </w:tr>
      <w:tr w:rsidR="00EC6680" w:rsidRPr="00EC6680" w14:paraId="263EA30A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501E70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Actin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509872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992F48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Sigma-Aldrich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5BBC79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A2066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FE3EE6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(1:5,000)</w:t>
            </w:r>
          </w:p>
        </w:tc>
      </w:tr>
      <w:tr w:rsidR="00EC6680" w:rsidRPr="00EC6680" w14:paraId="1EF42B3E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C018F7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AMPK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>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2EAE54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86BF04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FEE835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2532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C3100B0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7347BEB6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82BB20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CDK5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F5A965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J-3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1460D2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Santa Cruz Biotechnology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773559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sc-6247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EA6E26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(1:500)</w:t>
            </w:r>
          </w:p>
        </w:tc>
      </w:tr>
      <w:tr w:rsidR="00EC6680" w:rsidRPr="00EC6680" w14:paraId="2715B53E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26C48A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Erk1/2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F2BDDF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137F5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0EE7E5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872430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4695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28302F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39B55F77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6D6DA9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GFAP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B8C051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ASTRO6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5ABBBA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Fisher Scientific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84A414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MA5-12023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3B7B55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68EB891B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E1C384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GFAP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BA8437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1317C0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26F26A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ab4674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D2AAAE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IF (1:1,000)</w:t>
            </w:r>
          </w:p>
        </w:tc>
      </w:tr>
      <w:tr w:rsidR="00EC6680" w:rsidRPr="00EC6680" w14:paraId="53A918D6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EF7C74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GluR1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2A4829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C3T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C32197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Sigma-Aldrich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06EE60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04-855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9F3A90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(1:5,000)</w:t>
            </w:r>
          </w:p>
        </w:tc>
      </w:tr>
      <w:tr w:rsidR="00EC6680" w:rsidRPr="00EC6680" w14:paraId="26AE37E1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2A9DA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GSK3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>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2EF4705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27C10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084508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F11157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9315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D725830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(1:2,000)</w:t>
            </w:r>
          </w:p>
        </w:tc>
      </w:tr>
      <w:tr w:rsidR="00EC6680" w:rsidRPr="00EC6680" w14:paraId="1EBEE86E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582342" w14:textId="49060ADE" w:rsidR="00AB1297" w:rsidRPr="00EC6680" w:rsidRDefault="00AB1297" w:rsidP="00AB1297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Human Tau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C4D6740" w14:textId="07DBD146" w:rsidR="00AB1297" w:rsidRPr="00EC6680" w:rsidRDefault="00AB1297" w:rsidP="00AB1297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Tau13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07EFF02" w14:textId="16F8301E" w:rsidR="00AB1297" w:rsidRPr="00EC6680" w:rsidRDefault="00AB1297" w:rsidP="00AB1297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BioLegend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309B3D6" w14:textId="4A5A9F87" w:rsidR="00AB1297" w:rsidRPr="00EC6680" w:rsidRDefault="00AB1297" w:rsidP="00AB1297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835201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44F6DB" w14:textId="11A6D377" w:rsidR="00AB1297" w:rsidRPr="00EC6680" w:rsidRDefault="00AB1297" w:rsidP="00AB1297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IF (1:1,000)</w:t>
            </w:r>
          </w:p>
        </w:tc>
      </w:tr>
      <w:tr w:rsidR="00EC6680" w:rsidRPr="00EC6680" w14:paraId="68AB3983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4A271C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Iba1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6F2C9B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EPR16588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B321C3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C7171E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ab178846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72B716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IF (1:500), WB (1:500)</w:t>
            </w:r>
          </w:p>
        </w:tc>
      </w:tr>
      <w:tr w:rsidR="00EC6680" w:rsidRPr="00EC6680" w14:paraId="6BADA928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BCA4B6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NeuN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ABB8F1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86CB1E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CF0E6B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ab104225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0D0F75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IF (1:1,000), WB (1:10,000)</w:t>
            </w:r>
          </w:p>
        </w:tc>
      </w:tr>
      <w:tr w:rsidR="00EC6680" w:rsidRPr="00EC6680" w14:paraId="46F6662A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03F5A9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NMDAR2B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83505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13/NMDAR2B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DAEBCC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BD Biosciences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38D00F5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610417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36A7AD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(1:500)</w:t>
            </w:r>
          </w:p>
        </w:tc>
      </w:tr>
      <w:tr w:rsidR="00EC6680" w:rsidRPr="00EC6680" w14:paraId="7CB1FC48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5BA229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pAMPK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 xml:space="preserve">α 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Thr172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0CEB43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40H9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4E420B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EC7963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2535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DADF3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7485AADD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32860A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pErk1/2 Thr202/Tyr204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F11176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(D13.14.4E) XP®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DBC76E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2297E1E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4370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CD7F95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1A5AA406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6F8D0D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pGSK3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 xml:space="preserve">β 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Tyr216 + pGSK3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 xml:space="preserve">α 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Tyr279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270284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3C5649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6B19F7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ab75745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73EAC0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0E84AAFF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25329F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PSD-95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B7E7E0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EB6292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Abcam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D5505F2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ab18258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1D1F3D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(1:2,000)</w:t>
            </w:r>
          </w:p>
        </w:tc>
      </w:tr>
      <w:tr w:rsidR="00EC6680" w:rsidRPr="00EC6680" w14:paraId="22804103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2A09FF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Ser202 + Thr205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725FB2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AT8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721165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ThermoFisher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B637F5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MN1020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318339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IF (1:500), WB (1:3,000)</w:t>
            </w:r>
          </w:p>
        </w:tc>
      </w:tr>
      <w:tr w:rsidR="00EC6680" w:rsidRPr="00EC6680" w14:paraId="08AC1539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D4ACE0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Ser396 + Ser404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9CFD13E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PHF-1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49B0F6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Peter Davies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BAB31D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/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1A316BD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70A602E1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CB6E6E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Ser422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FC4F26E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195168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ThermoFisher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F8D946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44-764G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583141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005A19D4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BC953B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Thr181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59E905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AT270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F143E2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ThermoFisher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6A17B98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MN1050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C0F41B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(1:3,000)</w:t>
            </w:r>
          </w:p>
        </w:tc>
      </w:tr>
      <w:tr w:rsidR="00EC6680" w:rsidRPr="00EC6680" w14:paraId="37F08241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B9D7A8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Thr231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372AD2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AT180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16A12DA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ThermoFisher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D6212EE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MN1040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67D173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51CBC17A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0C1D966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pTau</w:t>
            </w:r>
            <w:proofErr w:type="spellEnd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 xml:space="preserve"> Thr262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7BDD31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8587D5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ThermoFisher</w:t>
            </w:r>
            <w:proofErr w:type="spellEnd"/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5CE285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44-750G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0EF278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  <w:tr w:rsidR="00EC6680" w:rsidRPr="00EC6680" w14:paraId="4F58A0BF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0CA4CF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Synaptophysin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BF6C1C5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47484F4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Synaptic Systems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51D24B7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101 002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A162A1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(1:50,000)</w:t>
            </w:r>
          </w:p>
        </w:tc>
      </w:tr>
      <w:tr w:rsidR="00EC6680" w:rsidRPr="00EC6680" w14:paraId="4B35E1BA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61B9FAC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Total tau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CC94C9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D1M9X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18D400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2DD7B2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46687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5CB16C9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(1:3,000)</w:t>
            </w:r>
          </w:p>
        </w:tc>
      </w:tr>
      <w:tr w:rsidR="00EC6680" w:rsidRPr="00EC6680" w14:paraId="5B678860" w14:textId="77777777" w:rsidTr="00D43B15">
        <w:trPr>
          <w:trHeight w:val="20"/>
        </w:trPr>
        <w:tc>
          <w:tcPr>
            <w:tcW w:w="1757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D218C10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:lang w:val="el-GR"/>
                <w14:ligatures w14:val="none"/>
              </w:rPr>
              <w:t>γ</w:t>
            </w: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H2AX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B072671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Polyclonal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C5A94CB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Cell Signaling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single" w:sz="8" w:space="0" w:color="E8E8E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A0AFE1F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2577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E8E8E8"/>
              <w:bottom w:val="single" w:sz="18" w:space="0" w:color="000000"/>
              <w:right w:val="single" w:sz="4" w:space="0" w:color="FFFFFF" w:themeColor="background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2C3C4F3" w14:textId="77777777" w:rsidR="008C2C5C" w:rsidRPr="00EC6680" w:rsidRDefault="008C2C5C" w:rsidP="008C2C5C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EC6680">
              <w:rPr>
                <w:rFonts w:ascii="Arial" w:eastAsia="Times New Roman" w:hAnsi="Arial" w:cs="Arial"/>
                <w:kern w:val="24"/>
                <w:sz w:val="16"/>
                <w:szCs w:val="16"/>
                <w14:ligatures w14:val="none"/>
              </w:rPr>
              <w:t>WB (1:1,000)</w:t>
            </w:r>
          </w:p>
        </w:tc>
      </w:tr>
    </w:tbl>
    <w:p w14:paraId="567CD678" w14:textId="6E6F508D" w:rsidR="004E0ADC" w:rsidRPr="00EC6680" w:rsidRDefault="004E0ADC">
      <w:pPr>
        <w:rPr>
          <w:rFonts w:ascii="Arial" w:hAnsi="Arial" w:cs="Arial"/>
          <w:sz w:val="20"/>
          <w:szCs w:val="20"/>
        </w:rPr>
      </w:pPr>
    </w:p>
    <w:p w14:paraId="12A17175" w14:textId="77777777" w:rsidR="00D87C42" w:rsidRPr="00EC6680" w:rsidRDefault="00D87C42">
      <w:pPr>
        <w:rPr>
          <w:rFonts w:ascii="Arial" w:hAnsi="Arial" w:cs="Arial"/>
          <w:sz w:val="20"/>
          <w:szCs w:val="20"/>
        </w:rPr>
      </w:pPr>
    </w:p>
    <w:sectPr w:rsidR="00D87C42" w:rsidRPr="00EC6680" w:rsidSect="00A95C44">
      <w:footerReference w:type="default" r:id="rId18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2DCF" w14:textId="77777777" w:rsidR="00467918" w:rsidRDefault="00467918" w:rsidP="0022714E">
      <w:pPr>
        <w:spacing w:after="0" w:line="240" w:lineRule="auto"/>
      </w:pPr>
      <w:r>
        <w:separator/>
      </w:r>
    </w:p>
  </w:endnote>
  <w:endnote w:type="continuationSeparator" w:id="0">
    <w:p w14:paraId="6BD4C874" w14:textId="77777777" w:rsidR="00467918" w:rsidRDefault="00467918" w:rsidP="0022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52616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1BFCD6A3" w14:textId="49502DAD" w:rsidR="0082563C" w:rsidRPr="00A95C44" w:rsidRDefault="0082563C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A95C44">
          <w:rPr>
            <w:rFonts w:ascii="Arial" w:hAnsi="Arial" w:cs="Arial"/>
            <w:sz w:val="22"/>
            <w:szCs w:val="22"/>
          </w:rPr>
          <w:fldChar w:fldCharType="begin"/>
        </w:r>
        <w:r w:rsidRPr="00A95C4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A95C44">
          <w:rPr>
            <w:rFonts w:ascii="Arial" w:hAnsi="Arial" w:cs="Arial"/>
            <w:sz w:val="22"/>
            <w:szCs w:val="22"/>
          </w:rPr>
          <w:fldChar w:fldCharType="separate"/>
        </w:r>
        <w:r w:rsidRPr="00A95C44">
          <w:rPr>
            <w:rFonts w:ascii="Arial" w:hAnsi="Arial" w:cs="Arial"/>
            <w:noProof/>
            <w:sz w:val="22"/>
            <w:szCs w:val="22"/>
          </w:rPr>
          <w:t>2</w:t>
        </w:r>
        <w:r w:rsidRPr="00A95C4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727A3423" w14:textId="77777777" w:rsidR="0082563C" w:rsidRDefault="00825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86A13" w14:textId="77777777" w:rsidR="00467918" w:rsidRDefault="00467918" w:rsidP="0022714E">
      <w:pPr>
        <w:spacing w:after="0" w:line="240" w:lineRule="auto"/>
      </w:pPr>
      <w:r>
        <w:separator/>
      </w:r>
    </w:p>
  </w:footnote>
  <w:footnote w:type="continuationSeparator" w:id="0">
    <w:p w14:paraId="45F466DD" w14:textId="77777777" w:rsidR="00467918" w:rsidRDefault="00467918" w:rsidP="00227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65"/>
    <w:rsid w:val="00003C87"/>
    <w:rsid w:val="00010977"/>
    <w:rsid w:val="00035B6E"/>
    <w:rsid w:val="000650B8"/>
    <w:rsid w:val="000823A8"/>
    <w:rsid w:val="0008303A"/>
    <w:rsid w:val="00095B50"/>
    <w:rsid w:val="00095E4D"/>
    <w:rsid w:val="000B05D6"/>
    <w:rsid w:val="000C5BE5"/>
    <w:rsid w:val="00133256"/>
    <w:rsid w:val="00181287"/>
    <w:rsid w:val="001862E8"/>
    <w:rsid w:val="001B729F"/>
    <w:rsid w:val="001D484C"/>
    <w:rsid w:val="002024D1"/>
    <w:rsid w:val="00212F09"/>
    <w:rsid w:val="0022714E"/>
    <w:rsid w:val="00272DDB"/>
    <w:rsid w:val="002C31C3"/>
    <w:rsid w:val="002D1552"/>
    <w:rsid w:val="002E6EF5"/>
    <w:rsid w:val="00340768"/>
    <w:rsid w:val="0039346A"/>
    <w:rsid w:val="003E2766"/>
    <w:rsid w:val="004212AC"/>
    <w:rsid w:val="004316E4"/>
    <w:rsid w:val="00447C5D"/>
    <w:rsid w:val="00467918"/>
    <w:rsid w:val="00475BC9"/>
    <w:rsid w:val="004E0ADC"/>
    <w:rsid w:val="00504FCC"/>
    <w:rsid w:val="00533673"/>
    <w:rsid w:val="00604C2B"/>
    <w:rsid w:val="006C3802"/>
    <w:rsid w:val="006E0B20"/>
    <w:rsid w:val="006F283A"/>
    <w:rsid w:val="00716AF8"/>
    <w:rsid w:val="007720C1"/>
    <w:rsid w:val="007724CF"/>
    <w:rsid w:val="00772C03"/>
    <w:rsid w:val="007D417E"/>
    <w:rsid w:val="0082563C"/>
    <w:rsid w:val="00841E09"/>
    <w:rsid w:val="0085321E"/>
    <w:rsid w:val="0085579D"/>
    <w:rsid w:val="008A5E5E"/>
    <w:rsid w:val="008C0239"/>
    <w:rsid w:val="008C2C5C"/>
    <w:rsid w:val="008D26E1"/>
    <w:rsid w:val="00912F7D"/>
    <w:rsid w:val="00917CA2"/>
    <w:rsid w:val="00920581"/>
    <w:rsid w:val="00933723"/>
    <w:rsid w:val="00964C06"/>
    <w:rsid w:val="00974CDA"/>
    <w:rsid w:val="00976F4C"/>
    <w:rsid w:val="00992E6C"/>
    <w:rsid w:val="009D0545"/>
    <w:rsid w:val="00A012AC"/>
    <w:rsid w:val="00A27C3E"/>
    <w:rsid w:val="00A45BE5"/>
    <w:rsid w:val="00A72B2E"/>
    <w:rsid w:val="00A925CF"/>
    <w:rsid w:val="00A95C44"/>
    <w:rsid w:val="00AA5042"/>
    <w:rsid w:val="00AA6B0E"/>
    <w:rsid w:val="00AB1297"/>
    <w:rsid w:val="00AE5DEF"/>
    <w:rsid w:val="00AE7B41"/>
    <w:rsid w:val="00B31CE2"/>
    <w:rsid w:val="00B32B47"/>
    <w:rsid w:val="00B60192"/>
    <w:rsid w:val="00B615C0"/>
    <w:rsid w:val="00B81BD3"/>
    <w:rsid w:val="00B85450"/>
    <w:rsid w:val="00C52E1A"/>
    <w:rsid w:val="00CE5FB0"/>
    <w:rsid w:val="00D06D66"/>
    <w:rsid w:val="00D2399E"/>
    <w:rsid w:val="00D43B15"/>
    <w:rsid w:val="00D4781B"/>
    <w:rsid w:val="00D53A9E"/>
    <w:rsid w:val="00D60ECD"/>
    <w:rsid w:val="00D87C42"/>
    <w:rsid w:val="00DA7CDA"/>
    <w:rsid w:val="00DF1722"/>
    <w:rsid w:val="00E16B8B"/>
    <w:rsid w:val="00E67D23"/>
    <w:rsid w:val="00E755AF"/>
    <w:rsid w:val="00EA14BC"/>
    <w:rsid w:val="00EC6680"/>
    <w:rsid w:val="00ED3BA3"/>
    <w:rsid w:val="00F50265"/>
    <w:rsid w:val="00F87FDB"/>
    <w:rsid w:val="00F9637D"/>
    <w:rsid w:val="00FA2667"/>
    <w:rsid w:val="00FD7CF1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65D79"/>
  <w15:chartTrackingRefBased/>
  <w15:docId w15:val="{B70AE80E-2966-4160-BFA8-5978CD05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7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14E"/>
  </w:style>
  <w:style w:type="paragraph" w:styleId="Footer">
    <w:name w:val="footer"/>
    <w:basedOn w:val="Normal"/>
    <w:link w:val="FooterChar"/>
    <w:uiPriority w:val="99"/>
    <w:unhideWhenUsed/>
    <w:rsid w:val="00227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14E"/>
  </w:style>
  <w:style w:type="paragraph" w:styleId="NormalWeb">
    <w:name w:val="Normal (Web)"/>
    <w:basedOn w:val="Normal"/>
    <w:uiPriority w:val="99"/>
    <w:semiHidden/>
    <w:unhideWhenUsed/>
    <w:rsid w:val="0071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0A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A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2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4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4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4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.kienlen-campard@uclouvain.be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uria.suelves@uclouvain.b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iorender.com/k4g060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D4F1-6F09-4676-AB67-F2D8B991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940</Words>
  <Characters>6026</Characters>
  <Application>Microsoft Office Word</Application>
  <DocSecurity>0</DocSecurity>
  <Lines>273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Xining Palomares Pedroviejo</dc:creator>
  <cp:keywords/>
  <dc:description/>
  <cp:lastModifiedBy>NÚRIA SUELVES CABALLOL</cp:lastModifiedBy>
  <cp:revision>6</cp:revision>
  <cp:lastPrinted>2025-06-03T09:29:00Z</cp:lastPrinted>
  <dcterms:created xsi:type="dcterms:W3CDTF">2025-09-11T06:13:00Z</dcterms:created>
  <dcterms:modified xsi:type="dcterms:W3CDTF">2025-09-11T06:29:00Z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e2c26296-f09c-424a-b39d-21504a67d346</vt:lpwstr>
  </property>
</Properties>
</file>