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549" w:rsidRPr="00D73549" w:rsidRDefault="00D73549" w:rsidP="00D73549">
      <w:pPr>
        <w:pStyle w:val="NormalWeb"/>
        <w:shd w:val="clear" w:color="auto" w:fill="FFFFFF"/>
        <w:spacing w:before="0" w:beforeAutospacing="0" w:after="480" w:afterAutospacing="0" w:line="360" w:lineRule="auto"/>
        <w:rPr>
          <w:rFonts w:ascii="Times New Roman" w:hAnsi="Times New Roman" w:cs="Times New Roman"/>
          <w:b/>
          <w:bCs/>
          <w:color w:val="000000" w:themeColor="text1"/>
          <w:szCs w:val="24"/>
        </w:rPr>
      </w:pPr>
      <w:bookmarkStart w:id="0" w:name="_GoBack"/>
      <w:r w:rsidRPr="00D73549">
        <w:rPr>
          <w:rFonts w:ascii="Times New Roman" w:hAnsi="Times New Roman" w:cs="Times New Roman"/>
          <w:b/>
          <w:bCs/>
          <w:color w:val="000000" w:themeColor="text1"/>
          <w:szCs w:val="24"/>
        </w:rPr>
        <w:t>Supplementary information</w:t>
      </w:r>
    </w:p>
    <w:p w:rsidR="00D73549" w:rsidRPr="00D73549" w:rsidRDefault="00D73549" w:rsidP="00D73549">
      <w:pPr>
        <w:autoSpaceDE w:val="0"/>
        <w:autoSpaceDN w:val="0"/>
        <w:spacing w:after="0" w:line="360" w:lineRule="auto"/>
        <w:rPr>
          <w:rFonts w:eastAsia="AdvTimes"/>
          <w:b/>
          <w:bCs/>
          <w:i/>
          <w:color w:val="000000" w:themeColor="text1"/>
          <w:sz w:val="24"/>
          <w:szCs w:val="24"/>
        </w:rPr>
      </w:pPr>
      <w:r w:rsidRPr="00D73549">
        <w:rPr>
          <w:rFonts w:eastAsia="AdvTimes"/>
          <w:b/>
          <w:bCs/>
          <w:i/>
          <w:color w:val="000000" w:themeColor="text1"/>
          <w:sz w:val="24"/>
          <w:szCs w:val="24"/>
        </w:rPr>
        <w:t>Cell proliferation assay</w:t>
      </w:r>
    </w:p>
    <w:p w:rsidR="00D73549" w:rsidRPr="00D73549" w:rsidRDefault="00D73549" w:rsidP="00D73549">
      <w:pPr>
        <w:autoSpaceDE w:val="0"/>
        <w:autoSpaceDN w:val="0"/>
        <w:spacing w:after="0" w:line="360" w:lineRule="auto"/>
        <w:outlineLvl w:val="0"/>
        <w:rPr>
          <w:rFonts w:eastAsia="AdvTimes"/>
          <w:color w:val="000000" w:themeColor="text1"/>
          <w:sz w:val="24"/>
          <w:szCs w:val="24"/>
        </w:rPr>
      </w:pPr>
      <w:proofErr w:type="spellStart"/>
      <w:r w:rsidRPr="00D73549">
        <w:rPr>
          <w:rFonts w:eastAsia="AdvTimes"/>
          <w:color w:val="000000" w:themeColor="text1"/>
          <w:sz w:val="24"/>
          <w:szCs w:val="24"/>
        </w:rPr>
        <w:t>Glioma</w:t>
      </w:r>
      <w:proofErr w:type="spellEnd"/>
      <w:r w:rsidRPr="00D73549">
        <w:rPr>
          <w:rFonts w:eastAsia="AdvTimes"/>
          <w:color w:val="000000" w:themeColor="text1"/>
          <w:sz w:val="24"/>
          <w:szCs w:val="24"/>
        </w:rPr>
        <w:t xml:space="preserve"> patient-derived </w:t>
      </w:r>
      <w:proofErr w:type="spellStart"/>
      <w:r w:rsidRPr="00D73549">
        <w:rPr>
          <w:rFonts w:eastAsia="AdvTimes"/>
          <w:color w:val="000000" w:themeColor="text1"/>
          <w:sz w:val="24"/>
          <w:szCs w:val="24"/>
        </w:rPr>
        <w:t>neurospheres</w:t>
      </w:r>
      <w:proofErr w:type="spellEnd"/>
      <w:r w:rsidRPr="00D73549">
        <w:rPr>
          <w:rFonts w:eastAsia="AdvTimes"/>
          <w:color w:val="000000" w:themeColor="text1"/>
          <w:sz w:val="24"/>
          <w:szCs w:val="24"/>
        </w:rPr>
        <w:t xml:space="preserve">, 30R cells, were established from surgical specimens by Dr Nakano and his colleagues. Cell proliferation was assessed using the </w:t>
      </w:r>
      <w:proofErr w:type="spellStart"/>
      <w:r w:rsidRPr="00D73549">
        <w:rPr>
          <w:rFonts w:eastAsia="AdvTimes"/>
          <w:color w:val="000000" w:themeColor="text1"/>
          <w:sz w:val="24"/>
          <w:szCs w:val="24"/>
        </w:rPr>
        <w:t>CellTiter-Glo</w:t>
      </w:r>
      <w:proofErr w:type="spellEnd"/>
      <w:r w:rsidRPr="00D73549">
        <w:rPr>
          <w:rFonts w:eastAsia="AdvTimes"/>
          <w:color w:val="000000" w:themeColor="text1"/>
          <w:sz w:val="24"/>
          <w:szCs w:val="24"/>
        </w:rPr>
        <w:t xml:space="preserve"> 3D Cell Viability Assay (</w:t>
      </w:r>
      <w:proofErr w:type="spellStart"/>
      <w:r w:rsidRPr="00D73549">
        <w:rPr>
          <w:rFonts w:eastAsia="AdvTimes"/>
          <w:color w:val="000000" w:themeColor="text1"/>
          <w:sz w:val="24"/>
          <w:szCs w:val="24"/>
        </w:rPr>
        <w:t>Promega</w:t>
      </w:r>
      <w:proofErr w:type="spellEnd"/>
      <w:r w:rsidRPr="00D73549">
        <w:rPr>
          <w:rFonts w:eastAsia="AdvTimes"/>
          <w:color w:val="000000" w:themeColor="text1"/>
          <w:sz w:val="24"/>
          <w:szCs w:val="24"/>
        </w:rPr>
        <w:t xml:space="preserve">) in conjunction with an </w:t>
      </w:r>
      <w:proofErr w:type="spellStart"/>
      <w:r w:rsidRPr="00D73549">
        <w:rPr>
          <w:rFonts w:eastAsia="AdvTimes"/>
          <w:color w:val="000000" w:themeColor="text1"/>
          <w:sz w:val="24"/>
          <w:szCs w:val="24"/>
        </w:rPr>
        <w:t>EnSight</w:t>
      </w:r>
      <w:proofErr w:type="spellEnd"/>
      <w:r w:rsidRPr="00D73549">
        <w:rPr>
          <w:rFonts w:eastAsia="AdvTimes"/>
          <w:color w:val="000000" w:themeColor="text1"/>
          <w:sz w:val="24"/>
          <w:szCs w:val="24"/>
        </w:rPr>
        <w:t xml:space="preserve"> Multimode Plate Reader (PerkinElmer).</w:t>
      </w:r>
    </w:p>
    <w:p w:rsidR="00D73549" w:rsidRPr="00D73549" w:rsidRDefault="00D73549" w:rsidP="00D73549">
      <w:pPr>
        <w:autoSpaceDE w:val="0"/>
        <w:autoSpaceDN w:val="0"/>
        <w:spacing w:after="0" w:line="360" w:lineRule="auto"/>
        <w:outlineLvl w:val="0"/>
        <w:rPr>
          <w:rFonts w:eastAsia="AdvTimes"/>
          <w:color w:val="000000" w:themeColor="text1"/>
          <w:sz w:val="24"/>
          <w:szCs w:val="24"/>
        </w:rPr>
      </w:pPr>
    </w:p>
    <w:p w:rsidR="00D73549" w:rsidRPr="00D73549" w:rsidRDefault="00D73549" w:rsidP="00D73549">
      <w:pPr>
        <w:autoSpaceDE w:val="0"/>
        <w:autoSpaceDN w:val="0"/>
        <w:spacing w:after="0" w:line="360" w:lineRule="auto"/>
        <w:outlineLvl w:val="0"/>
        <w:rPr>
          <w:rFonts w:eastAsia="AdvTimes"/>
          <w:b/>
          <w:bCs/>
          <w:i/>
          <w:color w:val="000000" w:themeColor="text1"/>
          <w:sz w:val="24"/>
          <w:szCs w:val="24"/>
        </w:rPr>
      </w:pPr>
      <w:proofErr w:type="spellStart"/>
      <w:r w:rsidRPr="00D73549">
        <w:rPr>
          <w:rFonts w:eastAsia="AdvTimes"/>
          <w:b/>
          <w:bCs/>
          <w:i/>
          <w:color w:val="000000" w:themeColor="text1"/>
          <w:sz w:val="24"/>
          <w:szCs w:val="24"/>
        </w:rPr>
        <w:t>Immunolocalization</w:t>
      </w:r>
      <w:proofErr w:type="spellEnd"/>
    </w:p>
    <w:p w:rsidR="00D73549" w:rsidRPr="00D73549" w:rsidRDefault="00D73549" w:rsidP="00D73549">
      <w:pPr>
        <w:autoSpaceDE w:val="0"/>
        <w:autoSpaceDN w:val="0"/>
        <w:spacing w:after="0" w:line="360" w:lineRule="auto"/>
        <w:outlineLvl w:val="0"/>
        <w:rPr>
          <w:rFonts w:eastAsia="AdvTimes"/>
          <w:color w:val="000000" w:themeColor="text1"/>
          <w:sz w:val="24"/>
          <w:szCs w:val="24"/>
        </w:rPr>
      </w:pPr>
      <w:r w:rsidRPr="00D73549">
        <w:rPr>
          <w:rFonts w:eastAsia="AdvTimes"/>
          <w:color w:val="000000" w:themeColor="text1"/>
          <w:sz w:val="24"/>
          <w:szCs w:val="24"/>
        </w:rPr>
        <w:t xml:space="preserve">Detailed </w:t>
      </w:r>
      <w:proofErr w:type="spellStart"/>
      <w:r w:rsidRPr="00D73549">
        <w:rPr>
          <w:rFonts w:eastAsia="AdvTimes"/>
          <w:color w:val="000000" w:themeColor="text1"/>
          <w:sz w:val="24"/>
          <w:szCs w:val="24"/>
        </w:rPr>
        <w:t>immunohistochemical</w:t>
      </w:r>
      <w:proofErr w:type="spellEnd"/>
      <w:r w:rsidRPr="00D73549">
        <w:rPr>
          <w:rFonts w:eastAsia="AdvTimes"/>
          <w:color w:val="000000" w:themeColor="text1"/>
          <w:sz w:val="24"/>
          <w:szCs w:val="24"/>
        </w:rPr>
        <w:t xml:space="preserve"> methods have been described previously [Hayashi et al. 2016]. Briefly, </w:t>
      </w:r>
      <w:proofErr w:type="spellStart"/>
      <w:r w:rsidRPr="00D73549">
        <w:rPr>
          <w:rFonts w:eastAsia="AdvTimes"/>
          <w:color w:val="000000" w:themeColor="text1"/>
          <w:sz w:val="24"/>
          <w:szCs w:val="24"/>
        </w:rPr>
        <w:t>autofluorescence</w:t>
      </w:r>
      <w:proofErr w:type="spellEnd"/>
      <w:r w:rsidRPr="00D73549">
        <w:rPr>
          <w:rFonts w:eastAsia="AdvTimes"/>
          <w:color w:val="000000" w:themeColor="text1"/>
          <w:sz w:val="24"/>
          <w:szCs w:val="24"/>
        </w:rPr>
        <w:t xml:space="preserve"> was blocked using 0.1 M </w:t>
      </w:r>
      <w:proofErr w:type="spellStart"/>
      <w:r w:rsidRPr="00D73549">
        <w:rPr>
          <w:rFonts w:eastAsia="AdvTimes"/>
          <w:color w:val="000000" w:themeColor="text1"/>
          <w:sz w:val="24"/>
          <w:szCs w:val="24"/>
        </w:rPr>
        <w:t>Tris</w:t>
      </w:r>
      <w:proofErr w:type="spellEnd"/>
      <w:r w:rsidRPr="00D73549">
        <w:rPr>
          <w:rFonts w:eastAsia="AdvTimes"/>
          <w:color w:val="000000" w:themeColor="text1"/>
          <w:sz w:val="24"/>
          <w:szCs w:val="24"/>
        </w:rPr>
        <w:t>-glycine. Nonspecific binding was blocked using 2% normal serum in PBS. The samples were then incubated overnight at 4 °C with primary antibodies against GRIA</w:t>
      </w:r>
      <w:r w:rsidRPr="00D73549">
        <w:rPr>
          <w:rFonts w:eastAsia="AdvTimes" w:hint="eastAsia"/>
          <w:color w:val="000000" w:themeColor="text1"/>
          <w:sz w:val="24"/>
          <w:szCs w:val="24"/>
        </w:rPr>
        <w:t>1</w:t>
      </w:r>
      <w:r w:rsidRPr="00D73549">
        <w:rPr>
          <w:rFonts w:eastAsia="AdvTimes"/>
          <w:color w:val="000000" w:themeColor="text1"/>
          <w:sz w:val="24"/>
          <w:szCs w:val="24"/>
        </w:rPr>
        <w:t xml:space="preserve"> (</w:t>
      </w:r>
      <w:r w:rsidRPr="00D73549">
        <w:rPr>
          <w:rFonts w:eastAsia="平成明朝"/>
          <w:color w:val="000000" w:themeColor="text1"/>
          <w:sz w:val="24"/>
          <w:szCs w:val="24"/>
        </w:rPr>
        <w:t>1:</w:t>
      </w:r>
      <w:r w:rsidRPr="00D73549">
        <w:rPr>
          <w:rFonts w:eastAsia="平成明朝" w:hint="eastAsia"/>
          <w:color w:val="000000" w:themeColor="text1"/>
          <w:sz w:val="24"/>
          <w:szCs w:val="24"/>
        </w:rPr>
        <w:t>1</w:t>
      </w:r>
      <w:r w:rsidRPr="00D73549">
        <w:rPr>
          <w:rFonts w:eastAsia="平成明朝"/>
          <w:color w:val="000000" w:themeColor="text1"/>
          <w:sz w:val="24"/>
          <w:szCs w:val="24"/>
        </w:rPr>
        <w:t xml:space="preserve">00, </w:t>
      </w:r>
      <w:r w:rsidRPr="00D73549">
        <w:rPr>
          <w:rFonts w:eastAsia="MS Mincho"/>
          <w:color w:val="000000" w:themeColor="text1"/>
          <w:sz w:val="24"/>
          <w:szCs w:val="24"/>
        </w:rPr>
        <w:t>HPA035202</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Atlas Antibodies</w:t>
      </w:r>
      <w:r w:rsidRPr="00D73549">
        <w:rPr>
          <w:rFonts w:eastAsia="AdvTimes"/>
          <w:color w:val="000000" w:themeColor="text1"/>
          <w:sz w:val="24"/>
          <w:szCs w:val="24"/>
        </w:rPr>
        <w:t>)</w:t>
      </w:r>
      <w:r w:rsidRPr="00D73549">
        <w:rPr>
          <w:rFonts w:eastAsia="AdvTimes" w:hint="eastAsia"/>
          <w:color w:val="000000" w:themeColor="text1"/>
          <w:sz w:val="24"/>
          <w:szCs w:val="24"/>
        </w:rPr>
        <w:t xml:space="preserve">, </w:t>
      </w:r>
      <w:r w:rsidRPr="00D73549">
        <w:rPr>
          <w:rFonts w:eastAsia="AdvTimes"/>
          <w:color w:val="000000" w:themeColor="text1"/>
          <w:sz w:val="24"/>
          <w:szCs w:val="24"/>
        </w:rPr>
        <w:t>GRIA2 (1:200, clone 7G6, sc-517265; Santa Cruz Biotechnology)</w:t>
      </w:r>
      <w:r w:rsidRPr="00D73549">
        <w:rPr>
          <w:rFonts w:eastAsia="AdvTimes" w:hint="eastAsia"/>
          <w:color w:val="000000" w:themeColor="text1"/>
          <w:sz w:val="24"/>
          <w:szCs w:val="24"/>
        </w:rPr>
        <w:t>,</w:t>
      </w:r>
      <w:r w:rsidRPr="00D73549">
        <w:rPr>
          <w:rFonts w:eastAsia="AdvTimes"/>
          <w:color w:val="000000" w:themeColor="text1"/>
          <w:sz w:val="24"/>
          <w:szCs w:val="24"/>
        </w:rPr>
        <w:t xml:space="preserve"> GRIA</w:t>
      </w:r>
      <w:r w:rsidRPr="00D73549">
        <w:rPr>
          <w:rFonts w:eastAsia="AdvTimes" w:hint="eastAsia"/>
          <w:color w:val="000000" w:themeColor="text1"/>
          <w:sz w:val="24"/>
          <w:szCs w:val="24"/>
        </w:rPr>
        <w:t>3</w:t>
      </w:r>
      <w:r w:rsidRPr="00D73549">
        <w:rPr>
          <w:rFonts w:eastAsia="AdvTimes"/>
          <w:color w:val="000000" w:themeColor="text1"/>
          <w:sz w:val="24"/>
          <w:szCs w:val="24"/>
        </w:rPr>
        <w:t xml:space="preserve"> (</w:t>
      </w:r>
      <w:r w:rsidRPr="00D73549">
        <w:rPr>
          <w:rFonts w:eastAsia="平成明朝"/>
          <w:color w:val="000000" w:themeColor="text1"/>
          <w:sz w:val="24"/>
          <w:szCs w:val="24"/>
        </w:rPr>
        <w:t>1:</w:t>
      </w:r>
      <w:r w:rsidRPr="00D73549">
        <w:rPr>
          <w:rFonts w:eastAsia="平成明朝" w:hint="eastAsia"/>
          <w:color w:val="000000" w:themeColor="text1"/>
          <w:sz w:val="24"/>
          <w:szCs w:val="24"/>
        </w:rPr>
        <w:t>1</w:t>
      </w:r>
      <w:r w:rsidRPr="00D73549">
        <w:rPr>
          <w:rFonts w:eastAsia="平成明朝"/>
          <w:color w:val="000000" w:themeColor="text1"/>
          <w:sz w:val="24"/>
          <w:szCs w:val="24"/>
        </w:rPr>
        <w:t xml:space="preserve">00, </w:t>
      </w:r>
      <w:r w:rsidRPr="00D73549">
        <w:rPr>
          <w:rFonts w:eastAsia="MS Mincho"/>
          <w:color w:val="000000" w:themeColor="text1"/>
          <w:sz w:val="24"/>
          <w:szCs w:val="24"/>
        </w:rPr>
        <w:t>HPA058659</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Atlas Antibodies</w:t>
      </w:r>
      <w:r w:rsidRPr="00D73549">
        <w:rPr>
          <w:rFonts w:eastAsia="AdvTimes"/>
          <w:color w:val="000000" w:themeColor="text1"/>
          <w:sz w:val="24"/>
          <w:szCs w:val="24"/>
        </w:rPr>
        <w:t>)</w:t>
      </w:r>
      <w:r w:rsidRPr="00D73549">
        <w:rPr>
          <w:rFonts w:eastAsia="AdvTimes" w:hint="eastAsia"/>
          <w:color w:val="000000" w:themeColor="text1"/>
          <w:sz w:val="24"/>
          <w:szCs w:val="24"/>
        </w:rPr>
        <w:t>,</w:t>
      </w:r>
      <w:r w:rsidRPr="00D73549">
        <w:rPr>
          <w:rFonts w:eastAsia="AdvTimes"/>
          <w:color w:val="000000" w:themeColor="text1"/>
          <w:sz w:val="24"/>
          <w:szCs w:val="24"/>
        </w:rPr>
        <w:t xml:space="preserve"> GRIA</w:t>
      </w:r>
      <w:r w:rsidRPr="00D73549">
        <w:rPr>
          <w:rFonts w:eastAsia="AdvTimes" w:hint="eastAsia"/>
          <w:color w:val="000000" w:themeColor="text1"/>
          <w:sz w:val="24"/>
          <w:szCs w:val="24"/>
        </w:rPr>
        <w:t>4</w:t>
      </w:r>
      <w:r w:rsidRPr="00D73549">
        <w:rPr>
          <w:rFonts w:eastAsia="AdvTimes"/>
          <w:color w:val="000000" w:themeColor="text1"/>
          <w:sz w:val="24"/>
          <w:szCs w:val="24"/>
        </w:rPr>
        <w:t xml:space="preserve"> (</w:t>
      </w:r>
      <w:r w:rsidRPr="00D73549">
        <w:rPr>
          <w:rFonts w:eastAsia="平成明朝"/>
          <w:color w:val="000000" w:themeColor="text1"/>
          <w:sz w:val="24"/>
          <w:szCs w:val="24"/>
        </w:rPr>
        <w:t>1:</w:t>
      </w:r>
      <w:r w:rsidRPr="00D73549">
        <w:rPr>
          <w:rFonts w:eastAsia="平成明朝" w:hint="eastAsia"/>
          <w:color w:val="000000" w:themeColor="text1"/>
          <w:sz w:val="24"/>
          <w:szCs w:val="24"/>
        </w:rPr>
        <w:t>1</w:t>
      </w:r>
      <w:r w:rsidRPr="00D73549">
        <w:rPr>
          <w:rFonts w:eastAsia="平成明朝"/>
          <w:color w:val="000000" w:themeColor="text1"/>
          <w:sz w:val="24"/>
          <w:szCs w:val="24"/>
        </w:rPr>
        <w:t>00, clone F-9, sc-271894</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Santa Cruz Biotechnology</w:t>
      </w:r>
      <w:r w:rsidRPr="00D73549">
        <w:rPr>
          <w:rFonts w:eastAsia="AdvTimes"/>
          <w:color w:val="000000" w:themeColor="text1"/>
          <w:sz w:val="24"/>
          <w:szCs w:val="24"/>
        </w:rPr>
        <w:t>)</w:t>
      </w:r>
      <w:r w:rsidRPr="00D73549">
        <w:rPr>
          <w:rFonts w:eastAsia="AdvTimes" w:hint="eastAsia"/>
          <w:color w:val="000000" w:themeColor="text1"/>
          <w:sz w:val="24"/>
          <w:szCs w:val="24"/>
        </w:rPr>
        <w:t>,</w:t>
      </w:r>
      <w:r w:rsidRPr="00D73549">
        <w:rPr>
          <w:rFonts w:eastAsia="AdvTimes"/>
          <w:color w:val="000000" w:themeColor="text1"/>
          <w:sz w:val="24"/>
          <w:szCs w:val="24"/>
        </w:rPr>
        <w:t xml:space="preserve"> and CD44 (1:200, LS-B16702; LS Bio) in an immunoreaction enhancer solution (Can Obtain Signal </w:t>
      </w:r>
      <w:proofErr w:type="spellStart"/>
      <w:r w:rsidRPr="00D73549">
        <w:rPr>
          <w:rFonts w:eastAsia="AdvTimes"/>
          <w:color w:val="000000" w:themeColor="text1"/>
          <w:sz w:val="24"/>
          <w:szCs w:val="24"/>
        </w:rPr>
        <w:t>Immunostain</w:t>
      </w:r>
      <w:proofErr w:type="spellEnd"/>
      <w:r w:rsidRPr="00D73549">
        <w:rPr>
          <w:rFonts w:eastAsia="AdvTimes"/>
          <w:color w:val="000000" w:themeColor="text1"/>
          <w:sz w:val="24"/>
          <w:szCs w:val="24"/>
        </w:rPr>
        <w:t xml:space="preserve">; Toyobo). Secondary antibodies conjugated to Alexa Fluor </w:t>
      </w:r>
      <w:proofErr w:type="gramStart"/>
      <w:r w:rsidRPr="00D73549">
        <w:rPr>
          <w:rFonts w:eastAsia="AdvTimes"/>
          <w:color w:val="000000" w:themeColor="text1"/>
          <w:sz w:val="24"/>
          <w:szCs w:val="24"/>
        </w:rPr>
        <w:t>Plus</w:t>
      </w:r>
      <w:proofErr w:type="gramEnd"/>
      <w:r w:rsidRPr="00D73549">
        <w:rPr>
          <w:rFonts w:eastAsia="AdvTimes"/>
          <w:color w:val="000000" w:themeColor="text1"/>
          <w:sz w:val="24"/>
          <w:szCs w:val="24"/>
        </w:rPr>
        <w:t xml:space="preserve"> 488 or Alexa Fluor Plus 555 (1:400; Molecular Probes) were added for 1 h. </w:t>
      </w:r>
      <w:proofErr w:type="spellStart"/>
      <w:r w:rsidRPr="00D73549">
        <w:rPr>
          <w:rFonts w:eastAsia="AdvTimes"/>
          <w:color w:val="000000" w:themeColor="text1"/>
          <w:sz w:val="24"/>
          <w:szCs w:val="24"/>
        </w:rPr>
        <w:t>Autofluorescence</w:t>
      </w:r>
      <w:proofErr w:type="spellEnd"/>
      <w:r w:rsidRPr="00D73549">
        <w:rPr>
          <w:rFonts w:eastAsia="AdvTimes"/>
          <w:color w:val="000000" w:themeColor="text1"/>
          <w:sz w:val="24"/>
          <w:szCs w:val="24"/>
        </w:rPr>
        <w:t xml:space="preserve"> was further quenched using Vector </w:t>
      </w:r>
      <w:proofErr w:type="spellStart"/>
      <w:r w:rsidRPr="00D73549">
        <w:rPr>
          <w:rFonts w:eastAsia="AdvTimes"/>
          <w:color w:val="000000" w:themeColor="text1"/>
          <w:sz w:val="24"/>
          <w:szCs w:val="24"/>
        </w:rPr>
        <w:t>TrueVIEW</w:t>
      </w:r>
      <w:proofErr w:type="spellEnd"/>
      <w:r w:rsidRPr="00D73549">
        <w:rPr>
          <w:rFonts w:eastAsia="AdvTimes"/>
          <w:color w:val="000000" w:themeColor="text1"/>
          <w:sz w:val="24"/>
          <w:szCs w:val="24"/>
        </w:rPr>
        <w:t xml:space="preserve"> </w:t>
      </w:r>
      <w:proofErr w:type="spellStart"/>
      <w:r w:rsidRPr="00D73549">
        <w:rPr>
          <w:rFonts w:eastAsia="AdvTimes"/>
          <w:color w:val="000000" w:themeColor="text1"/>
          <w:sz w:val="24"/>
          <w:szCs w:val="24"/>
        </w:rPr>
        <w:t>Autofluorescence</w:t>
      </w:r>
      <w:proofErr w:type="spellEnd"/>
      <w:r w:rsidRPr="00D73549">
        <w:rPr>
          <w:rFonts w:eastAsia="AdvTimes"/>
          <w:color w:val="000000" w:themeColor="text1"/>
          <w:sz w:val="24"/>
          <w:szCs w:val="24"/>
        </w:rPr>
        <w:t xml:space="preserve"> Quenching Kit (Vector Laboratories). The nuclei were stained with 4’</w:t>
      </w:r>
      <w:proofErr w:type="gramStart"/>
      <w:r w:rsidRPr="00D73549">
        <w:rPr>
          <w:rFonts w:eastAsia="AdvTimes"/>
          <w:color w:val="000000" w:themeColor="text1"/>
          <w:sz w:val="24"/>
          <w:szCs w:val="24"/>
        </w:rPr>
        <w:t>,6</w:t>
      </w:r>
      <w:proofErr w:type="gramEnd"/>
      <w:r w:rsidRPr="00D73549">
        <w:rPr>
          <w:rFonts w:eastAsia="AdvTimes"/>
          <w:color w:val="000000" w:themeColor="text1"/>
          <w:sz w:val="24"/>
          <w:szCs w:val="24"/>
        </w:rPr>
        <w:t>-diamidino-2-phenylindole (DAPI). Fluorescence signals were observed using a confocal laser-scanning microscope (LSM700; Carl Zeiss).</w:t>
      </w:r>
    </w:p>
    <w:p w:rsidR="00D73549" w:rsidRPr="00D73549" w:rsidRDefault="00D73549" w:rsidP="00D73549">
      <w:pPr>
        <w:autoSpaceDE w:val="0"/>
        <w:autoSpaceDN w:val="0"/>
        <w:spacing w:after="0" w:line="360" w:lineRule="auto"/>
        <w:outlineLvl w:val="0"/>
        <w:rPr>
          <w:rFonts w:eastAsia="AdvTimes"/>
          <w:color w:val="000000" w:themeColor="text1"/>
          <w:sz w:val="24"/>
          <w:szCs w:val="24"/>
        </w:rPr>
      </w:pPr>
    </w:p>
    <w:p w:rsidR="00D73549" w:rsidRPr="00D73549" w:rsidRDefault="00D73549" w:rsidP="00D73549">
      <w:pPr>
        <w:autoSpaceDE w:val="0"/>
        <w:autoSpaceDN w:val="0"/>
        <w:spacing w:after="0" w:line="360" w:lineRule="auto"/>
        <w:outlineLvl w:val="0"/>
        <w:rPr>
          <w:rFonts w:eastAsia="AdvTimes"/>
          <w:b/>
          <w:bCs/>
          <w:i/>
          <w:color w:val="000000" w:themeColor="text1"/>
          <w:sz w:val="24"/>
          <w:szCs w:val="24"/>
        </w:rPr>
      </w:pPr>
      <w:r w:rsidRPr="00D73549">
        <w:rPr>
          <w:rFonts w:eastAsia="AdvTimes" w:hint="eastAsia"/>
          <w:b/>
          <w:bCs/>
          <w:i/>
          <w:color w:val="000000" w:themeColor="text1"/>
          <w:sz w:val="24"/>
          <w:szCs w:val="24"/>
        </w:rPr>
        <w:t xml:space="preserve">Image </w:t>
      </w:r>
      <w:r w:rsidRPr="00D73549">
        <w:rPr>
          <w:rFonts w:eastAsia="AdvTimes"/>
          <w:b/>
          <w:bCs/>
          <w:i/>
          <w:color w:val="000000" w:themeColor="text1"/>
          <w:sz w:val="24"/>
          <w:szCs w:val="24"/>
        </w:rPr>
        <w:t>acquisition and data</w:t>
      </w:r>
      <w:r w:rsidRPr="00D73549">
        <w:rPr>
          <w:rFonts w:eastAsia="AdvTimes" w:hint="eastAsia"/>
          <w:b/>
          <w:bCs/>
          <w:i/>
          <w:color w:val="000000" w:themeColor="text1"/>
          <w:sz w:val="24"/>
          <w:szCs w:val="24"/>
        </w:rPr>
        <w:t xml:space="preserve"> </w:t>
      </w:r>
      <w:r w:rsidRPr="00D73549">
        <w:rPr>
          <w:rFonts w:eastAsia="AdvTimes"/>
          <w:b/>
          <w:bCs/>
          <w:i/>
          <w:color w:val="000000" w:themeColor="text1"/>
          <w:sz w:val="24"/>
          <w:szCs w:val="24"/>
        </w:rPr>
        <w:t>analysis</w:t>
      </w:r>
    </w:p>
    <w:p w:rsidR="00D73549" w:rsidRPr="00D73549" w:rsidRDefault="00D73549" w:rsidP="00D73549">
      <w:pPr>
        <w:autoSpaceDE w:val="0"/>
        <w:autoSpaceDN w:val="0"/>
        <w:spacing w:after="0" w:line="360" w:lineRule="auto"/>
        <w:outlineLvl w:val="0"/>
        <w:rPr>
          <w:color w:val="000000" w:themeColor="text1"/>
          <w:sz w:val="24"/>
          <w:szCs w:val="24"/>
        </w:rPr>
      </w:pPr>
      <w:r w:rsidRPr="00D73549">
        <w:rPr>
          <w:color w:val="000000" w:themeColor="text1"/>
          <w:sz w:val="24"/>
          <w:szCs w:val="24"/>
        </w:rPr>
        <w:t xml:space="preserve">Multiplex immunofluorescence slides were digitized using a VS200 whole-slide scanner (Evident). Digital image analysis was performed using </w:t>
      </w:r>
      <w:proofErr w:type="spellStart"/>
      <w:r w:rsidRPr="00D73549">
        <w:rPr>
          <w:color w:val="000000" w:themeColor="text1"/>
          <w:sz w:val="24"/>
          <w:szCs w:val="24"/>
        </w:rPr>
        <w:t>QuPath</w:t>
      </w:r>
      <w:proofErr w:type="spellEnd"/>
      <w:r w:rsidRPr="00D73549">
        <w:rPr>
          <w:color w:val="000000" w:themeColor="text1"/>
          <w:sz w:val="24"/>
          <w:szCs w:val="24"/>
        </w:rPr>
        <w:t xml:space="preserve"> software (version 0.6.0) </w:t>
      </w:r>
      <w:r w:rsidRPr="00D73549">
        <w:rPr>
          <w:color w:val="000000" w:themeColor="text1"/>
          <w:sz w:val="24"/>
          <w:szCs w:val="24"/>
        </w:rPr>
        <w:fldChar w:fldCharType="begin" w:fldLock="1"/>
      </w:r>
      <w:r w:rsidRPr="00D73549">
        <w:rPr>
          <w:color w:val="000000" w:themeColor="text1"/>
          <w:sz w:val="24"/>
          <w:szCs w:val="24"/>
        </w:rPr>
        <w:instrText>ADDIN paperpile_citation &lt;clusterId&gt;G753U711J291G814&lt;/clusterId&gt;&lt;metadata&gt;&lt;citation&gt;&lt;id&gt;766f30a4-5d8a-45ff-a7c4-7ceb1afa85c5&lt;/id&gt;&lt;/citation&gt;&lt;/metadata&gt;&lt;data&gt;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&lt;/data&gt; \* MERGEFORMAT</w:instrText>
      </w:r>
      <w:r w:rsidRPr="00D73549">
        <w:rPr>
          <w:color w:val="000000" w:themeColor="text1"/>
          <w:sz w:val="24"/>
          <w:szCs w:val="24"/>
        </w:rPr>
        <w:fldChar w:fldCharType="separate"/>
      </w:r>
      <w:r w:rsidRPr="00D73549">
        <w:rPr>
          <w:noProof/>
          <w:color w:val="000000" w:themeColor="text1"/>
          <w:sz w:val="24"/>
          <w:szCs w:val="24"/>
        </w:rPr>
        <w:t>[21]</w:t>
      </w:r>
      <w:r w:rsidRPr="00D73549">
        <w:rPr>
          <w:color w:val="000000" w:themeColor="text1"/>
          <w:sz w:val="24"/>
          <w:szCs w:val="24"/>
        </w:rPr>
        <w:fldChar w:fldCharType="end"/>
      </w:r>
      <w:r w:rsidRPr="00D73549">
        <w:rPr>
          <w:color w:val="000000" w:themeColor="text1"/>
          <w:sz w:val="24"/>
          <w:szCs w:val="24"/>
        </w:rPr>
        <w:t xml:space="preserve">. Within regions of interest (ROIs) identified as </w:t>
      </w:r>
      <w:proofErr w:type="spellStart"/>
      <w:r w:rsidRPr="00D73549">
        <w:rPr>
          <w:color w:val="000000" w:themeColor="text1"/>
          <w:sz w:val="24"/>
          <w:szCs w:val="24"/>
        </w:rPr>
        <w:t>tumor</w:t>
      </w:r>
      <w:proofErr w:type="spellEnd"/>
      <w:r w:rsidRPr="00D73549">
        <w:rPr>
          <w:color w:val="000000" w:themeColor="text1"/>
          <w:sz w:val="24"/>
          <w:szCs w:val="24"/>
        </w:rPr>
        <w:t xml:space="preserve"> areas by a pathologist, single cells were segmented and classified into four phenotypes based on the presence or absence of CD44 and GRIA1–4 expression. Statistical analyses were conducted using JMP software (version 19.0.5; JMP Statistical Discovery LLC, Cary, NC, USA). To evaluate the overall association between CD44 positivity and the expression of each GRIA subunit (GRIA1–4), cell counts were aggregated across all evaluated ROIs, and pooled odds ratios (ORs) with 95% confidence intervals (CIs) were calculated using standard contingency table analysis.</w:t>
      </w:r>
    </w:p>
    <w:p w:rsidR="00D73549" w:rsidRPr="00D73549" w:rsidRDefault="00D73549" w:rsidP="00D73549">
      <w:pPr>
        <w:autoSpaceDE w:val="0"/>
        <w:autoSpaceDN w:val="0"/>
        <w:spacing w:after="0" w:line="360" w:lineRule="auto"/>
        <w:outlineLvl w:val="0"/>
        <w:rPr>
          <w:rFonts w:eastAsia="AdvTimes"/>
          <w:color w:val="000000" w:themeColor="text1"/>
          <w:sz w:val="24"/>
          <w:szCs w:val="24"/>
        </w:rPr>
      </w:pPr>
    </w:p>
    <w:p w:rsidR="00D73549" w:rsidRPr="00D73549" w:rsidRDefault="00D73549" w:rsidP="00D73549">
      <w:pPr>
        <w:autoSpaceDE w:val="0"/>
        <w:autoSpaceDN w:val="0"/>
        <w:spacing w:after="0" w:line="360" w:lineRule="auto"/>
        <w:rPr>
          <w:rFonts w:eastAsia="AdvTimes"/>
          <w:b/>
          <w:bCs/>
          <w:color w:val="000000" w:themeColor="text1"/>
          <w:sz w:val="24"/>
          <w:szCs w:val="24"/>
        </w:rPr>
      </w:pPr>
      <w:r w:rsidRPr="00D73549">
        <w:rPr>
          <w:rFonts w:eastAsia="平成明朝"/>
          <w:b/>
          <w:bCs/>
          <w:i/>
          <w:color w:val="000000" w:themeColor="text1"/>
          <w:sz w:val="24"/>
          <w:szCs w:val="24"/>
        </w:rPr>
        <w:t>Statistics</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r w:rsidRPr="00D73549">
        <w:rPr>
          <w:rFonts w:eastAsia="AdvTimes"/>
          <w:color w:val="000000" w:themeColor="text1"/>
          <w:sz w:val="24"/>
          <w:szCs w:val="24"/>
        </w:rPr>
        <w:t>All data are expressed as means ± SD</w:t>
      </w:r>
      <w:r w:rsidRPr="00D73549">
        <w:rPr>
          <w:rFonts w:eastAsia="平成明朝"/>
          <w:color w:val="000000" w:themeColor="text1"/>
          <w:sz w:val="24"/>
          <w:szCs w:val="24"/>
        </w:rPr>
        <w:t xml:space="preserve">. </w:t>
      </w:r>
      <w:r w:rsidRPr="00D73549">
        <w:rPr>
          <w:rFonts w:eastAsia="AdvTimes"/>
          <w:color w:val="000000" w:themeColor="text1"/>
          <w:sz w:val="24"/>
          <w:szCs w:val="24"/>
        </w:rPr>
        <w:t xml:space="preserve">Statistical analyses were performed using Excel (Microsoft) or </w:t>
      </w:r>
      <w:r w:rsidRPr="00D73549">
        <w:rPr>
          <w:rFonts w:eastAsia="平成明朝"/>
          <w:color w:val="000000" w:themeColor="text1"/>
          <w:sz w:val="24"/>
          <w:szCs w:val="24"/>
        </w:rPr>
        <w:t>Igor Pro</w:t>
      </w:r>
      <w:r w:rsidRPr="00D73549">
        <w:rPr>
          <w:rFonts w:eastAsia="AdvTimes"/>
          <w:color w:val="000000" w:themeColor="text1"/>
          <w:sz w:val="24"/>
          <w:szCs w:val="24"/>
        </w:rPr>
        <w:t xml:space="preserve"> (</w:t>
      </w:r>
      <w:proofErr w:type="spellStart"/>
      <w:r w:rsidRPr="00D73549">
        <w:rPr>
          <w:rFonts w:eastAsia="AdvTimes"/>
          <w:color w:val="000000" w:themeColor="text1"/>
          <w:sz w:val="24"/>
          <w:szCs w:val="24"/>
        </w:rPr>
        <w:t>WaveMetrics</w:t>
      </w:r>
      <w:proofErr w:type="spellEnd"/>
      <w:r w:rsidRPr="00D73549">
        <w:rPr>
          <w:rFonts w:eastAsia="AdvTimes"/>
          <w:color w:val="000000" w:themeColor="text1"/>
          <w:sz w:val="24"/>
          <w:szCs w:val="24"/>
        </w:rPr>
        <w:t xml:space="preserve">). </w:t>
      </w:r>
      <w:r w:rsidRPr="00D73549">
        <w:rPr>
          <w:rFonts w:eastAsia="平成明朝"/>
          <w:color w:val="000000" w:themeColor="text1"/>
          <w:sz w:val="24"/>
          <w:szCs w:val="24"/>
        </w:rPr>
        <w:t xml:space="preserve">A one-way analysis of variance (ANOVA) was applied, and probability values of </w:t>
      </w:r>
      <w:r w:rsidRPr="00D73549">
        <w:rPr>
          <w:rFonts w:eastAsia="平成明朝"/>
          <w:i/>
          <w:color w:val="000000" w:themeColor="text1"/>
          <w:sz w:val="24"/>
          <w:szCs w:val="24"/>
        </w:rPr>
        <w:t>P</w:t>
      </w:r>
      <w:r w:rsidRPr="00D73549">
        <w:rPr>
          <w:rFonts w:eastAsia="平成明朝"/>
          <w:color w:val="000000" w:themeColor="text1"/>
          <w:sz w:val="24"/>
          <w:szCs w:val="24"/>
        </w:rPr>
        <w:t xml:space="preserve"> &lt; 0.05 were considered significant. </w:t>
      </w:r>
      <w:r w:rsidRPr="00D73549">
        <w:rPr>
          <w:rFonts w:eastAsia="平成明朝"/>
          <w:color w:val="000000" w:themeColor="text1"/>
          <w:sz w:val="24"/>
          <w:szCs w:val="24"/>
        </w:rPr>
        <w:br w:type="page"/>
      </w:r>
    </w:p>
    <w:p w:rsidR="00D73549" w:rsidRPr="00D73549" w:rsidRDefault="00D73549" w:rsidP="00D73549">
      <w:pPr>
        <w:autoSpaceDE w:val="0"/>
        <w:autoSpaceDN w:val="0"/>
        <w:spacing w:after="0" w:line="360" w:lineRule="auto"/>
        <w:outlineLvl w:val="0"/>
        <w:rPr>
          <w:rFonts w:eastAsia="平成明朝"/>
          <w:b/>
          <w:bCs/>
          <w:color w:val="000000" w:themeColor="text1"/>
          <w:sz w:val="24"/>
          <w:szCs w:val="24"/>
        </w:rPr>
      </w:pPr>
      <w:r w:rsidRPr="00D73549">
        <w:rPr>
          <w:rFonts w:eastAsia="平成明朝"/>
          <w:b/>
          <w:bCs/>
          <w:color w:val="000000" w:themeColor="text1"/>
          <w:sz w:val="24"/>
          <w:szCs w:val="24"/>
        </w:rPr>
        <w:lastRenderedPageBreak/>
        <w:t>Supplementary Figure Legends</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r w:rsidRPr="00D73549">
        <w:rPr>
          <w:rFonts w:eastAsia="平成明朝"/>
          <w:b/>
          <w:bCs/>
          <w:color w:val="000000" w:themeColor="text1"/>
          <w:sz w:val="24"/>
          <w:szCs w:val="24"/>
        </w:rPr>
        <w:t xml:space="preserve">Supplementary Fig. 1 </w:t>
      </w:r>
      <w:proofErr w:type="spellStart"/>
      <w:r w:rsidRPr="00D73549">
        <w:rPr>
          <w:rFonts w:eastAsia="平成明朝"/>
          <w:b/>
          <w:bCs/>
          <w:color w:val="000000" w:themeColor="text1"/>
          <w:sz w:val="24"/>
          <w:szCs w:val="24"/>
        </w:rPr>
        <w:t>Immunocytochemical</w:t>
      </w:r>
      <w:proofErr w:type="spellEnd"/>
      <w:r w:rsidRPr="00D73549">
        <w:rPr>
          <w:rFonts w:eastAsia="平成明朝"/>
          <w:b/>
          <w:bCs/>
          <w:color w:val="000000" w:themeColor="text1"/>
          <w:sz w:val="24"/>
          <w:szCs w:val="24"/>
        </w:rPr>
        <w:t xml:space="preserve"> staining for GRIA1 and GRIA3 in </w:t>
      </w:r>
      <w:proofErr w:type="spellStart"/>
      <w:r w:rsidRPr="00D73549">
        <w:rPr>
          <w:rFonts w:eastAsia="平成明朝"/>
          <w:b/>
          <w:bCs/>
          <w:color w:val="000000" w:themeColor="text1"/>
          <w:sz w:val="24"/>
          <w:szCs w:val="24"/>
        </w:rPr>
        <w:t>glioma</w:t>
      </w:r>
      <w:proofErr w:type="spellEnd"/>
      <w:r w:rsidRPr="00D73549">
        <w:rPr>
          <w:rFonts w:eastAsia="平成明朝"/>
          <w:b/>
          <w:bCs/>
          <w:color w:val="000000" w:themeColor="text1"/>
          <w:sz w:val="24"/>
          <w:szCs w:val="24"/>
        </w:rPr>
        <w:t xml:space="preserve"> sphere cells (GSCs).</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proofErr w:type="gramStart"/>
      <w:r w:rsidRPr="00D73549">
        <w:rPr>
          <w:rFonts w:eastAsia="平成明朝"/>
          <w:color w:val="000000" w:themeColor="text1"/>
          <w:sz w:val="24"/>
          <w:szCs w:val="24"/>
        </w:rPr>
        <w:t>a</w:t>
      </w:r>
      <w:proofErr w:type="gramEnd"/>
      <w:r w:rsidRPr="00D73549">
        <w:rPr>
          <w:rFonts w:eastAsia="平成明朝"/>
          <w:color w:val="000000" w:themeColor="text1"/>
          <w:sz w:val="24"/>
          <w:szCs w:val="24"/>
        </w:rPr>
        <w:t>: GRIA</w:t>
      </w:r>
      <w:r w:rsidRPr="00D73549">
        <w:rPr>
          <w:rFonts w:eastAsia="平成明朝" w:hint="eastAsia"/>
          <w:color w:val="000000" w:themeColor="text1"/>
          <w:sz w:val="24"/>
          <w:szCs w:val="24"/>
        </w:rPr>
        <w:t>1</w:t>
      </w:r>
      <w:r w:rsidRPr="00D73549">
        <w:rPr>
          <w:rFonts w:eastAsia="平成明朝"/>
          <w:color w:val="000000" w:themeColor="text1"/>
          <w:sz w:val="24"/>
          <w:szCs w:val="24"/>
        </w:rPr>
        <w:t xml:space="preserve"> (AMPA receptor) staining using an anti-GRIA</w:t>
      </w:r>
      <w:r w:rsidRPr="00D73549">
        <w:rPr>
          <w:rFonts w:eastAsia="平成明朝" w:hint="eastAsia"/>
          <w:color w:val="000000" w:themeColor="text1"/>
          <w:sz w:val="24"/>
          <w:szCs w:val="24"/>
        </w:rPr>
        <w:t>1</w:t>
      </w:r>
      <w:r w:rsidRPr="00D73549">
        <w:rPr>
          <w:rFonts w:eastAsia="平成明朝"/>
          <w:color w:val="000000" w:themeColor="text1"/>
          <w:sz w:val="24"/>
          <w:szCs w:val="24"/>
        </w:rPr>
        <w:t xml:space="preserve"> antibody (1:</w:t>
      </w:r>
      <w:r w:rsidRPr="00D73549">
        <w:rPr>
          <w:rFonts w:eastAsia="平成明朝" w:hint="eastAsia"/>
          <w:color w:val="000000" w:themeColor="text1"/>
          <w:sz w:val="24"/>
          <w:szCs w:val="24"/>
        </w:rPr>
        <w:t>1</w:t>
      </w:r>
      <w:r w:rsidRPr="00D73549">
        <w:rPr>
          <w:rFonts w:eastAsia="平成明朝"/>
          <w:color w:val="000000" w:themeColor="text1"/>
          <w:sz w:val="24"/>
          <w:szCs w:val="24"/>
        </w:rPr>
        <w:t xml:space="preserve">00, </w:t>
      </w:r>
      <w:r w:rsidRPr="00D73549">
        <w:rPr>
          <w:rFonts w:eastAsia="MS Mincho"/>
          <w:color w:val="000000" w:themeColor="text1"/>
          <w:sz w:val="24"/>
          <w:szCs w:val="24"/>
        </w:rPr>
        <w:t>HPA035202</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Atlas Antibodies)</w:t>
      </w:r>
      <w:r w:rsidRPr="00D73549">
        <w:rPr>
          <w:rFonts w:eastAsia="平成明朝" w:hint="eastAsia"/>
          <w:color w:val="000000" w:themeColor="text1"/>
          <w:sz w:val="24"/>
          <w:szCs w:val="24"/>
        </w:rPr>
        <w:t xml:space="preserve"> </w:t>
      </w:r>
      <w:r w:rsidRPr="00D73549">
        <w:rPr>
          <w:rFonts w:eastAsia="平成明朝"/>
          <w:color w:val="000000" w:themeColor="text1"/>
          <w:sz w:val="24"/>
          <w:szCs w:val="24"/>
        </w:rPr>
        <w:t xml:space="preserve">in </w:t>
      </w:r>
      <w:proofErr w:type="spellStart"/>
      <w:r w:rsidRPr="00D73549">
        <w:rPr>
          <w:rFonts w:eastAsia="平成明朝"/>
          <w:color w:val="000000" w:themeColor="text1"/>
          <w:sz w:val="24"/>
          <w:szCs w:val="24"/>
        </w:rPr>
        <w:t>glioma</w:t>
      </w:r>
      <w:proofErr w:type="spellEnd"/>
      <w:r w:rsidRPr="00D73549">
        <w:rPr>
          <w:rFonts w:eastAsia="平成明朝"/>
          <w:color w:val="000000" w:themeColor="text1"/>
          <w:sz w:val="24"/>
          <w:szCs w:val="24"/>
        </w:rPr>
        <w:t xml:space="preserve"> sphere cells (GSCs). </w:t>
      </w:r>
      <w:proofErr w:type="gramStart"/>
      <w:r w:rsidRPr="00D73549">
        <w:rPr>
          <w:rFonts w:eastAsia="平成明朝"/>
          <w:color w:val="000000" w:themeColor="text1"/>
          <w:sz w:val="24"/>
          <w:szCs w:val="24"/>
        </w:rPr>
        <w:t>b</w:t>
      </w:r>
      <w:proofErr w:type="gramEnd"/>
      <w:r w:rsidRPr="00D73549">
        <w:rPr>
          <w:rFonts w:eastAsia="平成明朝"/>
          <w:color w:val="000000" w:themeColor="text1"/>
          <w:sz w:val="24"/>
          <w:szCs w:val="24"/>
        </w:rPr>
        <w:t xml:space="preserve">: Nuclei staining with 4’,6-diamidino-2-phenylindole (DAPI). </w:t>
      </w:r>
      <w:proofErr w:type="gramStart"/>
      <w:r w:rsidRPr="00D73549">
        <w:rPr>
          <w:rFonts w:eastAsia="平成明朝"/>
          <w:color w:val="000000" w:themeColor="text1"/>
          <w:sz w:val="24"/>
          <w:szCs w:val="24"/>
        </w:rPr>
        <w:t>c</w:t>
      </w:r>
      <w:proofErr w:type="gramEnd"/>
      <w:r w:rsidRPr="00D73549">
        <w:rPr>
          <w:rFonts w:eastAsia="平成明朝"/>
          <w:color w:val="000000" w:themeColor="text1"/>
          <w:sz w:val="24"/>
          <w:szCs w:val="24"/>
        </w:rPr>
        <w:t xml:space="preserve">: Merged images </w:t>
      </w:r>
      <w:r w:rsidRPr="00D73549">
        <w:rPr>
          <w:rFonts w:eastAsia="平成明朝" w:hint="eastAsia"/>
          <w:color w:val="000000" w:themeColor="text1"/>
          <w:sz w:val="24"/>
          <w:szCs w:val="24"/>
        </w:rPr>
        <w:t xml:space="preserve">of </w:t>
      </w:r>
      <w:r w:rsidRPr="00D73549">
        <w:rPr>
          <w:rFonts w:eastAsia="平成明朝"/>
          <w:color w:val="000000" w:themeColor="text1"/>
          <w:sz w:val="24"/>
          <w:szCs w:val="24"/>
        </w:rPr>
        <w:t>a and b.</w:t>
      </w:r>
      <w:r w:rsidRPr="00D73549">
        <w:rPr>
          <w:rFonts w:eastAsia="平成明朝" w:hint="eastAsia"/>
          <w:color w:val="000000" w:themeColor="text1"/>
          <w:sz w:val="24"/>
          <w:szCs w:val="24"/>
        </w:rPr>
        <w:t xml:space="preserve"> </w:t>
      </w:r>
      <w:r w:rsidRPr="00D73549">
        <w:rPr>
          <w:rFonts w:eastAsia="平成明朝"/>
          <w:color w:val="000000" w:themeColor="text1"/>
          <w:sz w:val="24"/>
          <w:szCs w:val="24"/>
        </w:rPr>
        <w:t>d: GRIA</w:t>
      </w:r>
      <w:r w:rsidRPr="00D73549">
        <w:rPr>
          <w:rFonts w:eastAsia="平成明朝" w:hint="eastAsia"/>
          <w:color w:val="000000" w:themeColor="text1"/>
          <w:sz w:val="24"/>
          <w:szCs w:val="24"/>
        </w:rPr>
        <w:t>3</w:t>
      </w:r>
      <w:r w:rsidRPr="00D73549">
        <w:rPr>
          <w:rFonts w:eastAsia="平成明朝"/>
          <w:color w:val="000000" w:themeColor="text1"/>
          <w:sz w:val="24"/>
          <w:szCs w:val="24"/>
        </w:rPr>
        <w:t xml:space="preserve"> staining (1:</w:t>
      </w:r>
      <w:r w:rsidRPr="00D73549">
        <w:rPr>
          <w:rFonts w:eastAsia="平成明朝" w:hint="eastAsia"/>
          <w:color w:val="000000" w:themeColor="text1"/>
          <w:sz w:val="24"/>
          <w:szCs w:val="24"/>
        </w:rPr>
        <w:t>1</w:t>
      </w:r>
      <w:r w:rsidRPr="00D73549">
        <w:rPr>
          <w:rFonts w:eastAsia="平成明朝"/>
          <w:color w:val="000000" w:themeColor="text1"/>
          <w:sz w:val="24"/>
          <w:szCs w:val="24"/>
        </w:rPr>
        <w:t xml:space="preserve">00, </w:t>
      </w:r>
      <w:r w:rsidRPr="00D73549">
        <w:rPr>
          <w:rFonts w:eastAsia="MS Mincho"/>
          <w:color w:val="000000" w:themeColor="text1"/>
          <w:sz w:val="24"/>
          <w:szCs w:val="24"/>
        </w:rPr>
        <w:t>HPA058659</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Atlas Antibodies). </w:t>
      </w:r>
      <w:proofErr w:type="gramStart"/>
      <w:r w:rsidRPr="00D73549">
        <w:rPr>
          <w:rFonts w:eastAsia="平成明朝"/>
          <w:color w:val="000000" w:themeColor="text1"/>
          <w:sz w:val="24"/>
          <w:szCs w:val="24"/>
        </w:rPr>
        <w:t>e</w:t>
      </w:r>
      <w:proofErr w:type="gramEnd"/>
      <w:r w:rsidRPr="00D73549">
        <w:rPr>
          <w:rFonts w:eastAsia="平成明朝"/>
          <w:color w:val="000000" w:themeColor="text1"/>
          <w:sz w:val="24"/>
          <w:szCs w:val="24"/>
        </w:rPr>
        <w:t xml:space="preserve">: Nuclei staining. </w:t>
      </w:r>
      <w:proofErr w:type="gramStart"/>
      <w:r w:rsidRPr="00D73549">
        <w:rPr>
          <w:rFonts w:eastAsia="平成明朝"/>
          <w:color w:val="000000" w:themeColor="text1"/>
          <w:sz w:val="24"/>
          <w:szCs w:val="24"/>
        </w:rPr>
        <w:t>f</w:t>
      </w:r>
      <w:proofErr w:type="gramEnd"/>
      <w:r w:rsidRPr="00D73549">
        <w:rPr>
          <w:rFonts w:eastAsia="平成明朝"/>
          <w:color w:val="000000" w:themeColor="text1"/>
          <w:sz w:val="24"/>
          <w:szCs w:val="24"/>
        </w:rPr>
        <w:t xml:space="preserve">: Merged image </w:t>
      </w:r>
      <w:r w:rsidRPr="00D73549">
        <w:rPr>
          <w:rFonts w:eastAsia="平成明朝" w:hint="eastAsia"/>
          <w:color w:val="000000" w:themeColor="text1"/>
          <w:sz w:val="24"/>
          <w:szCs w:val="24"/>
        </w:rPr>
        <w:t>of</w:t>
      </w:r>
      <w:r w:rsidRPr="00D73549">
        <w:rPr>
          <w:rFonts w:eastAsia="平成明朝"/>
          <w:color w:val="000000" w:themeColor="text1"/>
          <w:sz w:val="24"/>
          <w:szCs w:val="24"/>
        </w:rPr>
        <w:t xml:space="preserve"> d and e</w:t>
      </w:r>
      <w:r w:rsidRPr="00D73549">
        <w:rPr>
          <w:rFonts w:eastAsia="平成明朝" w:hint="eastAsia"/>
          <w:color w:val="000000" w:themeColor="text1"/>
          <w:sz w:val="24"/>
          <w:szCs w:val="24"/>
        </w:rPr>
        <w:t xml:space="preserve">. </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r w:rsidRPr="00D73549">
        <w:rPr>
          <w:rFonts w:eastAsia="平成明朝"/>
          <w:noProof/>
          <w:color w:val="000000" w:themeColor="text1"/>
          <w:sz w:val="24"/>
          <w:szCs w:val="24"/>
          <w:lang w:eastAsia="en-IN"/>
        </w:rPr>
        <w:drawing>
          <wp:inline distT="0" distB="0" distL="0" distR="0" wp14:anchorId="29597C38" wp14:editId="68FF484F">
            <wp:extent cx="5755640" cy="3793490"/>
            <wp:effectExtent l="0" t="0" r="0" b="3810"/>
            <wp:docPr id="2129144173"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44173" name="図 2129144173"/>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5640" cy="3793490"/>
                    </a:xfrm>
                    <a:prstGeom prst="rect">
                      <a:avLst/>
                    </a:prstGeom>
                  </pic:spPr>
                </pic:pic>
              </a:graphicData>
            </a:graphic>
          </wp:inline>
        </w:drawing>
      </w:r>
    </w:p>
    <w:p w:rsidR="00D73549" w:rsidRPr="00D73549" w:rsidRDefault="00D73549" w:rsidP="00D73549">
      <w:pPr>
        <w:autoSpaceDE w:val="0"/>
        <w:autoSpaceDN w:val="0"/>
        <w:spacing w:after="0" w:line="360" w:lineRule="auto"/>
        <w:outlineLvl w:val="0"/>
        <w:rPr>
          <w:rFonts w:eastAsia="平成明朝"/>
          <w:b/>
          <w:bCs/>
          <w:color w:val="000000" w:themeColor="text1"/>
          <w:sz w:val="24"/>
          <w:szCs w:val="24"/>
        </w:rPr>
      </w:pPr>
      <w:r w:rsidRPr="00D73549">
        <w:rPr>
          <w:rFonts w:eastAsia="平成明朝"/>
          <w:b/>
          <w:bCs/>
          <w:color w:val="000000" w:themeColor="text1"/>
          <w:sz w:val="24"/>
          <w:szCs w:val="24"/>
        </w:rPr>
        <w:t xml:space="preserve">Supplementary Fig. 2 Immunofluorescence staining for ABAT and SV2A in the </w:t>
      </w:r>
      <w:proofErr w:type="spellStart"/>
      <w:r w:rsidRPr="00D73549">
        <w:rPr>
          <w:rFonts w:eastAsia="平成明朝"/>
          <w:b/>
          <w:bCs/>
          <w:color w:val="000000" w:themeColor="text1"/>
          <w:sz w:val="24"/>
          <w:szCs w:val="24"/>
        </w:rPr>
        <w:t>tumor</w:t>
      </w:r>
      <w:proofErr w:type="spellEnd"/>
      <w:r w:rsidRPr="00D73549">
        <w:rPr>
          <w:rFonts w:eastAsia="平成明朝"/>
          <w:b/>
          <w:bCs/>
          <w:color w:val="000000" w:themeColor="text1"/>
          <w:sz w:val="24"/>
          <w:szCs w:val="24"/>
        </w:rPr>
        <w:t xml:space="preserve"> specimen resected at 14 years of age.</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proofErr w:type="gramStart"/>
      <w:r w:rsidRPr="00D73549">
        <w:rPr>
          <w:rFonts w:eastAsia="平成明朝"/>
          <w:color w:val="000000" w:themeColor="text1"/>
          <w:sz w:val="24"/>
          <w:szCs w:val="24"/>
        </w:rPr>
        <w:t>a</w:t>
      </w:r>
      <w:proofErr w:type="gramEnd"/>
      <w:r w:rsidRPr="00D73549">
        <w:rPr>
          <w:rFonts w:eastAsia="平成明朝"/>
          <w:color w:val="000000" w:themeColor="text1"/>
          <w:sz w:val="24"/>
          <w:szCs w:val="24"/>
        </w:rPr>
        <w:t xml:space="preserve">: ABAT staining (molecular target of </w:t>
      </w:r>
      <w:proofErr w:type="spellStart"/>
      <w:r w:rsidRPr="00D73549">
        <w:rPr>
          <w:rFonts w:eastAsia="平成明朝"/>
          <w:color w:val="000000" w:themeColor="text1"/>
          <w:sz w:val="24"/>
          <w:szCs w:val="24"/>
        </w:rPr>
        <w:t>valproic</w:t>
      </w:r>
      <w:proofErr w:type="spellEnd"/>
      <w:r w:rsidRPr="00D73549">
        <w:rPr>
          <w:rFonts w:eastAsia="平成明朝"/>
          <w:color w:val="000000" w:themeColor="text1"/>
          <w:sz w:val="24"/>
          <w:szCs w:val="24"/>
        </w:rPr>
        <w:t xml:space="preserve"> acid: 1:200, HPA041528</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Atlas Antibodies). </w:t>
      </w:r>
      <w:proofErr w:type="gramStart"/>
      <w:r w:rsidRPr="00D73549">
        <w:rPr>
          <w:rFonts w:eastAsia="平成明朝" w:hint="eastAsia"/>
          <w:color w:val="000000" w:themeColor="text1"/>
          <w:sz w:val="24"/>
          <w:szCs w:val="24"/>
        </w:rPr>
        <w:t>b</w:t>
      </w:r>
      <w:proofErr w:type="gramEnd"/>
      <w:r w:rsidRPr="00D73549">
        <w:rPr>
          <w:rFonts w:eastAsia="平成明朝"/>
          <w:color w:val="000000" w:themeColor="text1"/>
          <w:sz w:val="24"/>
          <w:szCs w:val="24"/>
        </w:rPr>
        <w:t xml:space="preserve">: Nuclei staining. </w:t>
      </w:r>
      <w:proofErr w:type="gramStart"/>
      <w:r w:rsidRPr="00D73549">
        <w:rPr>
          <w:rFonts w:eastAsia="平成明朝"/>
          <w:color w:val="000000" w:themeColor="text1"/>
          <w:sz w:val="24"/>
          <w:szCs w:val="24"/>
        </w:rPr>
        <w:t>c</w:t>
      </w:r>
      <w:proofErr w:type="gramEnd"/>
      <w:r w:rsidRPr="00D73549">
        <w:rPr>
          <w:rFonts w:eastAsia="平成明朝"/>
          <w:color w:val="000000" w:themeColor="text1"/>
          <w:sz w:val="24"/>
          <w:szCs w:val="24"/>
        </w:rPr>
        <w:t xml:space="preserve">: Merged image </w:t>
      </w:r>
      <w:r w:rsidRPr="00D73549">
        <w:rPr>
          <w:rFonts w:eastAsia="平成明朝" w:hint="eastAsia"/>
          <w:color w:val="000000" w:themeColor="text1"/>
          <w:sz w:val="24"/>
          <w:szCs w:val="24"/>
        </w:rPr>
        <w:t>of</w:t>
      </w:r>
      <w:r w:rsidRPr="00D73549">
        <w:rPr>
          <w:rFonts w:eastAsia="平成明朝"/>
          <w:color w:val="000000" w:themeColor="text1"/>
          <w:sz w:val="24"/>
          <w:szCs w:val="24"/>
        </w:rPr>
        <w:t xml:space="preserve"> a and b</w:t>
      </w:r>
      <w:r w:rsidRPr="00D73549">
        <w:rPr>
          <w:rFonts w:eastAsia="平成明朝" w:hint="eastAsia"/>
          <w:color w:val="000000" w:themeColor="text1"/>
          <w:sz w:val="24"/>
          <w:szCs w:val="24"/>
        </w:rPr>
        <w:t xml:space="preserve">. </w:t>
      </w:r>
      <w:r w:rsidRPr="00D73549">
        <w:rPr>
          <w:rFonts w:eastAsia="平成明朝"/>
          <w:color w:val="000000" w:themeColor="text1"/>
          <w:sz w:val="24"/>
          <w:szCs w:val="24"/>
        </w:rPr>
        <w:t>d</w:t>
      </w:r>
      <w:r w:rsidRPr="00D73549">
        <w:rPr>
          <w:rFonts w:eastAsia="平成明朝" w:hint="eastAsia"/>
          <w:color w:val="000000" w:themeColor="text1"/>
          <w:sz w:val="24"/>
          <w:szCs w:val="24"/>
        </w:rPr>
        <w:t>:</w:t>
      </w:r>
      <w:r w:rsidRPr="00D73549">
        <w:rPr>
          <w:rFonts w:eastAsia="平成明朝"/>
          <w:color w:val="000000" w:themeColor="text1"/>
          <w:sz w:val="24"/>
          <w:szCs w:val="24"/>
        </w:rPr>
        <w:t xml:space="preserve"> SV2A staining (molecular target of </w:t>
      </w:r>
      <w:proofErr w:type="spellStart"/>
      <w:r w:rsidRPr="00D73549">
        <w:rPr>
          <w:rFonts w:eastAsia="平成明朝"/>
          <w:color w:val="000000" w:themeColor="text1"/>
          <w:sz w:val="24"/>
          <w:szCs w:val="24"/>
        </w:rPr>
        <w:t>levetiracetam</w:t>
      </w:r>
      <w:proofErr w:type="spellEnd"/>
      <w:r w:rsidRPr="00D73549">
        <w:rPr>
          <w:rFonts w:eastAsia="平成明朝"/>
          <w:color w:val="000000" w:themeColor="text1"/>
          <w:sz w:val="24"/>
          <w:szCs w:val="24"/>
        </w:rPr>
        <w:t xml:space="preserve">; 1:100, clone E-8, sc-376234; Santa Cruz Biotechnology). </w:t>
      </w:r>
      <w:proofErr w:type="gramStart"/>
      <w:r w:rsidRPr="00D73549">
        <w:rPr>
          <w:rFonts w:eastAsia="平成明朝"/>
          <w:color w:val="000000" w:themeColor="text1"/>
          <w:sz w:val="24"/>
          <w:szCs w:val="24"/>
        </w:rPr>
        <w:t>e</w:t>
      </w:r>
      <w:proofErr w:type="gramEnd"/>
      <w:r w:rsidRPr="00D73549">
        <w:rPr>
          <w:rFonts w:eastAsia="平成明朝"/>
          <w:color w:val="000000" w:themeColor="text1"/>
          <w:sz w:val="24"/>
          <w:szCs w:val="24"/>
        </w:rPr>
        <w:t xml:space="preserve">: Nuclei staining. </w:t>
      </w:r>
      <w:proofErr w:type="gramStart"/>
      <w:r w:rsidRPr="00D73549">
        <w:rPr>
          <w:rFonts w:eastAsia="平成明朝"/>
          <w:color w:val="000000" w:themeColor="text1"/>
          <w:sz w:val="24"/>
          <w:szCs w:val="24"/>
        </w:rPr>
        <w:t>f</w:t>
      </w:r>
      <w:proofErr w:type="gramEnd"/>
      <w:r w:rsidRPr="00D73549">
        <w:rPr>
          <w:rFonts w:eastAsia="平成明朝"/>
          <w:color w:val="000000" w:themeColor="text1"/>
          <w:sz w:val="24"/>
          <w:szCs w:val="24"/>
        </w:rPr>
        <w:t xml:space="preserve">: Merged image </w:t>
      </w:r>
      <w:r w:rsidRPr="00D73549">
        <w:rPr>
          <w:rFonts w:eastAsia="平成明朝" w:hint="eastAsia"/>
          <w:color w:val="000000" w:themeColor="text1"/>
          <w:sz w:val="24"/>
          <w:szCs w:val="24"/>
        </w:rPr>
        <w:t>of</w:t>
      </w:r>
      <w:r w:rsidRPr="00D73549">
        <w:rPr>
          <w:rFonts w:eastAsia="平成明朝"/>
          <w:color w:val="000000" w:themeColor="text1"/>
          <w:sz w:val="24"/>
          <w:szCs w:val="24"/>
        </w:rPr>
        <w:t xml:space="preserve"> </w:t>
      </w:r>
      <w:r w:rsidRPr="00D73549">
        <w:rPr>
          <w:rFonts w:eastAsia="平成明朝" w:hint="eastAsia"/>
          <w:color w:val="000000" w:themeColor="text1"/>
          <w:sz w:val="24"/>
          <w:szCs w:val="24"/>
        </w:rPr>
        <w:t>d</w:t>
      </w:r>
      <w:r w:rsidRPr="00D73549">
        <w:rPr>
          <w:rFonts w:eastAsia="平成明朝"/>
          <w:color w:val="000000" w:themeColor="text1"/>
          <w:sz w:val="24"/>
          <w:szCs w:val="24"/>
        </w:rPr>
        <w:t xml:space="preserve"> and e</w:t>
      </w:r>
      <w:r w:rsidRPr="00D73549">
        <w:rPr>
          <w:rFonts w:eastAsia="平成明朝" w:hint="eastAsia"/>
          <w:color w:val="000000" w:themeColor="text1"/>
          <w:sz w:val="24"/>
          <w:szCs w:val="24"/>
        </w:rPr>
        <w:t xml:space="preserve">. </w:t>
      </w:r>
      <w:r w:rsidRPr="00D73549">
        <w:rPr>
          <w:color w:val="000000" w:themeColor="text1"/>
          <w:sz w:val="24"/>
          <w:szCs w:val="24"/>
        </w:rPr>
        <w:t xml:space="preserve">Bars = 20 </w:t>
      </w:r>
      <w:proofErr w:type="spellStart"/>
      <w:r w:rsidRPr="00D73549">
        <w:rPr>
          <w:color w:val="000000" w:themeColor="text1"/>
          <w:sz w:val="24"/>
          <w:szCs w:val="24"/>
        </w:rPr>
        <w:t>μm</w:t>
      </w:r>
      <w:proofErr w:type="spellEnd"/>
      <w:r w:rsidRPr="00D73549">
        <w:rPr>
          <w:color w:val="000000" w:themeColor="text1"/>
          <w:sz w:val="24"/>
          <w:szCs w:val="24"/>
        </w:rPr>
        <w:t>.</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r w:rsidRPr="00D73549">
        <w:rPr>
          <w:rFonts w:eastAsia="平成明朝"/>
          <w:noProof/>
          <w:color w:val="000000" w:themeColor="text1"/>
          <w:sz w:val="24"/>
          <w:szCs w:val="24"/>
          <w:lang w:eastAsia="en-IN"/>
        </w:rPr>
        <w:lastRenderedPageBreak/>
        <w:drawing>
          <wp:inline distT="0" distB="0" distL="0" distR="0" wp14:anchorId="2485E1FB" wp14:editId="3F3B2783">
            <wp:extent cx="5755640" cy="3841115"/>
            <wp:effectExtent l="0" t="0" r="0" b="0"/>
            <wp:docPr id="16983639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63978" name="図 16983639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5640" cy="3841115"/>
                    </a:xfrm>
                    <a:prstGeom prst="rect">
                      <a:avLst/>
                    </a:prstGeom>
                  </pic:spPr>
                </pic:pic>
              </a:graphicData>
            </a:graphic>
          </wp:inline>
        </w:drawing>
      </w:r>
    </w:p>
    <w:p w:rsidR="00D73549" w:rsidRPr="00D73549" w:rsidRDefault="00D73549" w:rsidP="00D73549">
      <w:pPr>
        <w:autoSpaceDE w:val="0"/>
        <w:autoSpaceDN w:val="0"/>
        <w:spacing w:after="0" w:line="360" w:lineRule="auto"/>
        <w:outlineLvl w:val="0"/>
        <w:rPr>
          <w:rFonts w:eastAsia="平成明朝"/>
          <w:b/>
          <w:bCs/>
          <w:color w:val="000000" w:themeColor="text1"/>
          <w:sz w:val="24"/>
          <w:szCs w:val="24"/>
        </w:rPr>
      </w:pPr>
      <w:r w:rsidRPr="00D73549">
        <w:rPr>
          <w:rFonts w:eastAsia="平成明朝"/>
          <w:b/>
          <w:bCs/>
          <w:color w:val="000000" w:themeColor="text1"/>
          <w:sz w:val="24"/>
          <w:szCs w:val="24"/>
        </w:rPr>
        <w:t xml:space="preserve">Supplementary Fig. 3 Survival analysis of adult </w:t>
      </w:r>
      <w:proofErr w:type="spellStart"/>
      <w:r w:rsidRPr="00D73549">
        <w:rPr>
          <w:rFonts w:eastAsia="平成明朝"/>
          <w:b/>
          <w:bCs/>
          <w:color w:val="000000" w:themeColor="text1"/>
          <w:sz w:val="24"/>
          <w:szCs w:val="24"/>
        </w:rPr>
        <w:t>gliomas</w:t>
      </w:r>
      <w:proofErr w:type="spellEnd"/>
      <w:r w:rsidRPr="00D73549">
        <w:rPr>
          <w:rFonts w:eastAsia="平成明朝"/>
          <w:b/>
          <w:bCs/>
          <w:color w:val="000000" w:themeColor="text1"/>
          <w:sz w:val="24"/>
          <w:szCs w:val="24"/>
        </w:rPr>
        <w:t xml:space="preserve"> stratified by receptor-associated gene expression.</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proofErr w:type="gramStart"/>
      <w:r w:rsidRPr="00D73549">
        <w:rPr>
          <w:rFonts w:eastAsia="平成明朝"/>
          <w:color w:val="000000" w:themeColor="text1"/>
          <w:sz w:val="24"/>
          <w:szCs w:val="24"/>
        </w:rPr>
        <w:t>a–f</w:t>
      </w:r>
      <w:proofErr w:type="gramEnd"/>
      <w:r w:rsidRPr="00D73549">
        <w:rPr>
          <w:rFonts w:eastAsia="平成明朝"/>
          <w:color w:val="000000" w:themeColor="text1"/>
          <w:sz w:val="24"/>
          <w:szCs w:val="24"/>
        </w:rPr>
        <w:t xml:space="preserve">: Kaplan–Meier overall survival curves for adult low-grade </w:t>
      </w:r>
      <w:proofErr w:type="spellStart"/>
      <w:r w:rsidRPr="00D73549">
        <w:rPr>
          <w:rFonts w:eastAsia="平成明朝"/>
          <w:color w:val="000000" w:themeColor="text1"/>
          <w:sz w:val="24"/>
          <w:szCs w:val="24"/>
        </w:rPr>
        <w:t>glioma</w:t>
      </w:r>
      <w:proofErr w:type="spellEnd"/>
      <w:r w:rsidRPr="00D73549">
        <w:rPr>
          <w:rFonts w:eastAsia="平成明朝"/>
          <w:color w:val="000000" w:themeColor="text1"/>
          <w:sz w:val="24"/>
          <w:szCs w:val="24"/>
        </w:rPr>
        <w:t xml:space="preserve"> (LGG) stratified by high versus low gene expression. Among the </w:t>
      </w:r>
      <w:proofErr w:type="spellStart"/>
      <w:r w:rsidRPr="00D73549">
        <w:rPr>
          <w:rFonts w:eastAsia="平成明朝"/>
          <w:color w:val="000000" w:themeColor="text1"/>
          <w:sz w:val="24"/>
          <w:szCs w:val="24"/>
        </w:rPr>
        <w:t>analyzed</w:t>
      </w:r>
      <w:proofErr w:type="spellEnd"/>
      <w:r w:rsidRPr="00D73549">
        <w:rPr>
          <w:rFonts w:eastAsia="平成明朝"/>
          <w:color w:val="000000" w:themeColor="text1"/>
          <w:sz w:val="24"/>
          <w:szCs w:val="24"/>
        </w:rPr>
        <w:t xml:space="preserve"> genes, high expression of GRIA3 (c) and ABAT (e) (red lines) were significantly associated with overall survival, whereas GRIA1 (a), GRIA2 (b), GRIA4 (d), and SV2A (f) showed no significant association.</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proofErr w:type="gramStart"/>
      <w:r w:rsidRPr="00D73549">
        <w:rPr>
          <w:rFonts w:eastAsia="平成明朝"/>
          <w:color w:val="000000" w:themeColor="text1"/>
          <w:sz w:val="24"/>
          <w:szCs w:val="24"/>
        </w:rPr>
        <w:t>g–l</w:t>
      </w:r>
      <w:proofErr w:type="gramEnd"/>
      <w:r w:rsidRPr="00D73549">
        <w:rPr>
          <w:rFonts w:eastAsia="平成明朝"/>
          <w:color w:val="000000" w:themeColor="text1"/>
          <w:sz w:val="24"/>
          <w:szCs w:val="24"/>
        </w:rPr>
        <w:t xml:space="preserve">: Kaplan–Meier overall survival curves for adult high-grade </w:t>
      </w:r>
      <w:proofErr w:type="spellStart"/>
      <w:r w:rsidRPr="00D73549">
        <w:rPr>
          <w:rFonts w:eastAsia="平成明朝"/>
          <w:color w:val="000000" w:themeColor="text1"/>
          <w:sz w:val="24"/>
          <w:szCs w:val="24"/>
        </w:rPr>
        <w:t>glioma</w:t>
      </w:r>
      <w:proofErr w:type="spellEnd"/>
      <w:r w:rsidRPr="00D73549">
        <w:rPr>
          <w:rFonts w:eastAsia="平成明朝"/>
          <w:color w:val="000000" w:themeColor="text1"/>
          <w:sz w:val="24"/>
          <w:szCs w:val="24"/>
        </w:rPr>
        <w:t xml:space="preserve"> (HGG) stratified by high versus low gene expression. High expression of GRIA3 (</w:t>
      </w:r>
      <w:proofErr w:type="spellStart"/>
      <w:r w:rsidRPr="00D73549">
        <w:rPr>
          <w:rFonts w:eastAsia="平成明朝"/>
          <w:color w:val="000000" w:themeColor="text1"/>
          <w:sz w:val="24"/>
          <w:szCs w:val="24"/>
        </w:rPr>
        <w:t>i</w:t>
      </w:r>
      <w:proofErr w:type="spellEnd"/>
      <w:r w:rsidRPr="00D73549">
        <w:rPr>
          <w:rFonts w:eastAsia="平成明朝"/>
          <w:color w:val="000000" w:themeColor="text1"/>
          <w:sz w:val="24"/>
          <w:szCs w:val="24"/>
        </w:rPr>
        <w:t>) and GRIA4 (j) (red lines) was significantly associated with overall survival, while GRIA1 (g), GRIA2 (h), ABAT (k), and SV2A (l) were not significantly associated with prognosis. P values were calculated using the log-rank test.</w:t>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r w:rsidRPr="00D73549">
        <w:rPr>
          <w:rFonts w:eastAsia="平成明朝"/>
          <w:noProof/>
          <w:color w:val="000000" w:themeColor="text1"/>
          <w:sz w:val="24"/>
          <w:szCs w:val="24"/>
          <w:lang w:eastAsia="en-IN"/>
        </w:rPr>
        <w:drawing>
          <wp:inline distT="0" distB="0" distL="0" distR="0" wp14:anchorId="5B679173" wp14:editId="2F43BFD8">
            <wp:extent cx="5755640" cy="1784350"/>
            <wp:effectExtent l="0" t="0" r="0" b="6350"/>
            <wp:docPr id="199936801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68012" name="図 19993680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5640" cy="1784350"/>
                    </a:xfrm>
                    <a:prstGeom prst="rect">
                      <a:avLst/>
                    </a:prstGeom>
                  </pic:spPr>
                </pic:pic>
              </a:graphicData>
            </a:graphic>
          </wp:inline>
        </w:drawing>
      </w:r>
    </w:p>
    <w:p w:rsidR="00D73549" w:rsidRPr="00D73549" w:rsidRDefault="00D73549" w:rsidP="00D73549">
      <w:pPr>
        <w:autoSpaceDE w:val="0"/>
        <w:autoSpaceDN w:val="0"/>
        <w:spacing w:after="0" w:line="360" w:lineRule="auto"/>
        <w:outlineLvl w:val="0"/>
        <w:rPr>
          <w:rFonts w:eastAsia="平成明朝"/>
          <w:color w:val="000000" w:themeColor="text1"/>
          <w:sz w:val="24"/>
          <w:szCs w:val="24"/>
        </w:rPr>
      </w:pPr>
    </w:p>
    <w:bookmarkEnd w:id="0"/>
    <w:p w:rsidR="008274B5" w:rsidRPr="00D73549" w:rsidRDefault="008274B5">
      <w:pPr>
        <w:rPr>
          <w:color w:val="000000" w:themeColor="text1"/>
        </w:rPr>
      </w:pPr>
    </w:p>
    <w:sectPr w:rsidR="008274B5" w:rsidRPr="00D735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dvTimes">
    <w:altName w:val="Arial Unicode MS"/>
    <w:charset w:val="80"/>
    <w:family w:val="auto"/>
    <w:pitch w:val="default"/>
    <w:sig w:usb0="00000000" w:usb1="08070000" w:usb2="00000010" w:usb3="00000000" w:csb0="00020000" w:csb1="00000000"/>
  </w:font>
  <w:font w:name="平成明朝">
    <w:altName w:val="Arial Unicode MS"/>
    <w:charset w:val="80"/>
    <w:family w:val="auto"/>
    <w:pitch w:val="variable"/>
    <w:sig w:usb0="00000000" w:usb1="08070708" w:usb2="10000010" w:usb3="00000000" w:csb0="0002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549"/>
    <w:rsid w:val="001C69A0"/>
    <w:rsid w:val="0065483E"/>
    <w:rsid w:val="008274B5"/>
    <w:rsid w:val="00BF151B"/>
    <w:rsid w:val="00D735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151A7-5F4E-4967-8634-E841E634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3549"/>
    <w:pPr>
      <w:spacing w:before="100" w:beforeAutospacing="1" w:after="100" w:afterAutospacing="1" w:line="240" w:lineRule="auto"/>
    </w:pPr>
    <w:rPr>
      <w:rFonts w:ascii="MS PGothic" w:eastAsia="MS PGothic" w:hAnsi="MS PGothic" w:cs="MS PGothic"/>
      <w:color w:val="222222"/>
      <w:sz w:val="24"/>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Shiyamala E</dc:creator>
  <cp:keywords/>
  <dc:description/>
  <cp:lastModifiedBy>Shiyamala E</cp:lastModifiedBy>
  <cp:revision>1</cp:revision>
  <dcterms:created xsi:type="dcterms:W3CDTF">2026-04-07T14:07:00Z</dcterms:created>
  <dcterms:modified xsi:type="dcterms:W3CDTF">2026-04-07T14:08:00Z</dcterms:modified>
</cp:coreProperties>
</file>