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B374A" w14:textId="77777777" w:rsidR="00EF507E" w:rsidRPr="005F0C53" w:rsidRDefault="00EF507E" w:rsidP="00BD309E">
      <w:pPr>
        <w:spacing w:line="360" w:lineRule="auto"/>
        <w:rPr>
          <w:rFonts w:ascii="Arial" w:hAnsi="Arial" w:cs="Arial"/>
          <w:b/>
          <w:bCs/>
          <w:sz w:val="20"/>
          <w:szCs w:val="20"/>
          <w:u w:val="single"/>
        </w:rPr>
      </w:pPr>
      <w:r w:rsidRPr="005F0C53">
        <w:rPr>
          <w:rFonts w:ascii="Arial" w:hAnsi="Arial" w:cs="Arial"/>
          <w:b/>
          <w:bCs/>
          <w:sz w:val="20"/>
          <w:szCs w:val="20"/>
          <w:u w:val="single"/>
        </w:rPr>
        <w:t xml:space="preserve">Supplementary Materials </w:t>
      </w:r>
    </w:p>
    <w:p w14:paraId="58B48802" w14:textId="001F4F97" w:rsidR="005F0C53" w:rsidRDefault="00EF507E" w:rsidP="00BD309E">
      <w:pPr>
        <w:spacing w:line="360" w:lineRule="auto"/>
        <w:rPr>
          <w:rFonts w:ascii="Arial" w:hAnsi="Arial" w:cs="Arial"/>
          <w:sz w:val="20"/>
          <w:szCs w:val="20"/>
          <w:lang w:eastAsia="zh-CN"/>
        </w:rPr>
      </w:pPr>
      <w:proofErr w:type="spellStart"/>
      <w:r w:rsidRPr="005F0C53">
        <w:rPr>
          <w:rFonts w:ascii="Arial" w:hAnsi="Arial" w:cs="Arial"/>
          <w:b/>
          <w:bCs/>
          <w:i/>
          <w:iCs/>
          <w:sz w:val="20"/>
          <w:szCs w:val="20"/>
          <w:lang w:eastAsia="zh-CN"/>
        </w:rPr>
        <w:t>Shuaishuai</w:t>
      </w:r>
      <w:proofErr w:type="spellEnd"/>
      <w:r w:rsidRPr="005F0C53">
        <w:rPr>
          <w:rFonts w:ascii="Arial" w:hAnsi="Arial" w:cs="Arial"/>
          <w:b/>
          <w:bCs/>
          <w:i/>
          <w:iCs/>
          <w:sz w:val="20"/>
          <w:szCs w:val="20"/>
          <w:lang w:eastAsia="zh-CN"/>
        </w:rPr>
        <w:t xml:space="preserve"> Xue</w:t>
      </w:r>
      <w:r w:rsidRPr="005F0C53">
        <w:rPr>
          <w:rFonts w:ascii="Arial" w:hAnsi="Arial" w:cs="Arial"/>
          <w:b/>
          <w:bCs/>
          <w:i/>
          <w:iCs/>
          <w:sz w:val="20"/>
          <w:szCs w:val="20"/>
        </w:rPr>
        <w:t>, et al</w:t>
      </w:r>
      <w:r w:rsidRPr="005F0C53">
        <w:rPr>
          <w:rFonts w:ascii="Arial" w:hAnsi="Arial" w:cs="Arial"/>
          <w:i/>
          <w:iCs/>
          <w:sz w:val="20"/>
          <w:szCs w:val="20"/>
        </w:rPr>
        <w:t>.</w:t>
      </w:r>
      <w:r w:rsidRPr="005F0C53">
        <w:rPr>
          <w:rFonts w:ascii="Arial" w:hAnsi="Arial" w:cs="Arial"/>
          <w:sz w:val="20"/>
          <w:szCs w:val="20"/>
        </w:rPr>
        <w:t xml:space="preserve"> </w:t>
      </w:r>
      <w:r w:rsidRPr="005F0C53">
        <w:rPr>
          <w:rFonts w:ascii="Arial" w:hAnsi="Arial" w:cs="Arial"/>
          <w:i/>
          <w:iCs/>
          <w:sz w:val="20"/>
          <w:szCs w:val="20"/>
        </w:rPr>
        <w:t>PCK2 as a Therapeutic Target in MYC-Amplified MB</w:t>
      </w:r>
      <w:r w:rsidRPr="005F0C53">
        <w:rPr>
          <w:rFonts w:ascii="Arial" w:hAnsi="Arial" w:cs="Arial"/>
          <w:sz w:val="20"/>
          <w:szCs w:val="20"/>
        </w:rPr>
        <w:t xml:space="preserve"> </w:t>
      </w:r>
    </w:p>
    <w:p w14:paraId="5EA4FEA7" w14:textId="77777777" w:rsidR="007A1F1E" w:rsidRPr="007A1F1E" w:rsidRDefault="007A1F1E" w:rsidP="00BD309E">
      <w:pPr>
        <w:spacing w:line="360" w:lineRule="auto"/>
        <w:rPr>
          <w:rFonts w:ascii="Arial" w:hAnsi="Arial" w:cs="Arial"/>
          <w:sz w:val="20"/>
          <w:szCs w:val="20"/>
          <w:lang w:eastAsia="zh-CN"/>
        </w:rPr>
      </w:pPr>
    </w:p>
    <w:p w14:paraId="69196419" w14:textId="46F898CB" w:rsidR="002076B8" w:rsidRPr="005F0C53" w:rsidRDefault="00EF507E" w:rsidP="00BD309E">
      <w:pPr>
        <w:spacing w:line="360" w:lineRule="auto"/>
        <w:rPr>
          <w:rFonts w:ascii="Arial" w:hAnsi="Arial" w:cs="Arial"/>
          <w:b/>
          <w:bCs/>
          <w:sz w:val="20"/>
          <w:szCs w:val="20"/>
          <w:lang w:eastAsia="zh-CN"/>
        </w:rPr>
      </w:pPr>
      <w:r w:rsidRPr="005F0C53">
        <w:rPr>
          <w:rFonts w:ascii="Arial" w:hAnsi="Arial" w:cs="Arial"/>
          <w:b/>
          <w:bCs/>
          <w:sz w:val="20"/>
          <w:szCs w:val="20"/>
        </w:rPr>
        <w:t>Supplementary Methods:</w:t>
      </w:r>
      <w:r w:rsidRPr="005F0C53">
        <w:rPr>
          <w:rFonts w:ascii="Arial" w:hAnsi="Arial" w:cs="Arial"/>
          <w:b/>
          <w:bCs/>
          <w:sz w:val="20"/>
          <w:szCs w:val="20"/>
        </w:rPr>
        <w:tab/>
      </w:r>
    </w:p>
    <w:p w14:paraId="04C3B4CF" w14:textId="77777777" w:rsidR="00BB53BC" w:rsidRPr="005F0C53" w:rsidRDefault="00BB53BC" w:rsidP="00BD309E">
      <w:pPr>
        <w:spacing w:line="360" w:lineRule="auto"/>
        <w:rPr>
          <w:rFonts w:ascii="Arial" w:hAnsi="Arial" w:cs="Arial"/>
          <w:b/>
          <w:bCs/>
          <w:sz w:val="20"/>
          <w:szCs w:val="20"/>
          <w:lang w:eastAsia="zh-CN"/>
        </w:rPr>
      </w:pPr>
      <w:r w:rsidRPr="005F0C53">
        <w:rPr>
          <w:rFonts w:ascii="Arial" w:hAnsi="Arial" w:cs="Arial"/>
          <w:b/>
          <w:bCs/>
          <w:sz w:val="20"/>
          <w:szCs w:val="20"/>
          <w:lang w:eastAsia="zh-CN"/>
        </w:rPr>
        <w:t>Data collection</w:t>
      </w:r>
    </w:p>
    <w:p w14:paraId="62FC163B" w14:textId="71B0D269" w:rsidR="00BB53BC" w:rsidRPr="005F0C53" w:rsidRDefault="00EC1448" w:rsidP="00BD309E">
      <w:pPr>
        <w:spacing w:line="360" w:lineRule="auto"/>
        <w:rPr>
          <w:rFonts w:ascii="Arial" w:hAnsi="Arial" w:cs="Arial"/>
          <w:sz w:val="20"/>
          <w:szCs w:val="20"/>
          <w:lang w:eastAsia="zh-CN"/>
        </w:rPr>
      </w:pPr>
      <w:r>
        <w:rPr>
          <w:rFonts w:ascii="Arial" w:hAnsi="Arial" w:cs="Arial" w:hint="eastAsia"/>
          <w:sz w:val="20"/>
          <w:szCs w:val="20"/>
          <w:lang w:eastAsia="zh-CN"/>
        </w:rPr>
        <w:t>Microarray</w:t>
      </w:r>
      <w:r w:rsidR="00BB53BC" w:rsidRPr="005F0C53">
        <w:rPr>
          <w:rFonts w:ascii="Arial" w:hAnsi="Arial" w:cs="Arial"/>
          <w:sz w:val="20"/>
          <w:szCs w:val="20"/>
          <w:lang w:eastAsia="zh-CN"/>
        </w:rPr>
        <w:t xml:space="preserve"> data were sourced from the Gene Expression Omnibus (GEO) database (GSE85217) and Array Express database (E-MTAB-10767). The GSE85217 dataset includes expression profiling data for 763 medulloblastoma samples, categorized into 70 WNT, 223 SHH, 144 Group 3, and 326 Group 4 subtypes. It provides clinical annotations such as age, sex, histological classification, metastatic status, overall survival, molecular subtypes, and methylation subgroups. The E-MTAB-10767 dataset comprises expression profiles for 331 medulloblastoma samples, categorized into 31 WNT, 67 SHH, 63 Group 3, 147 Group 4, 13 Group 3/Group 4, and 10 unclassified cases. It also includes clinical variables such as age, sex, molecular subtypes, metastatic status, overall survival, progression-free survival, and an eight-category classification for non-WNT/non-SHH-activated medulloblastoma. Following the latest WHO classification guidelines for medulloblastoma, non-WNT/non-SHH subtypes were chosen for analysis, resulting in 470 samples from GSE85217 and 223 samples from E-MTAB-10767. Gene sets for 82 metabolic pathways and 2022 metabolism-related genes were sourced from the Molecular Signatures Database (</w:t>
      </w:r>
      <w:proofErr w:type="spellStart"/>
      <w:r w:rsidR="00BB53BC" w:rsidRPr="005F0C53">
        <w:rPr>
          <w:rFonts w:ascii="Arial" w:hAnsi="Arial" w:cs="Arial"/>
          <w:sz w:val="20"/>
          <w:szCs w:val="20"/>
          <w:lang w:eastAsia="zh-CN"/>
        </w:rPr>
        <w:t>MSigDB</w:t>
      </w:r>
      <w:proofErr w:type="spellEnd"/>
      <w:r w:rsidR="00BB53BC" w:rsidRPr="005F0C53">
        <w:rPr>
          <w:rFonts w:ascii="Arial" w:hAnsi="Arial" w:cs="Arial"/>
          <w:sz w:val="20"/>
          <w:szCs w:val="20"/>
          <w:lang w:eastAsia="zh-CN"/>
        </w:rPr>
        <w:t>; https://www.gsea-msigdb.org/). 47 immune checkpoints were referenced from published studies.</w:t>
      </w:r>
      <w:r>
        <w:rPr>
          <w:rFonts w:ascii="Arial" w:hAnsi="Arial" w:cs="Arial" w:hint="eastAsia"/>
          <w:sz w:val="20"/>
          <w:szCs w:val="20"/>
          <w:lang w:eastAsia="zh-CN"/>
        </w:rPr>
        <w:t xml:space="preserve"> </w:t>
      </w:r>
      <w:r w:rsidR="00BB53BC" w:rsidRPr="005F0C53">
        <w:rPr>
          <w:rFonts w:ascii="Arial" w:hAnsi="Arial" w:cs="Arial"/>
          <w:sz w:val="20"/>
          <w:szCs w:val="20"/>
          <w:lang w:eastAsia="zh-CN"/>
        </w:rPr>
        <w:t xml:space="preserve">(see Additional </w:t>
      </w:r>
      <w:proofErr w:type="gramStart"/>
      <w:r w:rsidR="00BB53BC" w:rsidRPr="005F0C53">
        <w:rPr>
          <w:rFonts w:ascii="Arial" w:hAnsi="Arial" w:cs="Arial"/>
          <w:sz w:val="20"/>
          <w:szCs w:val="20"/>
          <w:lang w:eastAsia="zh-CN"/>
        </w:rPr>
        <w:t>file</w:t>
      </w:r>
      <w:proofErr w:type="gramEnd"/>
      <w:r w:rsidR="00BB53BC" w:rsidRPr="005F0C53">
        <w:rPr>
          <w:rFonts w:ascii="Arial" w:hAnsi="Arial" w:cs="Arial"/>
          <w:sz w:val="20"/>
          <w:szCs w:val="20"/>
          <w:lang w:eastAsia="zh-CN"/>
        </w:rPr>
        <w:t xml:space="preserve"> Table S2). </w:t>
      </w:r>
    </w:p>
    <w:p w14:paraId="7BEDB5A3" w14:textId="77777777" w:rsidR="00BB53BC" w:rsidRPr="005F0C53" w:rsidRDefault="00BB53BC" w:rsidP="00BD309E">
      <w:pPr>
        <w:spacing w:line="360" w:lineRule="auto"/>
        <w:rPr>
          <w:rFonts w:ascii="Arial" w:hAnsi="Arial" w:cs="Arial"/>
          <w:sz w:val="20"/>
          <w:szCs w:val="20"/>
          <w:lang w:eastAsia="zh-CN"/>
        </w:rPr>
      </w:pPr>
    </w:p>
    <w:p w14:paraId="695E371B" w14:textId="77777777" w:rsidR="00BB53BC" w:rsidRPr="005F0C53" w:rsidRDefault="00BB53BC" w:rsidP="00BD309E">
      <w:pPr>
        <w:spacing w:line="360" w:lineRule="auto"/>
        <w:rPr>
          <w:rFonts w:ascii="Arial" w:hAnsi="Arial" w:cs="Arial"/>
          <w:b/>
          <w:bCs/>
          <w:sz w:val="20"/>
          <w:szCs w:val="20"/>
          <w:lang w:eastAsia="zh-CN"/>
        </w:rPr>
      </w:pPr>
      <w:r w:rsidRPr="005F0C53">
        <w:rPr>
          <w:rFonts w:ascii="Arial" w:hAnsi="Arial" w:cs="Arial"/>
          <w:b/>
          <w:bCs/>
          <w:sz w:val="20"/>
          <w:szCs w:val="20"/>
          <w:lang w:eastAsia="zh-CN"/>
        </w:rPr>
        <w:t>Clinical samples and cell lines</w:t>
      </w:r>
    </w:p>
    <w:p w14:paraId="5E75019D" w14:textId="77777777" w:rsidR="00BB53BC" w:rsidRPr="005F0C53" w:rsidRDefault="00BB53BC" w:rsidP="00BD309E">
      <w:pPr>
        <w:spacing w:line="360" w:lineRule="auto"/>
        <w:rPr>
          <w:rFonts w:ascii="Arial" w:hAnsi="Arial" w:cs="Arial"/>
          <w:sz w:val="20"/>
          <w:szCs w:val="20"/>
          <w:lang w:eastAsia="zh-CN"/>
        </w:rPr>
      </w:pPr>
      <w:r w:rsidRPr="005F0C53">
        <w:rPr>
          <w:rFonts w:ascii="Arial" w:hAnsi="Arial" w:cs="Arial"/>
          <w:sz w:val="20"/>
          <w:szCs w:val="20"/>
          <w:lang w:eastAsia="zh-CN"/>
        </w:rPr>
        <w:t xml:space="preserve">Surgically resected MB tumors and normal brain samples, collected between 2014 and 2024, were sourced from Nanfang Hospital, Southern Medical University, China. Guangzhou Women and Children's Medical Center, affiliated with Guangzhou Medical University, China. Department of Neurosurgery, Beijing Children's Hospital, Capital Medical University, National </w:t>
      </w:r>
      <w:r w:rsidRPr="005F0C53">
        <w:rPr>
          <w:rFonts w:ascii="Arial" w:hAnsi="Arial" w:cs="Arial"/>
          <w:sz w:val="20"/>
          <w:szCs w:val="20"/>
          <w:lang w:eastAsia="zh-CN"/>
        </w:rPr>
        <w:lastRenderedPageBreak/>
        <w:t>Center for Children's Health, Beijing. The Medical Ethics Committee of Nanfang Hospital approved the collection of human tissues (Approval number: 2025022012384788).</w:t>
      </w:r>
    </w:p>
    <w:p w14:paraId="49CBD913" w14:textId="419815B3" w:rsidR="00BB53BC" w:rsidRPr="005F0C53" w:rsidRDefault="00BB53BC" w:rsidP="00BD309E">
      <w:pPr>
        <w:spacing w:line="360" w:lineRule="auto"/>
        <w:rPr>
          <w:rFonts w:ascii="Arial" w:hAnsi="Arial" w:cs="Arial"/>
          <w:sz w:val="20"/>
          <w:szCs w:val="20"/>
          <w:lang w:eastAsia="zh-CN"/>
        </w:rPr>
      </w:pPr>
      <w:proofErr w:type="spellStart"/>
      <w:r w:rsidRPr="005F0C53">
        <w:rPr>
          <w:rFonts w:ascii="Arial" w:hAnsi="Arial" w:cs="Arial"/>
          <w:sz w:val="20"/>
          <w:szCs w:val="20"/>
          <w:lang w:eastAsia="zh-CN"/>
        </w:rPr>
        <w:t>Daoy</w:t>
      </w:r>
      <w:proofErr w:type="spellEnd"/>
      <w:r w:rsidRPr="005F0C53">
        <w:rPr>
          <w:rFonts w:ascii="Arial" w:hAnsi="Arial" w:cs="Arial"/>
          <w:sz w:val="20"/>
          <w:szCs w:val="20"/>
          <w:lang w:eastAsia="zh-CN"/>
        </w:rPr>
        <w:t xml:space="preserve"> (SHH subtype), D283 (Group 3, non-MYC amplified), and D341 (Group 3, MYC amplified) were obtained from ATCC and cultured in MEM (Gibco, USA) including 10% fetal bovine serum (</w:t>
      </w:r>
      <w:proofErr w:type="spellStart"/>
      <w:r w:rsidRPr="005F0C53">
        <w:rPr>
          <w:rFonts w:ascii="Arial" w:hAnsi="Arial" w:cs="Arial"/>
          <w:sz w:val="20"/>
          <w:szCs w:val="20"/>
          <w:lang w:eastAsia="zh-CN"/>
        </w:rPr>
        <w:t>Thermo</w:t>
      </w:r>
      <w:proofErr w:type="spellEnd"/>
      <w:r w:rsidRPr="005F0C53">
        <w:rPr>
          <w:rFonts w:ascii="Arial" w:hAnsi="Arial" w:cs="Arial"/>
          <w:sz w:val="20"/>
          <w:szCs w:val="20"/>
          <w:lang w:eastAsia="zh-CN"/>
        </w:rPr>
        <w:t xml:space="preserve"> Fisher Scientific, USA) for </w:t>
      </w:r>
      <w:proofErr w:type="spellStart"/>
      <w:r w:rsidRPr="005F0C53">
        <w:rPr>
          <w:rFonts w:ascii="Arial" w:hAnsi="Arial" w:cs="Arial"/>
          <w:sz w:val="20"/>
          <w:szCs w:val="20"/>
          <w:lang w:eastAsia="zh-CN"/>
        </w:rPr>
        <w:t>Daoy</w:t>
      </w:r>
      <w:proofErr w:type="spellEnd"/>
      <w:r w:rsidRPr="005F0C53">
        <w:rPr>
          <w:rFonts w:ascii="Arial" w:hAnsi="Arial" w:cs="Arial"/>
          <w:sz w:val="20"/>
          <w:szCs w:val="20"/>
          <w:lang w:eastAsia="zh-CN"/>
        </w:rPr>
        <w:t xml:space="preserve"> and D283, 20% FBS for D341 and 2 mM glutamine. D458 (Group 3, MYC amplified) cells were generously provided by Dr. </w:t>
      </w:r>
      <w:proofErr w:type="spellStart"/>
      <w:r w:rsidRPr="005F0C53">
        <w:rPr>
          <w:rFonts w:ascii="Arial" w:hAnsi="Arial" w:cs="Arial"/>
          <w:sz w:val="20"/>
          <w:szCs w:val="20"/>
          <w:lang w:eastAsia="zh-CN"/>
        </w:rPr>
        <w:t>Jiajia</w:t>
      </w:r>
      <w:proofErr w:type="spellEnd"/>
      <w:r w:rsidRPr="005F0C53">
        <w:rPr>
          <w:rFonts w:ascii="Arial" w:hAnsi="Arial" w:cs="Arial"/>
          <w:sz w:val="20"/>
          <w:szCs w:val="20"/>
          <w:lang w:eastAsia="zh-CN"/>
        </w:rPr>
        <w:t xml:space="preserve"> Wang from the Department of Pediatric Neurosurgery at Xin Hua Hospital, affiliated with Shanghai Jiao Tong University School of Medicine, Shanghai, China. HEK293T (human embryonic kidney cells) and THP1 (human monocytic cells) were obtained from Procell Life Science (CL-0233; China). </w:t>
      </w:r>
      <w:r w:rsidR="009E53BC" w:rsidRPr="009E53BC">
        <w:rPr>
          <w:rFonts w:ascii="Arial" w:hAnsi="Arial" w:cs="Arial" w:hint="eastAsia"/>
          <w:sz w:val="20"/>
          <w:szCs w:val="20"/>
          <w:lang w:eastAsia="zh-CN"/>
        </w:rPr>
        <w:t xml:space="preserve">Cell Line </w:t>
      </w:r>
      <w:proofErr w:type="gramStart"/>
      <w:r w:rsidR="009E53BC" w:rsidRPr="009E53BC">
        <w:rPr>
          <w:rFonts w:ascii="Arial" w:hAnsi="Arial" w:cs="Arial" w:hint="eastAsia"/>
          <w:sz w:val="20"/>
          <w:szCs w:val="20"/>
          <w:lang w:eastAsia="zh-CN"/>
        </w:rPr>
        <w:t>Authentication</w:t>
      </w:r>
      <w:r w:rsidR="009E53BC">
        <w:rPr>
          <w:rFonts w:ascii="Arial" w:hAnsi="Arial" w:cs="Arial" w:hint="eastAsia"/>
          <w:sz w:val="20"/>
          <w:szCs w:val="20"/>
          <w:lang w:eastAsia="zh-CN"/>
        </w:rPr>
        <w:t xml:space="preserve"> :</w:t>
      </w:r>
      <w:proofErr w:type="gramEnd"/>
      <w:r w:rsidR="009E53BC">
        <w:rPr>
          <w:rFonts w:ascii="Arial" w:hAnsi="Arial" w:cs="Arial" w:hint="eastAsia"/>
          <w:sz w:val="20"/>
          <w:szCs w:val="20"/>
          <w:lang w:eastAsia="zh-CN"/>
        </w:rPr>
        <w:t xml:space="preserve"> </w:t>
      </w:r>
      <w:r w:rsidR="009E53BC" w:rsidRPr="009E53BC">
        <w:rPr>
          <w:rFonts w:ascii="Arial" w:hAnsi="Arial" w:cs="Arial" w:hint="eastAsia"/>
          <w:sz w:val="20"/>
          <w:szCs w:val="20"/>
          <w:lang w:eastAsia="zh-CN"/>
        </w:rPr>
        <w:t>The cell lines have been tested and authenticated</w:t>
      </w:r>
      <w:r w:rsidR="009E53BC">
        <w:rPr>
          <w:rFonts w:ascii="Arial" w:hAnsi="Arial" w:cs="Arial" w:hint="eastAsia"/>
          <w:sz w:val="20"/>
          <w:szCs w:val="20"/>
          <w:lang w:eastAsia="zh-CN"/>
        </w:rPr>
        <w:t xml:space="preserve">. </w:t>
      </w:r>
      <w:r w:rsidRPr="005F0C53">
        <w:rPr>
          <w:rFonts w:ascii="Arial" w:hAnsi="Arial" w:cs="Arial"/>
          <w:sz w:val="20"/>
          <w:szCs w:val="20"/>
          <w:lang w:eastAsia="zh-CN"/>
        </w:rPr>
        <w:t>HEK293T cells were cultured in DMEM with 10% fetal bovine serum, while THP1 cells were maintained in RPMI-1640 (Gibco, USA) with 10% FBS. THP-1 cells were differentiated into M0 macrophages using 100 ng/mL PMA for 48 hours. On day 4, macrophages were polarized to the M1 phenotype with 100 ng/mL LPS and 20 ng/mL IFN-γ, or to the M2 phenotype with 20 ng/mL IL-4 and 20 ng/mL IL-13. Cell lines were maintained at 37°C with 5% CO2 in a humidified environment.</w:t>
      </w:r>
    </w:p>
    <w:p w14:paraId="2C537D1A" w14:textId="77777777" w:rsidR="00BB53BC" w:rsidRPr="005F0C53" w:rsidRDefault="00BB53BC" w:rsidP="00BD309E">
      <w:pPr>
        <w:spacing w:line="360" w:lineRule="auto"/>
        <w:rPr>
          <w:rFonts w:ascii="Arial" w:hAnsi="Arial" w:cs="Arial"/>
          <w:sz w:val="20"/>
          <w:szCs w:val="20"/>
          <w:lang w:eastAsia="zh-CN"/>
        </w:rPr>
      </w:pPr>
    </w:p>
    <w:p w14:paraId="19F32810" w14:textId="77777777" w:rsidR="00BB53BC" w:rsidRPr="005F0C53" w:rsidRDefault="00BB53BC" w:rsidP="00BD309E">
      <w:pPr>
        <w:spacing w:line="360" w:lineRule="auto"/>
        <w:rPr>
          <w:rFonts w:ascii="Arial" w:hAnsi="Arial" w:cs="Arial"/>
          <w:b/>
          <w:bCs/>
          <w:sz w:val="20"/>
          <w:szCs w:val="20"/>
          <w:lang w:eastAsia="zh-CN"/>
        </w:rPr>
      </w:pPr>
      <w:r w:rsidRPr="005F0C53">
        <w:rPr>
          <w:rFonts w:ascii="Arial" w:hAnsi="Arial" w:cs="Arial"/>
          <w:b/>
          <w:bCs/>
          <w:sz w:val="20"/>
          <w:szCs w:val="20"/>
          <w:lang w:eastAsia="zh-CN"/>
        </w:rPr>
        <w:t>Pathway enrichment analysis</w:t>
      </w:r>
    </w:p>
    <w:p w14:paraId="2054AA95" w14:textId="77777777" w:rsidR="00BB53BC" w:rsidRPr="005F0C53" w:rsidRDefault="00BB53BC" w:rsidP="00BD309E">
      <w:pPr>
        <w:spacing w:line="360" w:lineRule="auto"/>
        <w:rPr>
          <w:rFonts w:ascii="Arial" w:hAnsi="Arial" w:cs="Arial"/>
          <w:sz w:val="20"/>
          <w:szCs w:val="20"/>
          <w:lang w:eastAsia="zh-CN"/>
        </w:rPr>
      </w:pPr>
      <w:r w:rsidRPr="005F0C53">
        <w:rPr>
          <w:rFonts w:ascii="Arial" w:hAnsi="Arial" w:cs="Arial"/>
          <w:sz w:val="20"/>
          <w:szCs w:val="20"/>
          <w:lang w:eastAsia="zh-CN"/>
        </w:rPr>
        <w:t xml:space="preserve">Gene Set Variation Analysis (GSVA) was performed utilizing the R package "GSVA" to quantify the activity levels of seven distinct metabolic pathways within a single tumor sample by calculating the enrichment scores for each pathway. The Kaplan-Meier survival analysis and log-rank test were utilized to examine the association between these seven metabolic pathways and overall survival (OS) in patients with MB. Furthermore, GSVA was employed to determine the activity of various core biological pathway gene sets. Spearman's correlation analysis was conducted to evaluate the relationship between the key metabolic pathways and core biological pathways. Additionally, Gene Set Enrichment Analysis (GSEA) was carried out between the two sample groups using the </w:t>
      </w:r>
      <w:proofErr w:type="spellStart"/>
      <w:r w:rsidRPr="005F0C53">
        <w:rPr>
          <w:rFonts w:ascii="Arial" w:hAnsi="Arial" w:cs="Arial"/>
          <w:sz w:val="20"/>
          <w:szCs w:val="20"/>
          <w:lang w:eastAsia="zh-CN"/>
        </w:rPr>
        <w:t>Sangerbox</w:t>
      </w:r>
      <w:proofErr w:type="spellEnd"/>
      <w:r w:rsidRPr="005F0C53">
        <w:rPr>
          <w:rFonts w:ascii="Arial" w:hAnsi="Arial" w:cs="Arial"/>
          <w:sz w:val="20"/>
          <w:szCs w:val="20"/>
          <w:lang w:eastAsia="zh-CN"/>
        </w:rPr>
        <w:t xml:space="preserve"> and </w:t>
      </w:r>
      <w:proofErr w:type="spellStart"/>
      <w:r w:rsidRPr="005F0C53">
        <w:rPr>
          <w:rFonts w:ascii="Arial" w:hAnsi="Arial" w:cs="Arial"/>
          <w:sz w:val="20"/>
          <w:szCs w:val="20"/>
          <w:lang w:eastAsia="zh-CN"/>
        </w:rPr>
        <w:t>XianTao</w:t>
      </w:r>
      <w:proofErr w:type="spellEnd"/>
      <w:r w:rsidRPr="005F0C53">
        <w:rPr>
          <w:rFonts w:ascii="Arial" w:hAnsi="Arial" w:cs="Arial"/>
          <w:sz w:val="20"/>
          <w:szCs w:val="20"/>
          <w:lang w:eastAsia="zh-CN"/>
        </w:rPr>
        <w:t xml:space="preserve"> platforms. </w:t>
      </w:r>
    </w:p>
    <w:p w14:paraId="067BF3BE" w14:textId="77777777" w:rsidR="00BB53BC" w:rsidRPr="005F0C53" w:rsidRDefault="00BB53BC" w:rsidP="00BD309E">
      <w:pPr>
        <w:spacing w:line="360" w:lineRule="auto"/>
        <w:rPr>
          <w:rFonts w:ascii="Arial" w:hAnsi="Arial" w:cs="Arial"/>
          <w:sz w:val="20"/>
          <w:szCs w:val="20"/>
          <w:lang w:eastAsia="zh-CN"/>
        </w:rPr>
      </w:pPr>
    </w:p>
    <w:p w14:paraId="5C4270CD" w14:textId="77777777" w:rsidR="00BB53BC" w:rsidRPr="005F0C53" w:rsidRDefault="00BB53BC" w:rsidP="00BD309E">
      <w:pPr>
        <w:spacing w:line="360" w:lineRule="auto"/>
        <w:rPr>
          <w:rFonts w:ascii="Arial" w:hAnsi="Arial" w:cs="Arial"/>
          <w:b/>
          <w:bCs/>
          <w:sz w:val="20"/>
          <w:szCs w:val="20"/>
          <w:lang w:eastAsia="zh-CN"/>
        </w:rPr>
      </w:pPr>
      <w:r w:rsidRPr="005F0C53">
        <w:rPr>
          <w:rFonts w:ascii="Arial" w:hAnsi="Arial" w:cs="Arial"/>
          <w:b/>
          <w:bCs/>
          <w:sz w:val="20"/>
          <w:szCs w:val="20"/>
          <w:lang w:eastAsia="zh-CN"/>
        </w:rPr>
        <w:lastRenderedPageBreak/>
        <w:t>Immune infiltration analysis</w:t>
      </w:r>
    </w:p>
    <w:p w14:paraId="7BEE4BD3" w14:textId="02853D16" w:rsidR="00BB53BC" w:rsidRPr="005F0C53" w:rsidRDefault="00BB53BC" w:rsidP="00BD309E">
      <w:pPr>
        <w:spacing w:line="360" w:lineRule="auto"/>
        <w:rPr>
          <w:rFonts w:ascii="Arial" w:hAnsi="Arial" w:cs="Arial"/>
          <w:sz w:val="20"/>
          <w:szCs w:val="20"/>
          <w:lang w:eastAsia="zh-CN"/>
        </w:rPr>
      </w:pPr>
      <w:r w:rsidRPr="005F0C53">
        <w:rPr>
          <w:rFonts w:ascii="Arial" w:hAnsi="Arial" w:cs="Arial"/>
          <w:sz w:val="20"/>
          <w:szCs w:val="20"/>
          <w:lang w:eastAsia="zh-CN"/>
        </w:rPr>
        <w:t xml:space="preserve">The ESTIMATE algorithm infers immune infiltration levels in tumor tissues using gene expression data. This study used this algorithm and the MCPCOUNTER, and CIBERSORT algorithms to infer the </w:t>
      </w:r>
      <w:proofErr w:type="spellStart"/>
      <w:r w:rsidRPr="005F0C53">
        <w:rPr>
          <w:rFonts w:ascii="Arial" w:hAnsi="Arial" w:cs="Arial"/>
          <w:sz w:val="20"/>
          <w:szCs w:val="20"/>
          <w:lang w:eastAsia="zh-CN"/>
        </w:rPr>
        <w:t>ImmuneScore</w:t>
      </w:r>
      <w:proofErr w:type="spellEnd"/>
      <w:r w:rsidRPr="005F0C53">
        <w:rPr>
          <w:rFonts w:ascii="Arial" w:hAnsi="Arial" w:cs="Arial"/>
          <w:sz w:val="20"/>
          <w:szCs w:val="20"/>
          <w:lang w:eastAsia="zh-CN"/>
        </w:rPr>
        <w:t xml:space="preserve">, </w:t>
      </w:r>
      <w:proofErr w:type="spellStart"/>
      <w:r w:rsidRPr="005F0C53">
        <w:rPr>
          <w:rFonts w:ascii="Arial" w:hAnsi="Arial" w:cs="Arial"/>
          <w:sz w:val="20"/>
          <w:szCs w:val="20"/>
          <w:lang w:eastAsia="zh-CN"/>
        </w:rPr>
        <w:t>StromalScore</w:t>
      </w:r>
      <w:proofErr w:type="spellEnd"/>
      <w:r w:rsidRPr="005F0C53">
        <w:rPr>
          <w:rFonts w:ascii="Arial" w:hAnsi="Arial" w:cs="Arial"/>
          <w:sz w:val="20"/>
          <w:szCs w:val="20"/>
          <w:lang w:eastAsia="zh-CN"/>
        </w:rPr>
        <w:t xml:space="preserve">, </w:t>
      </w:r>
      <w:proofErr w:type="spellStart"/>
      <w:r w:rsidRPr="005F0C53">
        <w:rPr>
          <w:rFonts w:ascii="Arial" w:hAnsi="Arial" w:cs="Arial"/>
          <w:sz w:val="20"/>
          <w:szCs w:val="20"/>
          <w:lang w:eastAsia="zh-CN"/>
        </w:rPr>
        <w:t>ESTIMATEScore</w:t>
      </w:r>
      <w:proofErr w:type="spellEnd"/>
      <w:r w:rsidRPr="005F0C53">
        <w:rPr>
          <w:rFonts w:ascii="Arial" w:hAnsi="Arial" w:cs="Arial"/>
          <w:sz w:val="20"/>
          <w:szCs w:val="20"/>
          <w:lang w:eastAsia="zh-CN"/>
        </w:rPr>
        <w:t>, and immune cell infiltration of MB patients.</w:t>
      </w:r>
    </w:p>
    <w:p w14:paraId="7FDFD84E" w14:textId="77777777" w:rsidR="00BB53BC" w:rsidRPr="005F0C53" w:rsidRDefault="00BB53BC" w:rsidP="00BD309E">
      <w:pPr>
        <w:spacing w:line="360" w:lineRule="auto"/>
        <w:rPr>
          <w:rFonts w:ascii="Arial" w:hAnsi="Arial" w:cs="Arial"/>
          <w:sz w:val="20"/>
          <w:szCs w:val="20"/>
          <w:lang w:eastAsia="zh-CN"/>
        </w:rPr>
      </w:pPr>
    </w:p>
    <w:p w14:paraId="497A35E0" w14:textId="77777777" w:rsidR="00BB53BC" w:rsidRPr="005F0C53" w:rsidRDefault="00BB53BC" w:rsidP="00BD309E">
      <w:pPr>
        <w:spacing w:line="360" w:lineRule="auto"/>
        <w:rPr>
          <w:rFonts w:ascii="Arial" w:hAnsi="Arial" w:cs="Arial"/>
          <w:b/>
          <w:bCs/>
          <w:sz w:val="20"/>
          <w:szCs w:val="20"/>
          <w:lang w:eastAsia="zh-CN"/>
        </w:rPr>
      </w:pPr>
      <w:r w:rsidRPr="005F0C53">
        <w:rPr>
          <w:rFonts w:ascii="Arial" w:hAnsi="Arial" w:cs="Arial"/>
          <w:b/>
          <w:bCs/>
          <w:sz w:val="20"/>
          <w:szCs w:val="20"/>
          <w:lang w:eastAsia="zh-CN"/>
        </w:rPr>
        <w:t>Continuum score</w:t>
      </w:r>
    </w:p>
    <w:p w14:paraId="0EC0317B" w14:textId="58B76BA7" w:rsidR="00BB53BC" w:rsidRPr="005F0C53" w:rsidRDefault="00BB53BC" w:rsidP="00BD309E">
      <w:pPr>
        <w:spacing w:line="360" w:lineRule="auto"/>
        <w:rPr>
          <w:rFonts w:ascii="Arial" w:hAnsi="Arial" w:cs="Arial"/>
          <w:sz w:val="20"/>
          <w:szCs w:val="20"/>
          <w:lang w:eastAsia="zh-CN"/>
        </w:rPr>
      </w:pPr>
      <w:r w:rsidRPr="005F0C53">
        <w:rPr>
          <w:rFonts w:ascii="Arial" w:hAnsi="Arial" w:cs="Arial"/>
          <w:sz w:val="20"/>
          <w:szCs w:val="20"/>
          <w:lang w:eastAsia="zh-CN"/>
        </w:rPr>
        <w:t>The methods of calculating continuum score refer to previous literature</w:t>
      </w:r>
      <w:r w:rsidR="00593661">
        <w:rPr>
          <w:rFonts w:ascii="Arial" w:hAnsi="Arial" w:cs="Arial"/>
          <w:sz w:val="20"/>
          <w:szCs w:val="20"/>
          <w:lang w:eastAsia="zh-CN"/>
        </w:rPr>
        <w:fldChar w:fldCharType="begin"/>
      </w:r>
      <w:r w:rsidR="00593661">
        <w:rPr>
          <w:rFonts w:ascii="Arial" w:hAnsi="Arial" w:cs="Arial"/>
          <w:sz w:val="20"/>
          <w:szCs w:val="20"/>
          <w:lang w:eastAsia="zh-CN"/>
        </w:rPr>
        <w:instrText xml:space="preserve"> ADDIN NE.Ref.{30F6CF5C-51A9-4DA3-ACC9-4C1FE9A599D3}</w:instrText>
      </w:r>
      <w:r w:rsidR="00593661">
        <w:rPr>
          <w:rFonts w:ascii="Arial" w:hAnsi="Arial" w:cs="Arial"/>
          <w:sz w:val="20"/>
          <w:szCs w:val="20"/>
          <w:lang w:eastAsia="zh-CN"/>
        </w:rPr>
        <w:fldChar w:fldCharType="separate"/>
      </w:r>
      <w:r w:rsidR="00661269">
        <w:rPr>
          <w:rFonts w:ascii="Arial" w:eastAsiaTheme="minorEastAsia" w:hAnsi="Arial" w:cs="Arial"/>
          <w:color w:val="000000"/>
          <w:sz w:val="20"/>
          <w:szCs w:val="20"/>
          <w:vertAlign w:val="superscript"/>
          <w:lang w:eastAsia="zh-CN"/>
        </w:rPr>
        <w:t>1</w:t>
      </w:r>
      <w:r w:rsidR="00593661">
        <w:rPr>
          <w:rFonts w:ascii="Arial" w:hAnsi="Arial" w:cs="Arial"/>
          <w:sz w:val="20"/>
          <w:szCs w:val="20"/>
          <w:lang w:eastAsia="zh-CN"/>
        </w:rPr>
        <w:fldChar w:fldCharType="end"/>
      </w:r>
      <w:r w:rsidRPr="005F0C53">
        <w:rPr>
          <w:rFonts w:ascii="Arial" w:hAnsi="Arial" w:cs="Arial"/>
          <w:sz w:val="20"/>
          <w:szCs w:val="20"/>
          <w:lang w:eastAsia="zh-CN"/>
        </w:rPr>
        <w:t>. In summary, multi-run NMF is conducted with 250 iterations using 80% bootstrapping. After each iteration, metagenes are projected onto the excluded samples, and k-means clustering is employed to classify these samples using the expanded training set. The score was determined by applying a logistic transformation, specifically 1</w:t>
      </w:r>
      <w:r w:rsidR="00BD309E" w:rsidRPr="005F0C53">
        <w:rPr>
          <w:rFonts w:ascii="Arial" w:hAnsi="Arial" w:cs="Arial"/>
          <w:sz w:val="20"/>
          <w:szCs w:val="20"/>
          <w:lang w:eastAsia="zh-CN"/>
        </w:rPr>
        <w:t xml:space="preserve"> </w:t>
      </w:r>
      <w:r w:rsidRPr="005F0C53">
        <w:rPr>
          <w:rFonts w:ascii="Arial" w:hAnsi="Arial" w:cs="Arial"/>
          <w:sz w:val="20"/>
          <w:szCs w:val="20"/>
          <w:lang w:eastAsia="zh-CN"/>
        </w:rPr>
        <w:t>/</w:t>
      </w:r>
      <w:r w:rsidR="00BD309E" w:rsidRPr="005F0C53">
        <w:rPr>
          <w:rFonts w:ascii="Arial" w:hAnsi="Arial" w:cs="Arial"/>
          <w:sz w:val="20"/>
          <w:szCs w:val="20"/>
          <w:lang w:eastAsia="zh-CN"/>
        </w:rPr>
        <w:t xml:space="preserve"> </w:t>
      </w:r>
      <w:r w:rsidRPr="005F0C53">
        <w:rPr>
          <w:rFonts w:ascii="Arial" w:hAnsi="Arial" w:cs="Arial"/>
          <w:sz w:val="20"/>
          <w:szCs w:val="20"/>
          <w:lang w:eastAsia="zh-CN"/>
        </w:rPr>
        <w:t xml:space="preserve">(1 + exp(-x)), to the Group3 and Group4 metagenes. The score was determined by scaling the Group3 proportion of the total metagene to a range between 0 and 1. For convenience of visualization, or where categorical comparison was required, we referred to individuals &gt;0 &amp; &lt;0.4 as “G3”, &gt;0.4 &amp; &lt;0.6 as “G4G3”, and &gt;0.6 &amp; &lt;1 as “G4”. </w:t>
      </w:r>
    </w:p>
    <w:p w14:paraId="7E36FC1E" w14:textId="77777777" w:rsidR="00BB53BC" w:rsidRPr="005F0C53" w:rsidRDefault="00BB53BC" w:rsidP="00BD309E">
      <w:pPr>
        <w:spacing w:line="360" w:lineRule="auto"/>
        <w:rPr>
          <w:rFonts w:ascii="Arial" w:hAnsi="Arial" w:cs="Arial"/>
          <w:sz w:val="20"/>
          <w:szCs w:val="20"/>
          <w:lang w:eastAsia="zh-CN"/>
        </w:rPr>
      </w:pPr>
    </w:p>
    <w:p w14:paraId="1E731332" w14:textId="49443769" w:rsidR="00BB53BC" w:rsidRPr="005F0C53" w:rsidRDefault="00BB53BC" w:rsidP="00BD309E">
      <w:pPr>
        <w:spacing w:line="360" w:lineRule="auto"/>
        <w:rPr>
          <w:rFonts w:ascii="Arial" w:hAnsi="Arial" w:cs="Arial"/>
          <w:b/>
          <w:bCs/>
          <w:sz w:val="20"/>
          <w:szCs w:val="20"/>
          <w:lang w:eastAsia="zh-CN"/>
        </w:rPr>
      </w:pPr>
      <w:r w:rsidRPr="005F0C53">
        <w:rPr>
          <w:rFonts w:ascii="Arial" w:hAnsi="Arial" w:cs="Arial"/>
          <w:b/>
          <w:bCs/>
          <w:sz w:val="20"/>
          <w:szCs w:val="20"/>
          <w:lang w:eastAsia="zh-CN"/>
        </w:rPr>
        <w:t>Generation of sh</w:t>
      </w:r>
      <w:r w:rsidR="006775F8">
        <w:rPr>
          <w:rFonts w:ascii="Arial" w:hAnsi="Arial" w:cs="Arial" w:hint="eastAsia"/>
          <w:b/>
          <w:bCs/>
          <w:sz w:val="20"/>
          <w:szCs w:val="20"/>
          <w:lang w:eastAsia="zh-CN"/>
        </w:rPr>
        <w:t>PCK</w:t>
      </w:r>
      <w:r w:rsidRPr="005F0C53">
        <w:rPr>
          <w:rFonts w:ascii="Arial" w:hAnsi="Arial" w:cs="Arial"/>
          <w:b/>
          <w:bCs/>
          <w:sz w:val="20"/>
          <w:szCs w:val="20"/>
          <w:lang w:eastAsia="zh-CN"/>
        </w:rPr>
        <w:t>2 Knockdown and inhibit MYC expression</w:t>
      </w:r>
    </w:p>
    <w:p w14:paraId="3FB4283A" w14:textId="0C3A1B3E" w:rsidR="00BB53BC" w:rsidRPr="005F0C53" w:rsidRDefault="00B95445" w:rsidP="00BD309E">
      <w:pPr>
        <w:spacing w:line="360" w:lineRule="auto"/>
        <w:rPr>
          <w:rFonts w:ascii="Arial" w:hAnsi="Arial" w:cs="Arial"/>
          <w:sz w:val="20"/>
          <w:szCs w:val="20"/>
          <w:lang w:eastAsia="zh-CN"/>
        </w:rPr>
      </w:pPr>
      <w:r w:rsidRPr="00B95445">
        <w:rPr>
          <w:rFonts w:ascii="Arial" w:hAnsi="Arial" w:cs="Arial" w:hint="eastAsia"/>
          <w:sz w:val="20"/>
          <w:szCs w:val="20"/>
          <w:lang w:eastAsia="zh-CN"/>
        </w:rPr>
        <w:t>Oligonucleotides</w:t>
      </w:r>
      <w:r>
        <w:rPr>
          <w:rFonts w:ascii="Arial" w:hAnsi="Arial" w:cs="Arial" w:hint="eastAsia"/>
          <w:sz w:val="20"/>
          <w:szCs w:val="20"/>
          <w:lang w:eastAsia="zh-CN"/>
        </w:rPr>
        <w:t xml:space="preserve">: </w:t>
      </w:r>
      <w:r w:rsidR="00BB53BC" w:rsidRPr="005F0C53">
        <w:rPr>
          <w:rFonts w:ascii="Arial" w:hAnsi="Arial" w:cs="Arial"/>
          <w:sz w:val="20"/>
          <w:szCs w:val="20"/>
          <w:lang w:eastAsia="zh-CN"/>
        </w:rPr>
        <w:t xml:space="preserve">HEK293T cells were </w:t>
      </w:r>
      <w:r w:rsidR="00B02DA7" w:rsidRPr="00B02DA7">
        <w:rPr>
          <w:rFonts w:ascii="Arial" w:hAnsi="Arial" w:cs="Arial" w:hint="eastAsia"/>
          <w:sz w:val="20"/>
          <w:szCs w:val="20"/>
          <w:lang w:eastAsia="zh-CN"/>
        </w:rPr>
        <w:t>transduced</w:t>
      </w:r>
      <w:r w:rsidR="00BB53BC" w:rsidRPr="005F0C53">
        <w:rPr>
          <w:rFonts w:ascii="Arial" w:hAnsi="Arial" w:cs="Arial"/>
          <w:sz w:val="20"/>
          <w:szCs w:val="20"/>
          <w:lang w:eastAsia="zh-CN"/>
        </w:rPr>
        <w:t xml:space="preserve"> with shRNA vectors (sh1: GGTGGCAAGCATGCGTATTAT, sh2: ACAATCCAGAGTAACACTATT, sh3: GCACATCCCAACTCTCGATTT), non-targeting controls, and packaging plasmids (pSPAX2 and pMD2.G) using </w:t>
      </w:r>
      <w:r w:rsidR="001B2B15" w:rsidRPr="00F87AB8">
        <w:rPr>
          <w:rFonts w:ascii="Arial" w:hAnsi="Arial" w:cs="Arial" w:hint="eastAsia"/>
          <w:sz w:val="20"/>
          <w:szCs w:val="20"/>
          <w:lang w:eastAsia="zh-CN"/>
        </w:rPr>
        <w:t xml:space="preserve">Lipofectamine </w:t>
      </w:r>
      <w:r w:rsidR="001B2B15">
        <w:rPr>
          <w:rFonts w:ascii="Arial" w:hAnsi="Arial" w:cs="Arial" w:hint="eastAsia"/>
          <w:sz w:val="20"/>
          <w:szCs w:val="20"/>
          <w:lang w:eastAsia="zh-CN"/>
        </w:rPr>
        <w:t>3</w:t>
      </w:r>
      <w:r w:rsidR="001B2B15" w:rsidRPr="00F87AB8">
        <w:rPr>
          <w:rFonts w:ascii="Arial" w:hAnsi="Arial" w:cs="Arial" w:hint="eastAsia"/>
          <w:sz w:val="20"/>
          <w:szCs w:val="20"/>
          <w:lang w:eastAsia="zh-CN"/>
        </w:rPr>
        <w:t>000</w:t>
      </w:r>
      <w:r w:rsidR="001B2B15">
        <w:rPr>
          <w:rFonts w:ascii="Arial" w:hAnsi="Arial" w:cs="Arial" w:hint="eastAsia"/>
          <w:sz w:val="20"/>
          <w:szCs w:val="20"/>
          <w:lang w:eastAsia="zh-CN"/>
        </w:rPr>
        <w:t xml:space="preserve"> (</w:t>
      </w:r>
      <w:r w:rsidR="001B2B15" w:rsidRPr="00E51C59">
        <w:rPr>
          <w:rFonts w:ascii="Times New Roman" w:hAnsi="Times New Roman" w:cs="Times New Roman" w:hint="eastAsia"/>
          <w:szCs w:val="21"/>
        </w:rPr>
        <w:t>L30000</w:t>
      </w:r>
      <w:r w:rsidR="001B2B15">
        <w:rPr>
          <w:rFonts w:ascii="Times New Roman" w:hAnsi="Times New Roman" w:cs="Times New Roman" w:hint="eastAsia"/>
          <w:szCs w:val="21"/>
        </w:rPr>
        <w:t>15</w:t>
      </w:r>
      <w:r w:rsidR="001B2B15">
        <w:rPr>
          <w:rFonts w:ascii="Arial" w:hAnsi="Arial" w:cs="Arial" w:hint="eastAsia"/>
          <w:sz w:val="20"/>
          <w:szCs w:val="20"/>
          <w:lang w:eastAsia="zh-CN"/>
        </w:rPr>
        <w:t xml:space="preserve">, </w:t>
      </w:r>
      <w:r w:rsidR="001B2B15" w:rsidRPr="00F87AB8">
        <w:rPr>
          <w:rFonts w:ascii="Arial" w:hAnsi="Arial" w:cs="Arial" w:hint="eastAsia"/>
          <w:sz w:val="20"/>
          <w:szCs w:val="20"/>
          <w:lang w:eastAsia="zh-CN"/>
        </w:rPr>
        <w:t>Invitrogen</w:t>
      </w:r>
      <w:r w:rsidR="001B2B15">
        <w:rPr>
          <w:rFonts w:ascii="Arial" w:hAnsi="Arial" w:cs="Arial" w:hint="eastAsia"/>
          <w:sz w:val="20"/>
          <w:szCs w:val="20"/>
          <w:lang w:eastAsia="zh-CN"/>
        </w:rPr>
        <w:t>)</w:t>
      </w:r>
      <w:r w:rsidR="00BB53BC" w:rsidRPr="005F0C53">
        <w:rPr>
          <w:rFonts w:ascii="Arial" w:hAnsi="Arial" w:cs="Arial"/>
          <w:sz w:val="20"/>
          <w:szCs w:val="20"/>
          <w:lang w:eastAsia="zh-CN"/>
        </w:rPr>
        <w:t xml:space="preserve">, following the manufacturer's instructions. After the </w:t>
      </w:r>
      <w:r w:rsidR="00A632DA" w:rsidRPr="00B04196">
        <w:rPr>
          <w:rFonts w:ascii="Arial" w:hAnsi="Arial" w:cs="Arial"/>
          <w:sz w:val="20"/>
          <w:szCs w:val="20"/>
        </w:rPr>
        <w:t>knockdown</w:t>
      </w:r>
      <w:r w:rsidR="00BB53BC" w:rsidRPr="005F0C53">
        <w:rPr>
          <w:rFonts w:ascii="Arial" w:hAnsi="Arial" w:cs="Arial"/>
          <w:sz w:val="20"/>
          <w:szCs w:val="20"/>
          <w:lang w:eastAsia="zh-CN"/>
        </w:rPr>
        <w:t xml:space="preserve"> effect was verified by western blot, appropriate cells were selected for transcriptomics and metabolomics analysis.</w:t>
      </w:r>
    </w:p>
    <w:p w14:paraId="7D780259" w14:textId="6838602D" w:rsidR="00BB53BC" w:rsidRPr="005F0C53" w:rsidRDefault="00BB53BC" w:rsidP="00BD309E">
      <w:pPr>
        <w:spacing w:line="360" w:lineRule="auto"/>
        <w:rPr>
          <w:rFonts w:ascii="Arial" w:hAnsi="Arial" w:cs="Arial"/>
          <w:sz w:val="20"/>
          <w:szCs w:val="20"/>
          <w:lang w:eastAsia="zh-CN"/>
        </w:rPr>
      </w:pPr>
      <w:r w:rsidRPr="005F0C53">
        <w:rPr>
          <w:rFonts w:ascii="Arial" w:hAnsi="Arial" w:cs="Arial"/>
          <w:sz w:val="20"/>
          <w:szCs w:val="20"/>
          <w:lang w:eastAsia="zh-CN"/>
        </w:rPr>
        <w:t xml:space="preserve">The siRNAs aimed at inhibiting MYC were constructed by Sigma. siRNAs were introduced into cells by </w:t>
      </w:r>
      <w:r w:rsidR="00F87AB8" w:rsidRPr="00F87AB8">
        <w:rPr>
          <w:rFonts w:ascii="Arial" w:hAnsi="Arial" w:cs="Arial" w:hint="eastAsia"/>
          <w:sz w:val="20"/>
          <w:szCs w:val="20"/>
          <w:lang w:eastAsia="zh-CN"/>
        </w:rPr>
        <w:t>Lipofectamine 2000</w:t>
      </w:r>
      <w:r w:rsidR="00F87AB8">
        <w:rPr>
          <w:rFonts w:ascii="Arial" w:hAnsi="Arial" w:cs="Arial" w:hint="eastAsia"/>
          <w:sz w:val="20"/>
          <w:szCs w:val="20"/>
          <w:lang w:eastAsia="zh-CN"/>
        </w:rPr>
        <w:t xml:space="preserve"> (</w:t>
      </w:r>
      <w:r w:rsidR="001B2B15" w:rsidRPr="001B2B15">
        <w:rPr>
          <w:rFonts w:ascii="Arial" w:hAnsi="Arial" w:cs="Arial" w:hint="eastAsia"/>
          <w:sz w:val="20"/>
          <w:szCs w:val="20"/>
          <w:lang w:eastAsia="zh-CN"/>
        </w:rPr>
        <w:t>11668019</w:t>
      </w:r>
      <w:r w:rsidR="001B2B15">
        <w:rPr>
          <w:rFonts w:ascii="Arial" w:hAnsi="Arial" w:cs="Arial" w:hint="eastAsia"/>
          <w:sz w:val="20"/>
          <w:szCs w:val="20"/>
          <w:lang w:eastAsia="zh-CN"/>
        </w:rPr>
        <w:t xml:space="preserve">, </w:t>
      </w:r>
      <w:r w:rsidR="00F87AB8" w:rsidRPr="00F87AB8">
        <w:rPr>
          <w:rFonts w:ascii="Arial" w:hAnsi="Arial" w:cs="Arial" w:hint="eastAsia"/>
          <w:sz w:val="20"/>
          <w:szCs w:val="20"/>
          <w:lang w:eastAsia="zh-CN"/>
        </w:rPr>
        <w:t>Invitrogen</w:t>
      </w:r>
      <w:r w:rsidR="00F87AB8">
        <w:rPr>
          <w:rFonts w:ascii="Arial" w:hAnsi="Arial" w:cs="Arial" w:hint="eastAsia"/>
          <w:sz w:val="20"/>
          <w:szCs w:val="20"/>
          <w:lang w:eastAsia="zh-CN"/>
        </w:rPr>
        <w:t>)</w:t>
      </w:r>
      <w:r w:rsidRPr="005F0C53">
        <w:rPr>
          <w:rFonts w:ascii="Arial" w:hAnsi="Arial" w:cs="Arial"/>
          <w:sz w:val="20"/>
          <w:szCs w:val="20"/>
          <w:lang w:eastAsia="zh-CN"/>
        </w:rPr>
        <w:t xml:space="preserve"> for 72 hours and then protein was </w:t>
      </w:r>
      <w:r w:rsidRPr="005F0C53">
        <w:rPr>
          <w:rFonts w:ascii="Arial" w:hAnsi="Arial" w:cs="Arial"/>
          <w:sz w:val="20"/>
          <w:szCs w:val="20"/>
          <w:lang w:eastAsia="zh-CN"/>
        </w:rPr>
        <w:lastRenderedPageBreak/>
        <w:t xml:space="preserve">collected for western blot. Si-MYC-1 (CAGTTGAAACACAAACTTGAA), si-MYC-2 (CCTGAGACAGATCAGCAACAA), si-MYC-3 (CCTGAGACAGATCAGCAACAA). </w:t>
      </w:r>
    </w:p>
    <w:p w14:paraId="7FFF02E5" w14:textId="77777777" w:rsidR="00BB53BC" w:rsidRPr="005F0C53" w:rsidRDefault="00BB53BC" w:rsidP="00BD309E">
      <w:pPr>
        <w:spacing w:line="360" w:lineRule="auto"/>
        <w:rPr>
          <w:rFonts w:ascii="Arial" w:hAnsi="Arial" w:cs="Arial"/>
          <w:sz w:val="20"/>
          <w:szCs w:val="20"/>
          <w:lang w:eastAsia="zh-CN"/>
        </w:rPr>
      </w:pPr>
      <w:r w:rsidRPr="005F0C53">
        <w:rPr>
          <w:rFonts w:ascii="Arial" w:hAnsi="Arial" w:cs="Arial"/>
          <w:sz w:val="20"/>
          <w:szCs w:val="20"/>
          <w:lang w:eastAsia="zh-CN"/>
        </w:rPr>
        <w:t>The c-</w:t>
      </w:r>
      <w:proofErr w:type="spellStart"/>
      <w:r w:rsidRPr="005F0C53">
        <w:rPr>
          <w:rFonts w:ascii="Arial" w:hAnsi="Arial" w:cs="Arial"/>
          <w:sz w:val="20"/>
          <w:szCs w:val="20"/>
          <w:lang w:eastAsia="zh-CN"/>
        </w:rPr>
        <w:t>Myc</w:t>
      </w:r>
      <w:proofErr w:type="spellEnd"/>
      <w:r w:rsidRPr="005F0C53">
        <w:rPr>
          <w:rFonts w:ascii="Arial" w:hAnsi="Arial" w:cs="Arial"/>
          <w:sz w:val="20"/>
          <w:szCs w:val="20"/>
          <w:lang w:eastAsia="zh-CN"/>
        </w:rPr>
        <w:t xml:space="preserve"> inhibitor 10058-F4 (M14382; </w:t>
      </w:r>
      <w:proofErr w:type="spellStart"/>
      <w:r w:rsidRPr="005F0C53">
        <w:rPr>
          <w:rFonts w:ascii="Arial" w:hAnsi="Arial" w:cs="Arial"/>
          <w:sz w:val="20"/>
          <w:szCs w:val="20"/>
          <w:lang w:eastAsia="zh-CN"/>
        </w:rPr>
        <w:t>Luofa</w:t>
      </w:r>
      <w:proofErr w:type="spellEnd"/>
      <w:r w:rsidRPr="005F0C53">
        <w:rPr>
          <w:rFonts w:ascii="Arial" w:hAnsi="Arial" w:cs="Arial"/>
          <w:sz w:val="20"/>
          <w:szCs w:val="20"/>
          <w:lang w:eastAsia="zh-CN"/>
        </w:rPr>
        <w:t xml:space="preserve"> Biotechnology, China) was employed to suppress c-</w:t>
      </w:r>
      <w:proofErr w:type="spellStart"/>
      <w:r w:rsidRPr="005F0C53">
        <w:rPr>
          <w:rFonts w:ascii="Arial" w:hAnsi="Arial" w:cs="Arial"/>
          <w:sz w:val="20"/>
          <w:szCs w:val="20"/>
          <w:lang w:eastAsia="zh-CN"/>
        </w:rPr>
        <w:t>Myc</w:t>
      </w:r>
      <w:proofErr w:type="spellEnd"/>
      <w:r w:rsidRPr="005F0C53">
        <w:rPr>
          <w:rFonts w:ascii="Arial" w:hAnsi="Arial" w:cs="Arial"/>
          <w:sz w:val="20"/>
          <w:szCs w:val="20"/>
          <w:lang w:eastAsia="zh-CN"/>
        </w:rPr>
        <w:t xml:space="preserve"> activity. This compound selectively inhibits c-</w:t>
      </w:r>
      <w:proofErr w:type="spellStart"/>
      <w:r w:rsidRPr="005F0C53">
        <w:rPr>
          <w:rFonts w:ascii="Arial" w:hAnsi="Arial" w:cs="Arial"/>
          <w:sz w:val="20"/>
          <w:szCs w:val="20"/>
          <w:lang w:eastAsia="zh-CN"/>
        </w:rPr>
        <w:t>Myc</w:t>
      </w:r>
      <w:proofErr w:type="spellEnd"/>
      <w:r w:rsidRPr="005F0C53">
        <w:rPr>
          <w:rFonts w:ascii="Arial" w:hAnsi="Arial" w:cs="Arial"/>
          <w:sz w:val="20"/>
          <w:szCs w:val="20"/>
          <w:lang w:eastAsia="zh-CN"/>
        </w:rPr>
        <w:t>-Max dimerization, thereby blocking the transactivation of c-</w:t>
      </w:r>
      <w:proofErr w:type="spellStart"/>
      <w:r w:rsidRPr="005F0C53">
        <w:rPr>
          <w:rFonts w:ascii="Arial" w:hAnsi="Arial" w:cs="Arial"/>
          <w:sz w:val="20"/>
          <w:szCs w:val="20"/>
          <w:lang w:eastAsia="zh-CN"/>
        </w:rPr>
        <w:t>Myc</w:t>
      </w:r>
      <w:proofErr w:type="spellEnd"/>
      <w:r w:rsidRPr="005F0C53">
        <w:rPr>
          <w:rFonts w:ascii="Arial" w:hAnsi="Arial" w:cs="Arial"/>
          <w:sz w:val="20"/>
          <w:szCs w:val="20"/>
          <w:lang w:eastAsia="zh-CN"/>
        </w:rPr>
        <w:t xml:space="preserve"> target genes.</w:t>
      </w:r>
    </w:p>
    <w:p w14:paraId="751F010D" w14:textId="77777777" w:rsidR="00BB53BC" w:rsidRPr="005F0C53" w:rsidRDefault="00BB53BC" w:rsidP="00BD309E">
      <w:pPr>
        <w:spacing w:line="360" w:lineRule="auto"/>
        <w:rPr>
          <w:rFonts w:ascii="Arial" w:hAnsi="Arial" w:cs="Arial"/>
          <w:sz w:val="20"/>
          <w:szCs w:val="20"/>
          <w:lang w:eastAsia="zh-CN"/>
        </w:rPr>
      </w:pPr>
    </w:p>
    <w:p w14:paraId="41784549" w14:textId="77777777" w:rsidR="00BB53BC" w:rsidRPr="005F0C53" w:rsidRDefault="00BB53BC" w:rsidP="00BD309E">
      <w:pPr>
        <w:spacing w:line="360" w:lineRule="auto"/>
        <w:rPr>
          <w:rFonts w:ascii="Arial" w:hAnsi="Arial" w:cs="Arial"/>
          <w:b/>
          <w:bCs/>
          <w:sz w:val="20"/>
          <w:szCs w:val="20"/>
          <w:lang w:eastAsia="zh-CN"/>
        </w:rPr>
      </w:pPr>
      <w:r w:rsidRPr="005F0C53">
        <w:rPr>
          <w:rFonts w:ascii="Arial" w:hAnsi="Arial" w:cs="Arial"/>
          <w:b/>
          <w:bCs/>
          <w:sz w:val="20"/>
          <w:szCs w:val="20"/>
          <w:lang w:eastAsia="zh-CN"/>
        </w:rPr>
        <w:t>Single cell RNA sequencing (</w:t>
      </w:r>
      <w:proofErr w:type="spellStart"/>
      <w:r w:rsidRPr="005F0C53">
        <w:rPr>
          <w:rFonts w:ascii="Arial" w:hAnsi="Arial" w:cs="Arial"/>
          <w:b/>
          <w:bCs/>
          <w:sz w:val="20"/>
          <w:szCs w:val="20"/>
          <w:lang w:eastAsia="zh-CN"/>
        </w:rPr>
        <w:t>scRNA</w:t>
      </w:r>
      <w:proofErr w:type="spellEnd"/>
      <w:r w:rsidRPr="005F0C53">
        <w:rPr>
          <w:rFonts w:ascii="Arial" w:hAnsi="Arial" w:cs="Arial"/>
          <w:b/>
          <w:bCs/>
          <w:sz w:val="20"/>
          <w:szCs w:val="20"/>
          <w:lang w:eastAsia="zh-CN"/>
        </w:rPr>
        <w:t xml:space="preserve"> seq) analysis</w:t>
      </w:r>
    </w:p>
    <w:p w14:paraId="3E06DB36" w14:textId="2ADAEE2A" w:rsidR="00BB53BC" w:rsidRPr="005F0C53" w:rsidRDefault="00BB53BC" w:rsidP="00BD309E">
      <w:pPr>
        <w:spacing w:line="360" w:lineRule="auto"/>
        <w:rPr>
          <w:rFonts w:ascii="Arial" w:hAnsi="Arial" w:cs="Arial"/>
          <w:sz w:val="20"/>
          <w:szCs w:val="20"/>
          <w:lang w:eastAsia="zh-CN"/>
        </w:rPr>
      </w:pPr>
      <w:r w:rsidRPr="005F0C53">
        <w:rPr>
          <w:rFonts w:ascii="Arial" w:hAnsi="Arial" w:cs="Arial"/>
          <w:sz w:val="20"/>
          <w:szCs w:val="20"/>
          <w:lang w:eastAsia="zh-CN"/>
        </w:rPr>
        <w:t>The single-cell RNA sequencing (</w:t>
      </w:r>
      <w:proofErr w:type="spellStart"/>
      <w:r w:rsidRPr="005F0C53">
        <w:rPr>
          <w:rFonts w:ascii="Arial" w:hAnsi="Arial" w:cs="Arial"/>
          <w:sz w:val="20"/>
          <w:szCs w:val="20"/>
          <w:lang w:eastAsia="zh-CN"/>
        </w:rPr>
        <w:t>scRNA</w:t>
      </w:r>
      <w:proofErr w:type="spellEnd"/>
      <w:r w:rsidRPr="005F0C53">
        <w:rPr>
          <w:rFonts w:ascii="Arial" w:hAnsi="Arial" w:cs="Arial"/>
          <w:sz w:val="20"/>
          <w:szCs w:val="20"/>
          <w:lang w:eastAsia="zh-CN"/>
        </w:rPr>
        <w:t>-seq) dataset GSE155446, which includes 20 non-WNT/non-SHH MB samples, was sourced from the GEO database</w:t>
      </w:r>
      <w:r w:rsidR="00BD309E" w:rsidRPr="005F0C53">
        <w:rPr>
          <w:rFonts w:ascii="Arial" w:hAnsi="Arial" w:cs="Arial"/>
          <w:sz w:val="20"/>
          <w:szCs w:val="20"/>
          <w:lang w:eastAsia="zh-CN"/>
        </w:rPr>
        <w:fldChar w:fldCharType="begin"/>
      </w:r>
      <w:r w:rsidR="00BD309E" w:rsidRPr="005F0C53">
        <w:rPr>
          <w:rFonts w:ascii="Arial" w:hAnsi="Arial" w:cs="Arial"/>
          <w:sz w:val="20"/>
          <w:szCs w:val="20"/>
          <w:lang w:eastAsia="zh-CN"/>
        </w:rPr>
        <w:instrText xml:space="preserve"> ADDIN NE.Ref.{2B79847E-C2B3-4868-99A6-ABEFED328C4C}</w:instrText>
      </w:r>
      <w:r w:rsidR="00BD309E" w:rsidRPr="005F0C53">
        <w:rPr>
          <w:rFonts w:ascii="Arial" w:hAnsi="Arial" w:cs="Arial"/>
          <w:sz w:val="20"/>
          <w:szCs w:val="20"/>
          <w:lang w:eastAsia="zh-CN"/>
        </w:rPr>
        <w:fldChar w:fldCharType="separate"/>
      </w:r>
      <w:r w:rsidR="00661269">
        <w:rPr>
          <w:rFonts w:ascii="Arial" w:eastAsiaTheme="minorEastAsia" w:hAnsi="Arial" w:cs="Arial"/>
          <w:color w:val="000000"/>
          <w:sz w:val="20"/>
          <w:szCs w:val="20"/>
          <w:vertAlign w:val="superscript"/>
          <w:lang w:eastAsia="zh-CN"/>
        </w:rPr>
        <w:t>2</w:t>
      </w:r>
      <w:r w:rsidR="00BD309E" w:rsidRPr="005F0C53">
        <w:rPr>
          <w:rFonts w:ascii="Arial" w:hAnsi="Arial" w:cs="Arial"/>
          <w:sz w:val="20"/>
          <w:szCs w:val="20"/>
          <w:lang w:eastAsia="zh-CN"/>
        </w:rPr>
        <w:fldChar w:fldCharType="end"/>
      </w:r>
      <w:r w:rsidRPr="005F0C53">
        <w:rPr>
          <w:rFonts w:ascii="Arial" w:hAnsi="Arial" w:cs="Arial"/>
          <w:sz w:val="20"/>
          <w:szCs w:val="20"/>
          <w:lang w:eastAsia="zh-CN"/>
        </w:rPr>
        <w:t>. The dataset underwent processing and analysis utilizing the established methodologies provided by the R packages 'Seurat', 'infer-CNV', and '</w:t>
      </w:r>
      <w:proofErr w:type="spellStart"/>
      <w:r w:rsidRPr="005F0C53">
        <w:rPr>
          <w:rFonts w:ascii="Arial" w:hAnsi="Arial" w:cs="Arial"/>
          <w:sz w:val="20"/>
          <w:szCs w:val="20"/>
          <w:lang w:eastAsia="zh-CN"/>
        </w:rPr>
        <w:t>cellchat</w:t>
      </w:r>
      <w:proofErr w:type="spellEnd"/>
      <w:r w:rsidRPr="005F0C53">
        <w:rPr>
          <w:rFonts w:ascii="Arial" w:hAnsi="Arial" w:cs="Arial"/>
          <w:sz w:val="20"/>
          <w:szCs w:val="20"/>
          <w:lang w:eastAsia="zh-CN"/>
        </w:rPr>
        <w:t>'. Subsequent to data downscaling and clustering, the resulting clusters were annotated using well-established cellular markers: B cells (CD79A, CD22), T cells (CD3D, CD8B), oligodendrocyte precursor cells (OPCs; PDGFRA, SOX2), and tumor-associated macrophages (TAMs; TMEM119, CD74)</w:t>
      </w:r>
      <w:r w:rsidR="00661269">
        <w:rPr>
          <w:rFonts w:ascii="Arial" w:hAnsi="Arial" w:cs="Arial"/>
          <w:sz w:val="20"/>
          <w:szCs w:val="20"/>
          <w:lang w:eastAsia="zh-CN"/>
        </w:rPr>
        <w:fldChar w:fldCharType="begin"/>
      </w:r>
      <w:r w:rsidR="00661269">
        <w:rPr>
          <w:rFonts w:ascii="Arial" w:hAnsi="Arial" w:cs="Arial"/>
          <w:sz w:val="20"/>
          <w:szCs w:val="20"/>
          <w:lang w:eastAsia="zh-CN"/>
        </w:rPr>
        <w:instrText xml:space="preserve"> ADDIN NE.Ref.{20245503-1BD3-47EE-862F-6BF7C16E8663}</w:instrText>
      </w:r>
      <w:r w:rsidR="00661269">
        <w:rPr>
          <w:rFonts w:ascii="Arial" w:hAnsi="Arial" w:cs="Arial"/>
          <w:sz w:val="20"/>
          <w:szCs w:val="20"/>
          <w:lang w:eastAsia="zh-CN"/>
        </w:rPr>
        <w:fldChar w:fldCharType="separate"/>
      </w:r>
      <w:r w:rsidR="00661269">
        <w:rPr>
          <w:rFonts w:ascii="Arial" w:eastAsiaTheme="minorEastAsia" w:hAnsi="Arial" w:cs="Arial"/>
          <w:color w:val="000000"/>
          <w:sz w:val="20"/>
          <w:szCs w:val="20"/>
          <w:vertAlign w:val="superscript"/>
          <w:lang w:eastAsia="zh-CN"/>
        </w:rPr>
        <w:t>3</w:t>
      </w:r>
      <w:r w:rsidR="00661269">
        <w:rPr>
          <w:rFonts w:ascii="Arial" w:hAnsi="Arial" w:cs="Arial"/>
          <w:sz w:val="20"/>
          <w:szCs w:val="20"/>
          <w:lang w:eastAsia="zh-CN"/>
        </w:rPr>
        <w:fldChar w:fldCharType="end"/>
      </w:r>
      <w:r w:rsidRPr="005F0C53">
        <w:rPr>
          <w:rFonts w:ascii="Arial" w:hAnsi="Arial" w:cs="Arial"/>
          <w:sz w:val="20"/>
          <w:szCs w:val="20"/>
          <w:lang w:eastAsia="zh-CN"/>
        </w:rPr>
        <w:t>. Tumor cells were further classified into molecular subgroups based on a continuum score derived from whole-transcriptome profiles, specifically mG3 (score &lt; 0.5) and mG4 (score &gt; 0.5). The samples were additionally categorized into three distinct groups (G4 (n = 12), G4G3 (n = 3), and G3 (n = 5)) to capture intertumoral heterogeneity. Moreover, the expression of PCK2 within the GSE155446 dataset was also examined with UMAP.</w:t>
      </w:r>
    </w:p>
    <w:p w14:paraId="28146A5B" w14:textId="77777777" w:rsidR="00BB53BC" w:rsidRPr="005F0C53" w:rsidRDefault="00BB53BC" w:rsidP="00BD309E">
      <w:pPr>
        <w:spacing w:line="360" w:lineRule="auto"/>
        <w:rPr>
          <w:rFonts w:ascii="Arial" w:hAnsi="Arial" w:cs="Arial"/>
          <w:sz w:val="20"/>
          <w:szCs w:val="20"/>
          <w:lang w:eastAsia="zh-CN"/>
        </w:rPr>
      </w:pPr>
    </w:p>
    <w:p w14:paraId="3240E054" w14:textId="77777777" w:rsidR="00BB53BC" w:rsidRPr="005F0C53" w:rsidRDefault="00BB53BC" w:rsidP="00BD309E">
      <w:pPr>
        <w:spacing w:line="360" w:lineRule="auto"/>
        <w:rPr>
          <w:rFonts w:ascii="Arial" w:hAnsi="Arial" w:cs="Arial"/>
          <w:b/>
          <w:bCs/>
          <w:sz w:val="20"/>
          <w:szCs w:val="20"/>
          <w:lang w:eastAsia="zh-CN"/>
        </w:rPr>
      </w:pPr>
      <w:r w:rsidRPr="005F0C53">
        <w:rPr>
          <w:rFonts w:ascii="Arial" w:hAnsi="Arial" w:cs="Arial"/>
          <w:b/>
          <w:bCs/>
          <w:sz w:val="20"/>
          <w:szCs w:val="20"/>
          <w:lang w:eastAsia="zh-CN"/>
        </w:rPr>
        <w:t>Cell proliferation, migration, and colony formation assays</w:t>
      </w:r>
    </w:p>
    <w:p w14:paraId="7DEAC3FD" w14:textId="4DC4E31E" w:rsidR="00BB53BC" w:rsidRPr="005F0C53" w:rsidRDefault="00BB53BC" w:rsidP="00BD309E">
      <w:pPr>
        <w:spacing w:line="360" w:lineRule="auto"/>
        <w:rPr>
          <w:rFonts w:ascii="Arial" w:hAnsi="Arial" w:cs="Arial"/>
          <w:sz w:val="20"/>
          <w:szCs w:val="20"/>
          <w:lang w:eastAsia="zh-CN"/>
        </w:rPr>
      </w:pPr>
      <w:r w:rsidRPr="005F0C53">
        <w:rPr>
          <w:rFonts w:ascii="Arial" w:hAnsi="Arial" w:cs="Arial"/>
          <w:sz w:val="20"/>
          <w:szCs w:val="20"/>
          <w:lang w:eastAsia="zh-CN"/>
        </w:rPr>
        <w:t xml:space="preserve">All the </w:t>
      </w:r>
      <w:r w:rsidR="00B02DA7" w:rsidRPr="00B02DA7">
        <w:rPr>
          <w:rFonts w:ascii="Arial" w:hAnsi="Arial" w:cs="Arial" w:hint="eastAsia"/>
          <w:sz w:val="20"/>
          <w:szCs w:val="20"/>
          <w:lang w:eastAsia="zh-CN"/>
        </w:rPr>
        <w:t>transduced</w:t>
      </w:r>
      <w:r w:rsidRPr="005F0C53">
        <w:rPr>
          <w:rFonts w:ascii="Arial" w:hAnsi="Arial" w:cs="Arial"/>
          <w:sz w:val="20"/>
          <w:szCs w:val="20"/>
          <w:lang w:eastAsia="zh-CN"/>
        </w:rPr>
        <w:t xml:space="preserve"> cells were cultured for 24 h and inoculated in 96-well plates with 2000 cells per well. After cell walling, cells were incubated for different time periods (0, 12, 36, and 72 hours) and 10 µl of CCK-8 reagent was added to each well. After incubation at 37 °C for 2 h, absorbance was measured at 450 nm to determine cell viability. The wound-healing assay was employed to assess the migratory capacity of D458-</w:t>
      </w:r>
      <w:r w:rsidR="00CF6BA9" w:rsidRPr="00CF6BA9">
        <w:rPr>
          <w:rFonts w:hint="eastAsia"/>
        </w:rPr>
        <w:t xml:space="preserve"> </w:t>
      </w:r>
      <w:r w:rsidR="00CF6BA9" w:rsidRPr="00CF6BA9">
        <w:rPr>
          <w:rFonts w:ascii="Arial" w:hAnsi="Arial" w:cs="Arial" w:hint="eastAsia"/>
          <w:sz w:val="20"/>
          <w:szCs w:val="20"/>
          <w:lang w:eastAsia="zh-CN"/>
        </w:rPr>
        <w:t>negative control</w:t>
      </w:r>
      <w:r w:rsidR="00CF6BA9">
        <w:rPr>
          <w:rFonts w:ascii="Arial" w:hAnsi="Arial" w:cs="Arial" w:hint="eastAsia"/>
          <w:sz w:val="20"/>
          <w:szCs w:val="20"/>
          <w:lang w:eastAsia="zh-CN"/>
        </w:rPr>
        <w:t xml:space="preserve"> (NC)</w:t>
      </w:r>
      <w:r w:rsidRPr="005F0C53">
        <w:rPr>
          <w:rFonts w:ascii="Arial" w:hAnsi="Arial" w:cs="Arial"/>
          <w:sz w:val="20"/>
          <w:szCs w:val="20"/>
          <w:lang w:eastAsia="zh-CN"/>
        </w:rPr>
        <w:t xml:space="preserve"> and D458-shPCK2 cells. In this assay, cells subjected to various treatments were cultured in six-well </w:t>
      </w:r>
      <w:r w:rsidRPr="005F0C53">
        <w:rPr>
          <w:rFonts w:ascii="Arial" w:hAnsi="Arial" w:cs="Arial"/>
          <w:sz w:val="20"/>
          <w:szCs w:val="20"/>
          <w:lang w:eastAsia="zh-CN"/>
        </w:rPr>
        <w:lastRenderedPageBreak/>
        <w:t xml:space="preserve">plates until they achieved over 90% confluence. Subsequently, the cell monolayers were carefully disrupted using a 10 </w:t>
      </w:r>
      <w:proofErr w:type="spellStart"/>
      <w:r w:rsidRPr="005F0C53">
        <w:rPr>
          <w:rFonts w:ascii="Arial" w:hAnsi="Arial" w:cs="Arial"/>
          <w:sz w:val="20"/>
          <w:szCs w:val="20"/>
          <w:lang w:eastAsia="zh-CN"/>
        </w:rPr>
        <w:t>μL</w:t>
      </w:r>
      <w:proofErr w:type="spellEnd"/>
      <w:r w:rsidRPr="005F0C53">
        <w:rPr>
          <w:rFonts w:ascii="Arial" w:hAnsi="Arial" w:cs="Arial"/>
          <w:sz w:val="20"/>
          <w:szCs w:val="20"/>
          <w:lang w:eastAsia="zh-CN"/>
        </w:rPr>
        <w:t xml:space="preserve"> sterile pipette tip to create a wound, and images of the wound widths were captured and quantified at 24 hours. PCK2-</w:t>
      </w:r>
      <w:r w:rsidR="00A632DA" w:rsidRPr="00A632DA">
        <w:rPr>
          <w:rFonts w:ascii="Arial" w:hAnsi="Arial" w:cs="Arial"/>
          <w:sz w:val="20"/>
          <w:szCs w:val="20"/>
        </w:rPr>
        <w:t xml:space="preserve"> </w:t>
      </w:r>
      <w:r w:rsidR="00A632DA" w:rsidRPr="00B04196">
        <w:rPr>
          <w:rFonts w:ascii="Arial" w:hAnsi="Arial" w:cs="Arial"/>
          <w:sz w:val="20"/>
          <w:szCs w:val="20"/>
        </w:rPr>
        <w:t>knockdown</w:t>
      </w:r>
      <w:r w:rsidRPr="005F0C53">
        <w:rPr>
          <w:rFonts w:ascii="Arial" w:hAnsi="Arial" w:cs="Arial"/>
          <w:sz w:val="20"/>
          <w:szCs w:val="20"/>
          <w:lang w:eastAsia="zh-CN"/>
        </w:rPr>
        <w:t xml:space="preserve"> D458 cells were seeded at a density of 1000 cells per well in six-well plates. After 10 days of cultivation, the cells were fixed with 4% paraformaldehyde at room temperature for 30 minutes. The cells were then stained with 0.1% crystal violet, and the number of colonies in each well was counted.</w:t>
      </w:r>
    </w:p>
    <w:p w14:paraId="326DBA12" w14:textId="77777777" w:rsidR="00BB53BC" w:rsidRPr="005F0C53" w:rsidRDefault="00BB53BC" w:rsidP="00BD309E">
      <w:pPr>
        <w:spacing w:line="360" w:lineRule="auto"/>
        <w:rPr>
          <w:rFonts w:ascii="Arial" w:hAnsi="Arial" w:cs="Arial"/>
          <w:sz w:val="20"/>
          <w:szCs w:val="20"/>
          <w:lang w:eastAsia="zh-CN"/>
        </w:rPr>
      </w:pPr>
    </w:p>
    <w:p w14:paraId="36881371" w14:textId="77777777" w:rsidR="00BB53BC" w:rsidRPr="005F0C53" w:rsidRDefault="00BB53BC" w:rsidP="00BD309E">
      <w:pPr>
        <w:spacing w:line="360" w:lineRule="auto"/>
        <w:rPr>
          <w:rFonts w:ascii="Arial" w:hAnsi="Arial" w:cs="Arial"/>
          <w:b/>
          <w:bCs/>
          <w:sz w:val="20"/>
          <w:szCs w:val="20"/>
          <w:lang w:eastAsia="zh-CN"/>
        </w:rPr>
      </w:pPr>
      <w:r w:rsidRPr="005F0C53">
        <w:rPr>
          <w:rFonts w:ascii="Arial" w:hAnsi="Arial" w:cs="Arial"/>
          <w:b/>
          <w:bCs/>
          <w:sz w:val="20"/>
          <w:szCs w:val="20"/>
          <w:lang w:eastAsia="zh-CN"/>
        </w:rPr>
        <w:t>Immunofluorescence and immunohistochemistry</w:t>
      </w:r>
    </w:p>
    <w:p w14:paraId="1D5E93CB" w14:textId="441E0227" w:rsidR="00BB53BC" w:rsidRPr="005F0C53" w:rsidRDefault="00BB53BC" w:rsidP="00BD309E">
      <w:pPr>
        <w:spacing w:line="360" w:lineRule="auto"/>
        <w:rPr>
          <w:rFonts w:ascii="Arial" w:hAnsi="Arial" w:cs="Arial"/>
          <w:sz w:val="20"/>
          <w:szCs w:val="20"/>
          <w:lang w:eastAsia="zh-CN"/>
        </w:rPr>
      </w:pPr>
      <w:r w:rsidRPr="005F0C53">
        <w:rPr>
          <w:rFonts w:ascii="Arial" w:hAnsi="Arial" w:cs="Arial"/>
          <w:sz w:val="20"/>
          <w:szCs w:val="20"/>
          <w:lang w:eastAsia="zh-CN"/>
        </w:rPr>
        <w:t xml:space="preserve">Immunofluorescence was conducted in accordance with previously established protocols. In brief, medulloblastoma tumors, normal brain, and mouse brain samples were fixed using 4% paraformaldehyde (PFA). Following fixation, the samples were embedded in paraffin and sectioned into 3 </w:t>
      </w:r>
      <w:proofErr w:type="spellStart"/>
      <w:r w:rsidRPr="005F0C53">
        <w:rPr>
          <w:rFonts w:ascii="Arial" w:hAnsi="Arial" w:cs="Arial"/>
          <w:sz w:val="20"/>
          <w:szCs w:val="20"/>
          <w:lang w:eastAsia="zh-CN"/>
        </w:rPr>
        <w:t>μm</w:t>
      </w:r>
      <w:proofErr w:type="spellEnd"/>
      <w:r w:rsidRPr="005F0C53">
        <w:rPr>
          <w:rFonts w:ascii="Arial" w:hAnsi="Arial" w:cs="Arial"/>
          <w:sz w:val="20"/>
          <w:szCs w:val="20"/>
          <w:lang w:eastAsia="zh-CN"/>
        </w:rPr>
        <w:t xml:space="preserve"> slices. The primary antibody employed was anti-IBA1 (ab178846, Abcam, USA), which was incubated with the sections overnight at 4°C. This was followed by a 30-minute incubation with secondary antibodies at room temperature.</w:t>
      </w:r>
      <w:r w:rsidR="006775F8" w:rsidRPr="006775F8">
        <w:rPr>
          <w:rFonts w:ascii="Arial" w:hAnsi="Arial" w:cs="Arial" w:hint="eastAsia"/>
          <w:color w:val="000000"/>
          <w:sz w:val="20"/>
          <w:szCs w:val="20"/>
        </w:rPr>
        <w:t xml:space="preserve"> </w:t>
      </w:r>
      <w:r w:rsidR="006775F8" w:rsidRPr="00EE12CA">
        <w:rPr>
          <w:rFonts w:ascii="Arial" w:hAnsi="Arial" w:cs="Arial" w:hint="eastAsia"/>
          <w:color w:val="000000"/>
          <w:sz w:val="20"/>
          <w:szCs w:val="20"/>
        </w:rPr>
        <w:t>Alexa fluorescent secondary antibodies (Alexa Fluor 488-conjugated A-11008, 1:5000, Invitrogen, CHINA) were used</w:t>
      </w:r>
      <w:r w:rsidR="006775F8">
        <w:rPr>
          <w:rFonts w:ascii="Arial" w:hAnsi="Arial" w:cs="Arial" w:hint="eastAsia"/>
          <w:color w:val="000000"/>
          <w:sz w:val="20"/>
          <w:szCs w:val="20"/>
        </w:rPr>
        <w:t xml:space="preserve"> in </w:t>
      </w:r>
      <w:r w:rsidR="006775F8" w:rsidRPr="00B04196">
        <w:rPr>
          <w:rFonts w:ascii="Arial" w:hAnsi="Arial" w:cs="Arial"/>
          <w:color w:val="000000"/>
          <w:sz w:val="20"/>
          <w:szCs w:val="20"/>
        </w:rPr>
        <w:t>Immunofluorescence</w:t>
      </w:r>
      <w:r w:rsidR="006775F8">
        <w:rPr>
          <w:rFonts w:ascii="Arial" w:hAnsi="Arial" w:cs="Arial" w:hint="eastAsia"/>
          <w:color w:val="000000"/>
          <w:sz w:val="20"/>
          <w:szCs w:val="20"/>
        </w:rPr>
        <w:t>.</w:t>
      </w:r>
      <w:r w:rsidRPr="005F0C53">
        <w:rPr>
          <w:rFonts w:ascii="Arial" w:hAnsi="Arial" w:cs="Arial"/>
          <w:sz w:val="20"/>
          <w:szCs w:val="20"/>
          <w:lang w:eastAsia="zh-CN"/>
        </w:rPr>
        <w:t xml:space="preserve"> Immunohistochemistry was performed using anti-PCK2 (14892-1-AP, </w:t>
      </w:r>
      <w:proofErr w:type="spellStart"/>
      <w:r w:rsidRPr="005F0C53">
        <w:rPr>
          <w:rFonts w:ascii="Arial" w:hAnsi="Arial" w:cs="Arial"/>
          <w:sz w:val="20"/>
          <w:szCs w:val="20"/>
          <w:lang w:eastAsia="zh-CN"/>
        </w:rPr>
        <w:t>Proteintech</w:t>
      </w:r>
      <w:proofErr w:type="spellEnd"/>
      <w:r w:rsidRPr="005F0C53">
        <w:rPr>
          <w:rFonts w:ascii="Arial" w:hAnsi="Arial" w:cs="Arial"/>
          <w:sz w:val="20"/>
          <w:szCs w:val="20"/>
          <w:lang w:eastAsia="zh-CN"/>
        </w:rPr>
        <w:t>, USA) and anti-KI67 (ab16667, Abcam, USA) in accordance with established methodologies.</w:t>
      </w:r>
      <w:r w:rsidR="006775F8" w:rsidRPr="006775F8">
        <w:rPr>
          <w:rFonts w:hint="eastAsia"/>
        </w:rPr>
        <w:t xml:space="preserve"> </w:t>
      </w:r>
      <w:r w:rsidR="006775F8" w:rsidRPr="006775F8">
        <w:rPr>
          <w:rFonts w:ascii="Arial" w:hAnsi="Arial" w:cs="Arial" w:hint="eastAsia"/>
          <w:sz w:val="20"/>
          <w:szCs w:val="20"/>
          <w:lang w:eastAsia="zh-CN"/>
        </w:rPr>
        <w:t xml:space="preserve">Subsequently, they were washed 5 times with PBS and </w:t>
      </w:r>
      <w:proofErr w:type="gramStart"/>
      <w:r w:rsidR="006775F8" w:rsidRPr="006775F8">
        <w:rPr>
          <w:rFonts w:ascii="Arial" w:hAnsi="Arial" w:cs="Arial" w:hint="eastAsia"/>
          <w:sz w:val="20"/>
          <w:szCs w:val="20"/>
          <w:lang w:eastAsia="zh-CN"/>
        </w:rPr>
        <w:t>exposed  to</w:t>
      </w:r>
      <w:proofErr w:type="gramEnd"/>
      <w:r w:rsidR="006775F8" w:rsidRPr="006775F8">
        <w:rPr>
          <w:rFonts w:ascii="Arial" w:hAnsi="Arial" w:cs="Arial" w:hint="eastAsia"/>
          <w:sz w:val="20"/>
          <w:szCs w:val="20"/>
          <w:lang w:eastAsia="zh-CN"/>
        </w:rPr>
        <w:t xml:space="preserve"> a secondary antibody</w:t>
      </w:r>
      <w:r w:rsidR="006775F8">
        <w:rPr>
          <w:rFonts w:ascii="Arial" w:hAnsi="Arial" w:cs="Arial" w:hint="eastAsia"/>
          <w:sz w:val="20"/>
          <w:szCs w:val="20"/>
          <w:lang w:eastAsia="zh-CN"/>
        </w:rPr>
        <w:t xml:space="preserve"> </w:t>
      </w:r>
      <w:r w:rsidR="006775F8" w:rsidRPr="006775F8">
        <w:rPr>
          <w:rFonts w:ascii="Arial" w:hAnsi="Arial" w:cs="Arial" w:hint="eastAsia"/>
          <w:sz w:val="20"/>
          <w:szCs w:val="20"/>
          <w:lang w:eastAsia="zh-CN"/>
        </w:rPr>
        <w:t xml:space="preserve">(PV9000, </w:t>
      </w:r>
      <w:proofErr w:type="spellStart"/>
      <w:r w:rsidR="006775F8" w:rsidRPr="006775F8">
        <w:rPr>
          <w:rFonts w:ascii="Arial" w:hAnsi="Arial" w:cs="Arial" w:hint="eastAsia"/>
          <w:sz w:val="20"/>
          <w:szCs w:val="20"/>
          <w:lang w:eastAsia="zh-CN"/>
        </w:rPr>
        <w:t>Beyotime</w:t>
      </w:r>
      <w:proofErr w:type="spellEnd"/>
      <w:r w:rsidR="006775F8" w:rsidRPr="006775F8">
        <w:rPr>
          <w:rFonts w:ascii="Arial" w:hAnsi="Arial" w:cs="Arial" w:hint="eastAsia"/>
          <w:sz w:val="20"/>
          <w:szCs w:val="20"/>
          <w:lang w:eastAsia="zh-CN"/>
        </w:rPr>
        <w:t>, CHINA).</w:t>
      </w:r>
      <w:r w:rsidR="006775F8">
        <w:rPr>
          <w:rFonts w:ascii="Arial" w:hAnsi="Arial" w:cs="Arial" w:hint="eastAsia"/>
          <w:sz w:val="20"/>
          <w:szCs w:val="20"/>
          <w:lang w:eastAsia="zh-CN"/>
        </w:rPr>
        <w:t xml:space="preserve"> </w:t>
      </w:r>
      <w:r w:rsidR="006775F8" w:rsidRPr="006775F8">
        <w:rPr>
          <w:rFonts w:ascii="Arial" w:hAnsi="Arial" w:cs="Arial" w:hint="eastAsia"/>
          <w:sz w:val="20"/>
          <w:szCs w:val="20"/>
          <w:lang w:eastAsia="zh-CN"/>
        </w:rPr>
        <w:t>Then stain with DAB and hematoxylin fuel.</w:t>
      </w:r>
      <w:r w:rsidRPr="005F0C53">
        <w:rPr>
          <w:rFonts w:ascii="Arial" w:hAnsi="Arial" w:cs="Arial"/>
          <w:sz w:val="20"/>
          <w:szCs w:val="20"/>
          <w:lang w:eastAsia="zh-CN"/>
        </w:rPr>
        <w:t xml:space="preserve"> Image acquisition was carried out using the ZEISS Imaging System.</w:t>
      </w:r>
    </w:p>
    <w:p w14:paraId="50589FFF" w14:textId="77777777" w:rsidR="00BB53BC" w:rsidRPr="005F0C53" w:rsidRDefault="00BB53BC" w:rsidP="00BD309E">
      <w:pPr>
        <w:spacing w:line="360" w:lineRule="auto"/>
        <w:rPr>
          <w:rFonts w:ascii="Arial" w:hAnsi="Arial" w:cs="Arial"/>
          <w:sz w:val="20"/>
          <w:szCs w:val="20"/>
          <w:lang w:eastAsia="zh-CN"/>
        </w:rPr>
      </w:pPr>
    </w:p>
    <w:p w14:paraId="72FEDDE3" w14:textId="77777777" w:rsidR="00BB53BC" w:rsidRPr="005F0C53" w:rsidRDefault="00BB53BC" w:rsidP="00BD309E">
      <w:pPr>
        <w:spacing w:line="360" w:lineRule="auto"/>
        <w:rPr>
          <w:rFonts w:ascii="Arial" w:hAnsi="Arial" w:cs="Arial"/>
          <w:b/>
          <w:bCs/>
          <w:sz w:val="20"/>
          <w:szCs w:val="20"/>
          <w:lang w:eastAsia="zh-CN"/>
        </w:rPr>
      </w:pPr>
      <w:r w:rsidRPr="005F0C53">
        <w:rPr>
          <w:rFonts w:ascii="Arial" w:hAnsi="Arial" w:cs="Arial"/>
          <w:b/>
          <w:bCs/>
          <w:sz w:val="20"/>
          <w:szCs w:val="20"/>
          <w:lang w:eastAsia="zh-CN"/>
        </w:rPr>
        <w:t>Western blotting</w:t>
      </w:r>
    </w:p>
    <w:p w14:paraId="36934F04" w14:textId="5DC043C2" w:rsidR="00BB53BC" w:rsidRPr="005F0C53" w:rsidRDefault="00BB53BC" w:rsidP="00BD309E">
      <w:pPr>
        <w:spacing w:line="360" w:lineRule="auto"/>
        <w:rPr>
          <w:rFonts w:ascii="Arial" w:hAnsi="Arial" w:cs="Arial"/>
          <w:sz w:val="20"/>
          <w:szCs w:val="20"/>
          <w:lang w:eastAsia="zh-CN"/>
        </w:rPr>
      </w:pPr>
      <w:r w:rsidRPr="005F0C53">
        <w:rPr>
          <w:rFonts w:ascii="Arial" w:hAnsi="Arial" w:cs="Arial"/>
          <w:sz w:val="20"/>
          <w:szCs w:val="20"/>
          <w:lang w:eastAsia="zh-CN"/>
        </w:rPr>
        <w:t>Western blotting was performed following the methodology outlined in our previous research</w:t>
      </w:r>
      <w:r w:rsidR="00EF6AF3">
        <w:rPr>
          <w:rFonts w:ascii="Arial" w:hAnsi="Arial" w:cs="Arial"/>
          <w:sz w:val="20"/>
          <w:szCs w:val="20"/>
          <w:lang w:eastAsia="zh-CN"/>
        </w:rPr>
        <w:fldChar w:fldCharType="begin"/>
      </w:r>
      <w:r w:rsidR="00EF6AF3">
        <w:rPr>
          <w:rFonts w:ascii="Arial" w:hAnsi="Arial" w:cs="Arial"/>
          <w:sz w:val="20"/>
          <w:szCs w:val="20"/>
          <w:lang w:eastAsia="zh-CN"/>
        </w:rPr>
        <w:instrText xml:space="preserve"> ADDIN NE.Ref.{5ED75A69-9866-489F-A94E-8411184D1DC5}</w:instrText>
      </w:r>
      <w:r w:rsidR="00EF6AF3">
        <w:rPr>
          <w:rFonts w:ascii="Arial" w:hAnsi="Arial" w:cs="Arial"/>
          <w:sz w:val="20"/>
          <w:szCs w:val="20"/>
          <w:lang w:eastAsia="zh-CN"/>
        </w:rPr>
        <w:fldChar w:fldCharType="separate"/>
      </w:r>
      <w:r w:rsidR="00661269">
        <w:rPr>
          <w:rFonts w:ascii="Arial" w:eastAsiaTheme="minorEastAsia" w:hAnsi="Arial" w:cs="Arial"/>
          <w:color w:val="000000"/>
          <w:sz w:val="20"/>
          <w:szCs w:val="20"/>
          <w:vertAlign w:val="superscript"/>
          <w:lang w:eastAsia="zh-CN"/>
        </w:rPr>
        <w:t>4</w:t>
      </w:r>
      <w:r w:rsidR="00EF6AF3">
        <w:rPr>
          <w:rFonts w:ascii="Arial" w:hAnsi="Arial" w:cs="Arial"/>
          <w:sz w:val="20"/>
          <w:szCs w:val="20"/>
          <w:lang w:eastAsia="zh-CN"/>
        </w:rPr>
        <w:fldChar w:fldCharType="end"/>
      </w:r>
      <w:r w:rsidRPr="005F0C53">
        <w:rPr>
          <w:rFonts w:ascii="Arial" w:hAnsi="Arial" w:cs="Arial"/>
          <w:sz w:val="20"/>
          <w:szCs w:val="20"/>
          <w:lang w:eastAsia="zh-CN"/>
        </w:rPr>
        <w:t>. Proteins were extracted from both cellular and tumor tissue samples using an ice-cold RIPA buffer supplemented with a 1% protease inhibitor cocktail and 1% phosphoric acid protease inhibitor, maintained at 4 °C for 30 minutes. The protein concentrations were determined using the BCA assay (</w:t>
      </w:r>
      <w:proofErr w:type="spellStart"/>
      <w:r w:rsidRPr="005F0C53">
        <w:rPr>
          <w:rFonts w:ascii="Arial" w:hAnsi="Arial" w:cs="Arial"/>
          <w:sz w:val="20"/>
          <w:szCs w:val="20"/>
          <w:lang w:eastAsia="zh-CN"/>
        </w:rPr>
        <w:t>Beyotime</w:t>
      </w:r>
      <w:proofErr w:type="spellEnd"/>
      <w:r w:rsidRPr="005F0C53">
        <w:rPr>
          <w:rFonts w:ascii="Arial" w:hAnsi="Arial" w:cs="Arial"/>
          <w:sz w:val="20"/>
          <w:szCs w:val="20"/>
          <w:lang w:eastAsia="zh-CN"/>
        </w:rPr>
        <w:t xml:space="preserve"> Inc, China). For the Western blot analysis, proteins were </w:t>
      </w:r>
      <w:r w:rsidRPr="005F0C53">
        <w:rPr>
          <w:rFonts w:ascii="Arial" w:hAnsi="Arial" w:cs="Arial"/>
          <w:sz w:val="20"/>
          <w:szCs w:val="20"/>
          <w:lang w:eastAsia="zh-CN"/>
        </w:rPr>
        <w:lastRenderedPageBreak/>
        <w:t>resolved via 10% SDS-PAGE and subsequently transferred onto polyvinylidene difluoride membranes (Invitrogen, Carlsbad, CA). The membranes were blocked with 5% BSA in TBST (pH 7.0) for 1 hour and then incubated overnight at 4 °C with primary antibodies. The primary antibodies used included PCK2 (</w:t>
      </w:r>
      <w:proofErr w:type="spellStart"/>
      <w:r w:rsidRPr="005F0C53">
        <w:rPr>
          <w:rFonts w:ascii="Arial" w:hAnsi="Arial" w:cs="Arial"/>
          <w:sz w:val="20"/>
          <w:szCs w:val="20"/>
          <w:lang w:eastAsia="zh-CN"/>
        </w:rPr>
        <w:t>Proteintech</w:t>
      </w:r>
      <w:proofErr w:type="spellEnd"/>
      <w:r w:rsidRPr="005F0C53">
        <w:rPr>
          <w:rFonts w:ascii="Arial" w:hAnsi="Arial" w:cs="Arial"/>
          <w:sz w:val="20"/>
          <w:szCs w:val="20"/>
          <w:lang w:eastAsia="zh-CN"/>
        </w:rPr>
        <w:t>, 14892-1-AP, 1:5000), c-MYC (</w:t>
      </w:r>
      <w:proofErr w:type="spellStart"/>
      <w:r w:rsidRPr="005F0C53">
        <w:rPr>
          <w:rFonts w:ascii="Arial" w:hAnsi="Arial" w:cs="Arial"/>
          <w:sz w:val="20"/>
          <w:szCs w:val="20"/>
          <w:lang w:eastAsia="zh-CN"/>
        </w:rPr>
        <w:t>Proteintech</w:t>
      </w:r>
      <w:proofErr w:type="spellEnd"/>
      <w:r w:rsidRPr="005F0C53">
        <w:rPr>
          <w:rFonts w:ascii="Arial" w:hAnsi="Arial" w:cs="Arial"/>
          <w:sz w:val="20"/>
          <w:szCs w:val="20"/>
          <w:lang w:eastAsia="zh-CN"/>
        </w:rPr>
        <w:t>, 10828-1-AP, 1:1000), phospho-c-MYCSer62 (Cell Signaling Technology, 13748, 1:1000), GAPDH (</w:t>
      </w:r>
      <w:proofErr w:type="spellStart"/>
      <w:r w:rsidRPr="005F0C53">
        <w:rPr>
          <w:rFonts w:ascii="Arial" w:hAnsi="Arial" w:cs="Arial"/>
          <w:sz w:val="20"/>
          <w:szCs w:val="20"/>
          <w:lang w:eastAsia="zh-CN"/>
        </w:rPr>
        <w:t>Proteintech</w:t>
      </w:r>
      <w:proofErr w:type="spellEnd"/>
      <w:r w:rsidRPr="005F0C53">
        <w:rPr>
          <w:rFonts w:ascii="Arial" w:hAnsi="Arial" w:cs="Arial"/>
          <w:sz w:val="20"/>
          <w:szCs w:val="20"/>
          <w:lang w:eastAsia="zh-CN"/>
        </w:rPr>
        <w:t>, 60004-1-Ig, 1:5000), SOX2 (PTM, ptm-5072, 1:1000), and NEUROD1 (</w:t>
      </w:r>
      <w:proofErr w:type="spellStart"/>
      <w:r w:rsidRPr="005F0C53">
        <w:rPr>
          <w:rFonts w:ascii="Arial" w:hAnsi="Arial" w:cs="Arial"/>
          <w:sz w:val="20"/>
          <w:szCs w:val="20"/>
          <w:lang w:eastAsia="zh-CN"/>
        </w:rPr>
        <w:t>Proteintech</w:t>
      </w:r>
      <w:proofErr w:type="spellEnd"/>
      <w:r w:rsidRPr="005F0C53">
        <w:rPr>
          <w:rFonts w:ascii="Arial" w:hAnsi="Arial" w:cs="Arial"/>
          <w:sz w:val="20"/>
          <w:szCs w:val="20"/>
          <w:lang w:eastAsia="zh-CN"/>
        </w:rPr>
        <w:t xml:space="preserve">, 12081-1-AP, 1:1000). The secondary antibodies employed were anti-rabbit or anti-mouse IgG (1:5000; </w:t>
      </w:r>
      <w:proofErr w:type="spellStart"/>
      <w:r w:rsidRPr="005F0C53">
        <w:rPr>
          <w:rFonts w:ascii="Arial" w:hAnsi="Arial" w:cs="Arial"/>
          <w:sz w:val="20"/>
          <w:szCs w:val="20"/>
          <w:lang w:eastAsia="zh-CN"/>
        </w:rPr>
        <w:t>CoWinBioscience</w:t>
      </w:r>
      <w:proofErr w:type="spellEnd"/>
      <w:r w:rsidRPr="005F0C53">
        <w:rPr>
          <w:rFonts w:ascii="Arial" w:hAnsi="Arial" w:cs="Arial"/>
          <w:sz w:val="20"/>
          <w:szCs w:val="20"/>
          <w:lang w:eastAsia="zh-CN"/>
        </w:rPr>
        <w:t>, Beijing, China). Following five washes with TBST, the membranes were incubated with secondary antibodies for 1 hour at room temperature. Protein bands were subsequently visualized and quantified.</w:t>
      </w:r>
    </w:p>
    <w:p w14:paraId="4C4B288A" w14:textId="77777777" w:rsidR="00BB53BC" w:rsidRPr="005F0C53" w:rsidRDefault="00BB53BC" w:rsidP="00BD309E">
      <w:pPr>
        <w:spacing w:line="360" w:lineRule="auto"/>
        <w:rPr>
          <w:rFonts w:ascii="Arial" w:hAnsi="Arial" w:cs="Arial"/>
          <w:sz w:val="20"/>
          <w:szCs w:val="20"/>
          <w:lang w:eastAsia="zh-CN"/>
        </w:rPr>
      </w:pPr>
    </w:p>
    <w:p w14:paraId="7A5F1909" w14:textId="77777777" w:rsidR="00BB53BC" w:rsidRPr="005F0C53" w:rsidRDefault="00BB53BC" w:rsidP="00BD309E">
      <w:pPr>
        <w:spacing w:line="360" w:lineRule="auto"/>
        <w:rPr>
          <w:rFonts w:ascii="Arial" w:hAnsi="Arial" w:cs="Arial"/>
          <w:b/>
          <w:bCs/>
          <w:sz w:val="20"/>
          <w:szCs w:val="20"/>
          <w:lang w:eastAsia="zh-CN"/>
        </w:rPr>
      </w:pPr>
      <w:r w:rsidRPr="005F0C53">
        <w:rPr>
          <w:rFonts w:ascii="Arial" w:hAnsi="Arial" w:cs="Arial"/>
          <w:b/>
          <w:bCs/>
          <w:sz w:val="20"/>
          <w:szCs w:val="20"/>
          <w:lang w:eastAsia="zh-CN"/>
        </w:rPr>
        <w:t>Medulloblastoma xenografts (Intracranial)</w:t>
      </w:r>
    </w:p>
    <w:p w14:paraId="2D50657B" w14:textId="51F5B279" w:rsidR="00BB53BC" w:rsidRDefault="00BB53BC" w:rsidP="00BD309E">
      <w:pPr>
        <w:spacing w:line="360" w:lineRule="auto"/>
        <w:rPr>
          <w:rFonts w:ascii="Arial" w:hAnsi="Arial" w:cs="Arial"/>
          <w:sz w:val="20"/>
          <w:szCs w:val="20"/>
          <w:lang w:eastAsia="zh-CN"/>
        </w:rPr>
      </w:pPr>
      <w:r w:rsidRPr="005F0C53">
        <w:rPr>
          <w:rFonts w:ascii="Arial" w:hAnsi="Arial" w:cs="Arial"/>
          <w:sz w:val="20"/>
          <w:szCs w:val="20"/>
          <w:lang w:eastAsia="zh-CN"/>
        </w:rPr>
        <w:t xml:space="preserve">Animal studies were conducted in compliance with the guidelines and approval of the Ethical Committee at Nanfang Hospital, Southern Medical University. (Approval No.: IACUC-LAC-20240308-002). </w:t>
      </w:r>
      <w:r w:rsidR="00B94EB5" w:rsidRPr="00B94EB5">
        <w:rPr>
          <w:rFonts w:ascii="Arial" w:hAnsi="Arial" w:cs="Arial" w:hint="eastAsia"/>
          <w:sz w:val="20"/>
          <w:szCs w:val="20"/>
          <w:lang w:eastAsia="zh-CN"/>
        </w:rPr>
        <w:t>Male nude mice (BALB/c nude mice), 4</w:t>
      </w:r>
      <w:r w:rsidR="00B94EB5" w:rsidRPr="00B94EB5">
        <w:rPr>
          <w:rFonts w:ascii="Arial" w:hAnsi="Arial" w:cs="Arial" w:hint="eastAsia"/>
          <w:sz w:val="20"/>
          <w:szCs w:val="20"/>
          <w:lang w:eastAsia="zh-CN"/>
        </w:rPr>
        <w:t>–</w:t>
      </w:r>
      <w:r w:rsidR="00B94EB5" w:rsidRPr="00B94EB5">
        <w:rPr>
          <w:rFonts w:ascii="Arial" w:hAnsi="Arial" w:cs="Arial" w:hint="eastAsia"/>
          <w:sz w:val="20"/>
          <w:szCs w:val="20"/>
          <w:lang w:eastAsia="zh-CN"/>
        </w:rPr>
        <w:t>6 weeks old</w:t>
      </w:r>
      <w:r w:rsidR="00B94EB5">
        <w:rPr>
          <w:rFonts w:ascii="Arial" w:hAnsi="Arial" w:cs="Arial" w:hint="eastAsia"/>
          <w:sz w:val="20"/>
          <w:szCs w:val="20"/>
          <w:lang w:eastAsia="zh-CN"/>
        </w:rPr>
        <w:t xml:space="preserve"> (</w:t>
      </w:r>
      <w:r w:rsidR="00B94EB5" w:rsidRPr="00B94EB5">
        <w:rPr>
          <w:rFonts w:ascii="Arial" w:hAnsi="Arial" w:cs="Arial" w:hint="eastAsia"/>
          <w:sz w:val="20"/>
          <w:szCs w:val="20"/>
          <w:lang w:eastAsia="zh-CN"/>
        </w:rPr>
        <w:t>weighing 16</w:t>
      </w:r>
      <w:r w:rsidR="00B94EB5" w:rsidRPr="00B94EB5">
        <w:rPr>
          <w:rFonts w:ascii="Arial" w:hAnsi="Arial" w:cs="Arial" w:hint="eastAsia"/>
          <w:sz w:val="20"/>
          <w:szCs w:val="20"/>
          <w:lang w:eastAsia="zh-CN"/>
        </w:rPr>
        <w:t>–</w:t>
      </w:r>
      <w:r w:rsidR="00B94EB5" w:rsidRPr="00B94EB5">
        <w:rPr>
          <w:rFonts w:ascii="Arial" w:hAnsi="Arial" w:cs="Arial" w:hint="eastAsia"/>
          <w:sz w:val="20"/>
          <w:szCs w:val="20"/>
          <w:lang w:eastAsia="zh-CN"/>
        </w:rPr>
        <w:t>22 g</w:t>
      </w:r>
      <w:r w:rsidR="00B94EB5">
        <w:rPr>
          <w:rFonts w:ascii="Arial" w:hAnsi="Arial" w:cs="Arial" w:hint="eastAsia"/>
          <w:sz w:val="20"/>
          <w:szCs w:val="20"/>
          <w:lang w:eastAsia="zh-CN"/>
        </w:rPr>
        <w:t>)</w:t>
      </w:r>
      <w:r w:rsidR="00B94EB5" w:rsidRPr="00B94EB5">
        <w:rPr>
          <w:rFonts w:ascii="Arial" w:hAnsi="Arial" w:cs="Arial" w:hint="eastAsia"/>
          <w:sz w:val="20"/>
          <w:szCs w:val="20"/>
          <w:lang w:eastAsia="zh-CN"/>
        </w:rPr>
        <w:t>, were purchased from Laboratory Animal Center of Southern Medical University (</w:t>
      </w:r>
      <w:proofErr w:type="spellStart"/>
      <w:r w:rsidR="00B94EB5">
        <w:rPr>
          <w:rFonts w:ascii="Arial" w:hAnsi="Arial" w:cs="Arial" w:hint="eastAsia"/>
          <w:sz w:val="20"/>
          <w:szCs w:val="20"/>
          <w:lang w:eastAsia="zh-CN"/>
        </w:rPr>
        <w:t>Gaungzhou</w:t>
      </w:r>
      <w:proofErr w:type="spellEnd"/>
      <w:r w:rsidR="00B94EB5" w:rsidRPr="00B94EB5">
        <w:rPr>
          <w:rFonts w:ascii="Arial" w:hAnsi="Arial" w:cs="Arial" w:hint="eastAsia"/>
          <w:sz w:val="20"/>
          <w:szCs w:val="20"/>
          <w:lang w:eastAsia="zh-CN"/>
        </w:rPr>
        <w:t>, China)</w:t>
      </w:r>
      <w:r w:rsidR="00B94EB5">
        <w:rPr>
          <w:rFonts w:ascii="Arial" w:hAnsi="Arial" w:cs="Arial" w:hint="eastAsia"/>
          <w:sz w:val="20"/>
          <w:szCs w:val="20"/>
          <w:lang w:eastAsia="zh-CN"/>
        </w:rPr>
        <w:t xml:space="preserve">. </w:t>
      </w:r>
      <w:r w:rsidRPr="005F0C53">
        <w:rPr>
          <w:rFonts w:ascii="Arial" w:hAnsi="Arial" w:cs="Arial"/>
          <w:sz w:val="20"/>
          <w:szCs w:val="20"/>
          <w:lang w:eastAsia="zh-CN"/>
        </w:rPr>
        <w:t>Orthotopic xenograft models were established in the previous report. 1 × 106 D341-Luc cells, D341-</w:t>
      </w:r>
      <w:r w:rsidR="00A632DA">
        <w:rPr>
          <w:rFonts w:ascii="Arial" w:hAnsi="Arial" w:cs="Arial" w:hint="eastAsia"/>
          <w:sz w:val="20"/>
          <w:szCs w:val="20"/>
          <w:lang w:eastAsia="zh-CN"/>
        </w:rPr>
        <w:t>sh</w:t>
      </w:r>
      <w:r w:rsidRPr="005F0C53">
        <w:rPr>
          <w:rFonts w:ascii="Arial" w:hAnsi="Arial" w:cs="Arial"/>
          <w:sz w:val="20"/>
          <w:szCs w:val="20"/>
          <w:lang w:eastAsia="zh-CN"/>
        </w:rPr>
        <w:t>PCK2-Luc cells, D458-Luc cells, and D458-</w:t>
      </w:r>
      <w:r w:rsidR="00A632DA">
        <w:rPr>
          <w:rFonts w:ascii="Arial" w:hAnsi="Arial" w:cs="Arial" w:hint="eastAsia"/>
          <w:sz w:val="20"/>
          <w:szCs w:val="20"/>
          <w:lang w:eastAsia="zh-CN"/>
        </w:rPr>
        <w:t>sh</w:t>
      </w:r>
      <w:r w:rsidRPr="005F0C53">
        <w:rPr>
          <w:rFonts w:ascii="Arial" w:hAnsi="Arial" w:cs="Arial"/>
          <w:sz w:val="20"/>
          <w:szCs w:val="20"/>
          <w:lang w:eastAsia="zh-CN"/>
        </w:rPr>
        <w:t xml:space="preserve">PCK2-Luc cells with a total 5 </w:t>
      </w:r>
      <w:proofErr w:type="spellStart"/>
      <w:r w:rsidRPr="005F0C53">
        <w:rPr>
          <w:rFonts w:ascii="Arial" w:hAnsi="Arial" w:cs="Arial"/>
          <w:sz w:val="20"/>
          <w:szCs w:val="20"/>
          <w:lang w:eastAsia="zh-CN"/>
        </w:rPr>
        <w:t>μl</w:t>
      </w:r>
      <w:proofErr w:type="spellEnd"/>
      <w:r w:rsidRPr="005F0C53">
        <w:rPr>
          <w:rFonts w:ascii="Arial" w:hAnsi="Arial" w:cs="Arial"/>
          <w:sz w:val="20"/>
          <w:szCs w:val="20"/>
          <w:lang w:eastAsia="zh-CN"/>
        </w:rPr>
        <w:t xml:space="preserve"> volume in PBS were engrafted intracranially into the cerebellum of anesthetized </w:t>
      </w:r>
      <w:r w:rsidR="006A298C" w:rsidRPr="006A298C">
        <w:rPr>
          <w:rFonts w:ascii="Arial" w:hAnsi="Arial" w:cs="Arial" w:hint="eastAsia"/>
          <w:sz w:val="20"/>
          <w:szCs w:val="20"/>
          <w:lang w:eastAsia="zh-CN"/>
        </w:rPr>
        <w:t>BALB/c nude mice</w:t>
      </w:r>
      <w:r w:rsidRPr="005F0C53">
        <w:rPr>
          <w:rFonts w:ascii="Arial" w:hAnsi="Arial" w:cs="Arial"/>
          <w:sz w:val="20"/>
          <w:szCs w:val="20"/>
          <w:lang w:eastAsia="zh-CN"/>
        </w:rPr>
        <w:t>. Intracranial tumor progression was detected by Bioluminescence imaging using the AURA Imaging Software at 1, 14, and 28 days post-transplantation.</w:t>
      </w:r>
    </w:p>
    <w:p w14:paraId="7803C0B6" w14:textId="77777777" w:rsidR="009621EF" w:rsidRDefault="009621EF" w:rsidP="00BD309E">
      <w:pPr>
        <w:spacing w:line="360" w:lineRule="auto"/>
        <w:rPr>
          <w:rFonts w:ascii="Arial" w:hAnsi="Arial" w:cs="Arial"/>
          <w:sz w:val="20"/>
          <w:szCs w:val="20"/>
          <w:lang w:eastAsia="zh-CN"/>
        </w:rPr>
      </w:pPr>
    </w:p>
    <w:p w14:paraId="1D0EF6F6" w14:textId="77777777" w:rsidR="00BD2754" w:rsidRDefault="00BD2754" w:rsidP="00BD2754">
      <w:pPr>
        <w:spacing w:line="360" w:lineRule="auto"/>
        <w:rPr>
          <w:rFonts w:ascii="Arial" w:hAnsi="Arial" w:cs="Arial"/>
          <w:b/>
          <w:bCs/>
          <w:sz w:val="20"/>
          <w:szCs w:val="20"/>
          <w:lang w:eastAsia="zh-CN"/>
        </w:rPr>
      </w:pPr>
      <w:r w:rsidRPr="00BD2754">
        <w:rPr>
          <w:rFonts w:ascii="Arial" w:hAnsi="Arial" w:cs="Arial" w:hint="eastAsia"/>
          <w:b/>
          <w:bCs/>
          <w:sz w:val="20"/>
          <w:szCs w:val="20"/>
          <w:lang w:eastAsia="zh-CN"/>
        </w:rPr>
        <w:t>RNA sequencing</w:t>
      </w:r>
    </w:p>
    <w:p w14:paraId="5B75C83B" w14:textId="604047CA" w:rsidR="009621EF" w:rsidRDefault="00BD2754" w:rsidP="00BD2754">
      <w:pPr>
        <w:spacing w:line="360" w:lineRule="auto"/>
        <w:rPr>
          <w:rFonts w:ascii="Arial" w:hAnsi="Arial" w:cs="Arial"/>
          <w:sz w:val="20"/>
          <w:szCs w:val="20"/>
          <w:lang w:eastAsia="zh-CN"/>
        </w:rPr>
      </w:pPr>
      <w:r w:rsidRPr="00BD2754">
        <w:rPr>
          <w:rFonts w:ascii="Arial" w:hAnsi="Arial" w:cs="Arial" w:hint="eastAsia"/>
          <w:sz w:val="20"/>
          <w:szCs w:val="20"/>
          <w:lang w:eastAsia="zh-CN"/>
        </w:rPr>
        <w:t>The concentration of the constructed libraries was quantified using the Qubit dsDNA HS Assay Kit, following the manufacturer's protocol for double-stranded DNA fluorescence quantification.</w:t>
      </w:r>
      <w:r>
        <w:rPr>
          <w:rFonts w:ascii="Arial" w:hAnsi="Arial" w:cs="Arial" w:hint="eastAsia"/>
          <w:sz w:val="20"/>
          <w:szCs w:val="20"/>
          <w:lang w:eastAsia="zh-CN"/>
        </w:rPr>
        <w:t xml:space="preserve"> </w:t>
      </w:r>
      <w:r w:rsidRPr="00BD2754">
        <w:rPr>
          <w:rFonts w:ascii="Arial" w:hAnsi="Arial" w:cs="Arial" w:hint="eastAsia"/>
          <w:sz w:val="20"/>
          <w:szCs w:val="20"/>
          <w:lang w:eastAsia="zh-CN"/>
        </w:rPr>
        <w:t xml:space="preserve">Illumina adapter-ligated libraries were first converted using the </w:t>
      </w:r>
      <w:proofErr w:type="spellStart"/>
      <w:r w:rsidRPr="00BD2754">
        <w:rPr>
          <w:rFonts w:ascii="Arial" w:hAnsi="Arial" w:cs="Arial" w:hint="eastAsia"/>
          <w:sz w:val="20"/>
          <w:szCs w:val="20"/>
          <w:lang w:eastAsia="zh-CN"/>
        </w:rPr>
        <w:t>MGIEasy</w:t>
      </w:r>
      <w:proofErr w:type="spellEnd"/>
      <w:r w:rsidRPr="00BD2754">
        <w:rPr>
          <w:rFonts w:ascii="Arial" w:hAnsi="Arial" w:cs="Arial" w:hint="eastAsia"/>
          <w:sz w:val="20"/>
          <w:szCs w:val="20"/>
          <w:lang w:eastAsia="zh-CN"/>
        </w:rPr>
        <w:t xml:space="preserve"> Universal Library Conversion Kit (APP-A). The resulting products were purified using magnetic beads. The purified products were denatured to single-stranded DNA using a PCR </w:t>
      </w:r>
      <w:r w:rsidRPr="00BD2754">
        <w:rPr>
          <w:rFonts w:ascii="Arial" w:hAnsi="Arial" w:cs="Arial" w:hint="eastAsia"/>
          <w:sz w:val="20"/>
          <w:szCs w:val="20"/>
          <w:lang w:eastAsia="zh-CN"/>
        </w:rPr>
        <w:lastRenderedPageBreak/>
        <w:t>thermocycler, followed by single-stranded circularization. The circularized products were subsequently purified again with magnetic beads.</w:t>
      </w:r>
      <w:r>
        <w:rPr>
          <w:rFonts w:ascii="Arial" w:hAnsi="Arial" w:cs="Arial" w:hint="eastAsia"/>
          <w:sz w:val="20"/>
          <w:szCs w:val="20"/>
          <w:lang w:eastAsia="zh-CN"/>
        </w:rPr>
        <w:t xml:space="preserve"> </w:t>
      </w:r>
      <w:r w:rsidRPr="00BD2754">
        <w:rPr>
          <w:rFonts w:ascii="Arial" w:hAnsi="Arial" w:cs="Arial" w:hint="eastAsia"/>
          <w:sz w:val="20"/>
          <w:szCs w:val="20"/>
          <w:lang w:eastAsia="zh-CN"/>
        </w:rPr>
        <w:t>DNBs were prepared using the DNBSEQ DNB Rapid Preparation Kit and the High-throughput Sequencing Primer Kit (APP-D). Following preparation, the concentration of the single-stranded DNA DNB product was measured using the Qubit ssDNA Assay Kit and a Qubit 4.0 Fluorometer.</w:t>
      </w:r>
      <w:r>
        <w:rPr>
          <w:rFonts w:ascii="Arial" w:hAnsi="Arial" w:cs="Arial" w:hint="eastAsia"/>
          <w:sz w:val="20"/>
          <w:szCs w:val="20"/>
          <w:lang w:eastAsia="zh-CN"/>
        </w:rPr>
        <w:t xml:space="preserve"> </w:t>
      </w:r>
      <w:r w:rsidRPr="00BD2754">
        <w:rPr>
          <w:rFonts w:ascii="Arial" w:hAnsi="Arial" w:cs="Arial" w:hint="eastAsia"/>
          <w:sz w:val="20"/>
          <w:szCs w:val="20"/>
          <w:lang w:eastAsia="zh-CN"/>
        </w:rPr>
        <w:t>The DNB loading mix was prepared using the DNBSEQ-T7RS DNB Rapid Loading Kit. A sequencing flow cell was prepared, and the DNBs were loaded onto it.</w:t>
      </w:r>
      <w:r>
        <w:rPr>
          <w:rFonts w:ascii="Arial" w:hAnsi="Arial" w:cs="Arial" w:hint="eastAsia"/>
          <w:sz w:val="20"/>
          <w:szCs w:val="20"/>
          <w:lang w:eastAsia="zh-CN"/>
        </w:rPr>
        <w:t xml:space="preserve"> </w:t>
      </w:r>
      <w:r w:rsidRPr="00BD2754">
        <w:rPr>
          <w:rFonts w:ascii="Arial" w:hAnsi="Arial" w:cs="Arial" w:hint="eastAsia"/>
          <w:sz w:val="20"/>
          <w:szCs w:val="20"/>
          <w:lang w:eastAsia="zh-CN"/>
        </w:rPr>
        <w:t>The loaded flow cell was placed into the sequencer. The sequencing run was configured by selecting the DNBSEQ-T7RS workflow, entering the experiment name, cycle number, and read length, and specifying the data storage path. The software automatically checked the run parameters. Upon confirmation, sequencing was performed on the DNBSEQ-T7 sequencing platform using a paired-end 150 bp (PE150) mode. DNBSEQ-T7RS High-throughput Sequencing Kit (FCL PE150)</w:t>
      </w:r>
      <w:r>
        <w:rPr>
          <w:rFonts w:ascii="Arial" w:hAnsi="Arial" w:cs="Arial" w:hint="eastAsia"/>
          <w:sz w:val="20"/>
          <w:szCs w:val="20"/>
          <w:lang w:eastAsia="zh-CN"/>
        </w:rPr>
        <w:t>.</w:t>
      </w:r>
    </w:p>
    <w:p w14:paraId="570D6273" w14:textId="77777777" w:rsidR="00BD2754" w:rsidRDefault="00BD2754" w:rsidP="00BD2754">
      <w:pPr>
        <w:spacing w:line="360" w:lineRule="auto"/>
        <w:rPr>
          <w:rFonts w:ascii="Arial" w:hAnsi="Arial" w:cs="Arial"/>
          <w:sz w:val="20"/>
          <w:szCs w:val="20"/>
          <w:lang w:eastAsia="zh-CN"/>
        </w:rPr>
      </w:pPr>
    </w:p>
    <w:p w14:paraId="105FB8B5" w14:textId="48CA3E48" w:rsidR="00BD2754" w:rsidRPr="00BD2754" w:rsidRDefault="00BD2754" w:rsidP="00BD2754">
      <w:pPr>
        <w:spacing w:line="360" w:lineRule="auto"/>
        <w:rPr>
          <w:rFonts w:ascii="Arial" w:hAnsi="Arial" w:cs="Arial"/>
          <w:b/>
          <w:bCs/>
          <w:sz w:val="20"/>
          <w:szCs w:val="20"/>
          <w:lang w:eastAsia="zh-CN"/>
        </w:rPr>
      </w:pPr>
      <w:r w:rsidRPr="00BD2754">
        <w:rPr>
          <w:rFonts w:ascii="Arial" w:hAnsi="Arial" w:cs="Arial" w:hint="eastAsia"/>
          <w:b/>
          <w:bCs/>
          <w:sz w:val="20"/>
          <w:szCs w:val="20"/>
          <w:lang w:eastAsia="zh-CN"/>
        </w:rPr>
        <w:t>LC-MS/MS analysis</w:t>
      </w:r>
    </w:p>
    <w:p w14:paraId="4F7F6743" w14:textId="78777292" w:rsidR="00BD2754" w:rsidRDefault="00BD2754" w:rsidP="00BD2754">
      <w:pPr>
        <w:spacing w:line="360" w:lineRule="auto"/>
        <w:rPr>
          <w:rFonts w:ascii="Arial" w:hAnsi="Arial" w:cs="Arial"/>
          <w:sz w:val="20"/>
          <w:szCs w:val="20"/>
          <w:lang w:eastAsia="zh-CN"/>
        </w:rPr>
      </w:pPr>
      <w:r w:rsidRPr="00BD2754">
        <w:rPr>
          <w:rFonts w:ascii="Arial" w:hAnsi="Arial" w:cs="Arial" w:hint="eastAsia"/>
          <w:sz w:val="20"/>
          <w:szCs w:val="20"/>
          <w:lang w:eastAsia="zh-CN"/>
        </w:rPr>
        <w:t>In this experiment, a precisely measured mass of the sample was first weighed. Metabolites were then extracted by adding extraction solution under low-temperature conditions (for tissue, cell, or similar samples, grinding was performed prior to extraction). After centrifugation, the supernatant containing the extracted metabolites was collected for liquid chromatography-mass spectrometry (LC-MS) analysis.</w:t>
      </w:r>
      <w:r>
        <w:rPr>
          <w:rFonts w:ascii="Arial" w:hAnsi="Arial" w:cs="Arial" w:hint="eastAsia"/>
          <w:sz w:val="20"/>
          <w:szCs w:val="20"/>
          <w:lang w:eastAsia="zh-CN"/>
        </w:rPr>
        <w:t xml:space="preserve"> </w:t>
      </w:r>
      <w:r w:rsidRPr="00BD2754">
        <w:rPr>
          <w:rFonts w:ascii="Arial" w:hAnsi="Arial" w:cs="Arial" w:hint="eastAsia"/>
          <w:sz w:val="20"/>
          <w:szCs w:val="20"/>
          <w:lang w:eastAsia="zh-CN"/>
        </w:rPr>
        <w:t>The raw data obtained from the LC-MS analysis were processed using the metabolomics software Progenesis QI (Waters Corporation, Milford, USA). The processing steps included peak picking, alignment, and metabolite identification. Ultimately, a data matrix containing information such as retention time, peak area, mass-to-charge ratio, and compound identification was generated for subsequent bioinformatics analysis and statistical interpretation.</w:t>
      </w:r>
    </w:p>
    <w:p w14:paraId="3C3BBA55" w14:textId="77777777" w:rsidR="009621EF" w:rsidRPr="005F0C53" w:rsidRDefault="009621EF" w:rsidP="00BD309E">
      <w:pPr>
        <w:spacing w:line="360" w:lineRule="auto"/>
        <w:rPr>
          <w:rFonts w:ascii="Arial" w:hAnsi="Arial" w:cs="Arial"/>
          <w:sz w:val="20"/>
          <w:szCs w:val="20"/>
          <w:lang w:eastAsia="zh-CN"/>
        </w:rPr>
      </w:pPr>
    </w:p>
    <w:p w14:paraId="0051F93A" w14:textId="0906C326" w:rsidR="00BB53BC" w:rsidRPr="009E53BC" w:rsidRDefault="009E53BC" w:rsidP="00BD309E">
      <w:pPr>
        <w:spacing w:line="360" w:lineRule="auto"/>
        <w:rPr>
          <w:rFonts w:ascii="Arial" w:hAnsi="Arial" w:cs="Arial"/>
          <w:b/>
          <w:bCs/>
          <w:sz w:val="20"/>
          <w:szCs w:val="20"/>
          <w:lang w:eastAsia="zh-CN"/>
        </w:rPr>
      </w:pPr>
      <w:r w:rsidRPr="009E53BC">
        <w:rPr>
          <w:rFonts w:ascii="Arial" w:hAnsi="Arial" w:cs="Arial" w:hint="eastAsia"/>
          <w:b/>
          <w:bCs/>
          <w:sz w:val="20"/>
          <w:szCs w:val="20"/>
          <w:lang w:eastAsia="zh-CN"/>
        </w:rPr>
        <w:t>Inclusion and Exclusion Criteria/</w:t>
      </w:r>
      <w:r w:rsidRPr="009E53BC">
        <w:rPr>
          <w:rFonts w:hint="eastAsia"/>
          <w:b/>
          <w:bCs/>
        </w:rPr>
        <w:t xml:space="preserve"> </w:t>
      </w:r>
      <w:r w:rsidRPr="009E53BC">
        <w:rPr>
          <w:rFonts w:ascii="Arial" w:hAnsi="Arial" w:cs="Arial" w:hint="eastAsia"/>
          <w:b/>
          <w:bCs/>
          <w:sz w:val="20"/>
          <w:szCs w:val="20"/>
          <w:lang w:eastAsia="zh-CN"/>
        </w:rPr>
        <w:t>Attrition/</w:t>
      </w:r>
      <w:r w:rsidRPr="009E53BC">
        <w:rPr>
          <w:rFonts w:hint="eastAsia"/>
          <w:b/>
          <w:bCs/>
        </w:rPr>
        <w:t xml:space="preserve"> </w:t>
      </w:r>
      <w:r w:rsidRPr="009E53BC">
        <w:rPr>
          <w:rFonts w:ascii="Arial" w:hAnsi="Arial" w:cs="Arial" w:hint="eastAsia"/>
          <w:b/>
          <w:bCs/>
          <w:sz w:val="20"/>
          <w:szCs w:val="20"/>
          <w:lang w:eastAsia="zh-CN"/>
        </w:rPr>
        <w:t>Randomization/ Blinding/ Power Analysis/</w:t>
      </w:r>
      <w:r w:rsidRPr="009E53BC">
        <w:rPr>
          <w:rFonts w:hint="eastAsia"/>
          <w:b/>
          <w:bCs/>
        </w:rPr>
        <w:t xml:space="preserve"> </w:t>
      </w:r>
      <w:r w:rsidRPr="009E53BC">
        <w:rPr>
          <w:rFonts w:ascii="Arial" w:hAnsi="Arial" w:cs="Arial" w:hint="eastAsia"/>
          <w:b/>
          <w:bCs/>
          <w:sz w:val="20"/>
          <w:szCs w:val="20"/>
          <w:lang w:eastAsia="zh-CN"/>
        </w:rPr>
        <w:t>Replication/</w:t>
      </w:r>
      <w:r w:rsidRPr="009E53BC">
        <w:rPr>
          <w:rFonts w:hint="eastAsia"/>
          <w:b/>
          <w:bCs/>
        </w:rPr>
        <w:t xml:space="preserve"> </w:t>
      </w:r>
      <w:r w:rsidRPr="009E53BC">
        <w:rPr>
          <w:rFonts w:ascii="Arial" w:hAnsi="Arial" w:cs="Arial" w:hint="eastAsia"/>
          <w:b/>
          <w:bCs/>
          <w:sz w:val="20"/>
          <w:szCs w:val="20"/>
          <w:lang w:eastAsia="zh-CN"/>
        </w:rPr>
        <w:t>Protocol Information</w:t>
      </w:r>
    </w:p>
    <w:p w14:paraId="3EDC12E1" w14:textId="7366EC8D" w:rsidR="009E53BC" w:rsidRDefault="009E53BC" w:rsidP="00BD309E">
      <w:pPr>
        <w:spacing w:line="360" w:lineRule="auto"/>
        <w:rPr>
          <w:rFonts w:ascii="Arial" w:hAnsi="Arial" w:cs="Arial"/>
          <w:sz w:val="20"/>
          <w:szCs w:val="20"/>
          <w:lang w:eastAsia="zh-CN"/>
        </w:rPr>
      </w:pPr>
      <w:r>
        <w:rPr>
          <w:rFonts w:ascii="Arial" w:hAnsi="Arial" w:cs="Arial" w:hint="eastAsia"/>
          <w:sz w:val="20"/>
          <w:szCs w:val="20"/>
          <w:lang w:eastAsia="zh-CN"/>
        </w:rPr>
        <w:t>Not applicable.</w:t>
      </w:r>
    </w:p>
    <w:p w14:paraId="3412894F" w14:textId="77777777" w:rsidR="009E53BC" w:rsidRPr="005F0C53" w:rsidRDefault="009E53BC" w:rsidP="00BD309E">
      <w:pPr>
        <w:spacing w:line="360" w:lineRule="auto"/>
        <w:rPr>
          <w:rFonts w:ascii="Arial" w:hAnsi="Arial" w:cs="Arial"/>
          <w:sz w:val="20"/>
          <w:szCs w:val="20"/>
          <w:lang w:eastAsia="zh-CN"/>
        </w:rPr>
      </w:pPr>
    </w:p>
    <w:p w14:paraId="150B51F8" w14:textId="77777777" w:rsidR="002076B8" w:rsidRPr="005F0C53" w:rsidRDefault="002076B8" w:rsidP="00BD309E">
      <w:pPr>
        <w:spacing w:line="360" w:lineRule="auto"/>
        <w:rPr>
          <w:rFonts w:ascii="Arial" w:hAnsi="Arial" w:cs="Arial"/>
          <w:b/>
          <w:bCs/>
          <w:color w:val="000000"/>
          <w:sz w:val="20"/>
          <w:szCs w:val="20"/>
        </w:rPr>
      </w:pPr>
      <w:r w:rsidRPr="005F0C53">
        <w:rPr>
          <w:rFonts w:ascii="Arial" w:hAnsi="Arial" w:cs="Arial"/>
          <w:b/>
          <w:bCs/>
          <w:color w:val="000000"/>
          <w:sz w:val="20"/>
          <w:szCs w:val="20"/>
        </w:rPr>
        <w:t>Statistical analysis</w:t>
      </w:r>
    </w:p>
    <w:p w14:paraId="6E5451AF" w14:textId="77777777" w:rsidR="002076B8" w:rsidRPr="005F0C53" w:rsidRDefault="002076B8" w:rsidP="00BD309E">
      <w:pPr>
        <w:spacing w:line="360" w:lineRule="auto"/>
        <w:rPr>
          <w:rFonts w:ascii="Arial" w:hAnsi="Arial" w:cs="Arial"/>
          <w:color w:val="000000"/>
          <w:sz w:val="20"/>
          <w:szCs w:val="20"/>
        </w:rPr>
      </w:pPr>
      <w:r w:rsidRPr="005F0C53">
        <w:rPr>
          <w:rFonts w:ascii="Arial" w:hAnsi="Arial" w:cs="Arial"/>
          <w:color w:val="000000"/>
          <w:sz w:val="20"/>
          <w:szCs w:val="20"/>
        </w:rPr>
        <w:t>An unpaired Student's t-test or Wilcoxon rank-sum test was employed to assess differences between the two groups. For comparisons involving more than two groups, one-way ANOVA or the Kruskal–</w:t>
      </w:r>
      <w:proofErr w:type="gramStart"/>
      <w:r w:rsidRPr="005F0C53">
        <w:rPr>
          <w:rFonts w:ascii="Arial" w:hAnsi="Arial" w:cs="Arial"/>
          <w:color w:val="000000"/>
          <w:sz w:val="20"/>
          <w:szCs w:val="20"/>
        </w:rPr>
        <w:t>Wallis</w:t>
      </w:r>
      <w:proofErr w:type="gramEnd"/>
      <w:r w:rsidRPr="005F0C53">
        <w:rPr>
          <w:rFonts w:ascii="Arial" w:hAnsi="Arial" w:cs="Arial"/>
          <w:color w:val="000000"/>
          <w:sz w:val="20"/>
          <w:szCs w:val="20"/>
        </w:rPr>
        <w:t xml:space="preserve"> test was utilized. The correlation between the two groups was determined using Spearman’s correlation analysis. Unless stated otherwise, statistical significance was defined as a two-sided p-value of less than 0.05. All statistical analyses were performed using R software (Version 4.4.1), </w:t>
      </w:r>
      <w:proofErr w:type="spellStart"/>
      <w:r w:rsidRPr="005F0C53">
        <w:rPr>
          <w:rFonts w:ascii="Arial" w:hAnsi="Arial" w:cs="Arial"/>
          <w:color w:val="000000"/>
          <w:sz w:val="20"/>
          <w:szCs w:val="20"/>
        </w:rPr>
        <w:t>SangerBox</w:t>
      </w:r>
      <w:proofErr w:type="spellEnd"/>
      <w:r w:rsidRPr="005F0C53">
        <w:rPr>
          <w:rFonts w:ascii="Arial" w:hAnsi="Arial" w:cs="Arial"/>
          <w:color w:val="000000"/>
          <w:sz w:val="20"/>
          <w:szCs w:val="20"/>
        </w:rPr>
        <w:t xml:space="preserve">, and </w:t>
      </w:r>
      <w:proofErr w:type="spellStart"/>
      <w:r w:rsidRPr="005F0C53">
        <w:rPr>
          <w:rFonts w:ascii="Arial" w:hAnsi="Arial" w:cs="Arial"/>
          <w:color w:val="000000"/>
          <w:sz w:val="20"/>
          <w:szCs w:val="20"/>
        </w:rPr>
        <w:t>xiantao</w:t>
      </w:r>
      <w:proofErr w:type="spellEnd"/>
      <w:r w:rsidRPr="005F0C53">
        <w:rPr>
          <w:rFonts w:ascii="Arial" w:hAnsi="Arial" w:cs="Arial"/>
          <w:color w:val="000000"/>
          <w:sz w:val="20"/>
          <w:szCs w:val="20"/>
        </w:rPr>
        <w:t>.</w:t>
      </w:r>
    </w:p>
    <w:p w14:paraId="3F63B64A" w14:textId="77777777" w:rsidR="00661269" w:rsidRDefault="00BD309E" w:rsidP="00661269">
      <w:pPr>
        <w:widowControl w:val="0"/>
        <w:autoSpaceDE w:val="0"/>
        <w:autoSpaceDN w:val="0"/>
        <w:adjustRightInd w:val="0"/>
        <w:spacing w:after="0" w:line="240" w:lineRule="auto"/>
        <w:rPr>
          <w:rFonts w:ascii="Times New Roman" w:eastAsiaTheme="minorEastAsia" w:hAnsi="Times New Roman" w:cs="Times New Roman"/>
          <w:sz w:val="24"/>
          <w:szCs w:val="24"/>
          <w:lang w:eastAsia="zh-CN"/>
        </w:rPr>
      </w:pPr>
      <w:r w:rsidRPr="005F0C53">
        <w:rPr>
          <w:rFonts w:ascii="Arial" w:hAnsi="Arial" w:cs="Arial"/>
          <w:sz w:val="20"/>
          <w:szCs w:val="20"/>
        </w:rPr>
        <w:fldChar w:fldCharType="begin"/>
      </w:r>
      <w:r w:rsidRPr="005F0C53">
        <w:rPr>
          <w:rFonts w:ascii="Arial" w:hAnsi="Arial" w:cs="Arial"/>
          <w:sz w:val="20"/>
          <w:szCs w:val="20"/>
        </w:rPr>
        <w:instrText xml:space="preserve"> ADDIN NE.Bib</w:instrText>
      </w:r>
      <w:r w:rsidRPr="005F0C53">
        <w:rPr>
          <w:rFonts w:ascii="Arial" w:hAnsi="Arial" w:cs="Arial"/>
          <w:sz w:val="20"/>
          <w:szCs w:val="20"/>
        </w:rPr>
        <w:fldChar w:fldCharType="separate"/>
      </w:r>
    </w:p>
    <w:p w14:paraId="6F551C95" w14:textId="77777777" w:rsidR="00661269" w:rsidRDefault="00661269" w:rsidP="00661269">
      <w:pPr>
        <w:widowControl w:val="0"/>
        <w:autoSpaceDE w:val="0"/>
        <w:autoSpaceDN w:val="0"/>
        <w:adjustRightInd w:val="0"/>
        <w:spacing w:after="0" w:line="240" w:lineRule="auto"/>
        <w:rPr>
          <w:rFonts w:ascii="Times New Roman" w:eastAsiaTheme="minorEastAsia" w:hAnsi="Times New Roman" w:cs="Times New Roman"/>
          <w:sz w:val="24"/>
          <w:szCs w:val="24"/>
          <w:lang w:eastAsia="zh-CN"/>
        </w:rPr>
      </w:pPr>
      <w:r>
        <w:rPr>
          <w:rFonts w:ascii="Times New Roman" w:eastAsiaTheme="minorEastAsia" w:hAnsi="Times New Roman" w:cs="Times New Roman"/>
          <w:b/>
          <w:bCs/>
          <w:color w:val="000000"/>
          <w:sz w:val="40"/>
          <w:szCs w:val="40"/>
          <w:lang w:eastAsia="zh-CN"/>
        </w:rPr>
        <w:t>References</w:t>
      </w:r>
    </w:p>
    <w:p w14:paraId="2F3668F4" w14:textId="77777777" w:rsidR="00661269" w:rsidRDefault="00661269" w:rsidP="00661269">
      <w:pPr>
        <w:widowControl w:val="0"/>
        <w:autoSpaceDE w:val="0"/>
        <w:autoSpaceDN w:val="0"/>
        <w:adjustRightInd w:val="0"/>
        <w:spacing w:after="0" w:line="240" w:lineRule="auto"/>
        <w:ind w:left="420" w:hanging="420"/>
        <w:jc w:val="both"/>
        <w:rPr>
          <w:rFonts w:ascii="Times New Roman" w:eastAsiaTheme="minorEastAsia" w:hAnsi="Times New Roman" w:cs="Times New Roman"/>
          <w:sz w:val="24"/>
          <w:szCs w:val="24"/>
          <w:lang w:eastAsia="zh-CN"/>
        </w:rPr>
      </w:pPr>
      <w:r>
        <w:rPr>
          <w:rFonts w:ascii="Times New Roman" w:eastAsiaTheme="minorEastAsia" w:hAnsi="Times New Roman" w:cs="Times New Roman"/>
          <w:color w:val="000000"/>
          <w:sz w:val="20"/>
          <w:szCs w:val="20"/>
          <w:lang w:eastAsia="zh-CN"/>
        </w:rPr>
        <w:t>1.</w:t>
      </w:r>
      <w:r>
        <w:rPr>
          <w:rFonts w:ascii="Times New Roman" w:eastAsiaTheme="minorEastAsia" w:hAnsi="Times New Roman" w:cs="Times New Roman"/>
          <w:color w:val="000000"/>
          <w:sz w:val="20"/>
          <w:szCs w:val="20"/>
          <w:lang w:eastAsia="zh-CN"/>
        </w:rPr>
        <w:tab/>
        <w:t xml:space="preserve">Williamson, D. et al. Medulloblastoma group 3 and 4 tumors comprise a clinically and biologically  significant expression continuum reflecting human cerebellar development. </w:t>
      </w:r>
      <w:r>
        <w:rPr>
          <w:rFonts w:ascii="Times New Roman" w:eastAsiaTheme="minorEastAsia" w:hAnsi="Times New Roman" w:cs="Times New Roman"/>
          <w:i/>
          <w:iCs/>
          <w:color w:val="000000"/>
          <w:sz w:val="20"/>
          <w:szCs w:val="20"/>
          <w:lang w:eastAsia="zh-CN"/>
        </w:rPr>
        <w:t>Cell Rep.</w:t>
      </w:r>
      <w:r>
        <w:rPr>
          <w:rFonts w:ascii="Times New Roman" w:eastAsiaTheme="minorEastAsia" w:hAnsi="Times New Roman" w:cs="Times New Roman"/>
          <w:color w:val="000000"/>
          <w:sz w:val="20"/>
          <w:szCs w:val="20"/>
          <w:lang w:eastAsia="zh-CN"/>
        </w:rPr>
        <w:t xml:space="preserve"> </w:t>
      </w:r>
      <w:r>
        <w:rPr>
          <w:rFonts w:ascii="Times New Roman" w:eastAsiaTheme="minorEastAsia" w:hAnsi="Times New Roman" w:cs="Times New Roman"/>
          <w:b/>
          <w:bCs/>
          <w:color w:val="000000"/>
          <w:sz w:val="20"/>
          <w:szCs w:val="20"/>
          <w:lang w:eastAsia="zh-CN"/>
        </w:rPr>
        <w:t>40</w:t>
      </w:r>
      <w:r>
        <w:rPr>
          <w:rFonts w:ascii="Times New Roman" w:eastAsiaTheme="minorEastAsia" w:hAnsi="Times New Roman" w:cs="Times New Roman"/>
          <w:color w:val="000000"/>
          <w:sz w:val="20"/>
          <w:szCs w:val="20"/>
          <w:lang w:eastAsia="zh-CN"/>
        </w:rPr>
        <w:t>, 111162 (2022).</w:t>
      </w:r>
    </w:p>
    <w:p w14:paraId="556536F9" w14:textId="77777777" w:rsidR="00661269" w:rsidRDefault="00661269" w:rsidP="00661269">
      <w:pPr>
        <w:widowControl w:val="0"/>
        <w:autoSpaceDE w:val="0"/>
        <w:autoSpaceDN w:val="0"/>
        <w:adjustRightInd w:val="0"/>
        <w:spacing w:after="0" w:line="240" w:lineRule="auto"/>
        <w:ind w:left="420" w:hanging="420"/>
        <w:jc w:val="both"/>
        <w:rPr>
          <w:rFonts w:ascii="Times New Roman" w:eastAsiaTheme="minorEastAsia" w:hAnsi="Times New Roman" w:cs="Times New Roman"/>
          <w:sz w:val="24"/>
          <w:szCs w:val="24"/>
          <w:lang w:eastAsia="zh-CN"/>
        </w:rPr>
      </w:pPr>
      <w:r>
        <w:rPr>
          <w:rFonts w:ascii="Times New Roman" w:eastAsiaTheme="minorEastAsia" w:hAnsi="Times New Roman" w:cs="Times New Roman"/>
          <w:color w:val="000000"/>
          <w:sz w:val="20"/>
          <w:szCs w:val="20"/>
          <w:lang w:eastAsia="zh-CN"/>
        </w:rPr>
        <w:t>2.</w:t>
      </w:r>
      <w:r>
        <w:rPr>
          <w:rFonts w:ascii="Times New Roman" w:eastAsiaTheme="minorEastAsia" w:hAnsi="Times New Roman" w:cs="Times New Roman"/>
          <w:color w:val="000000"/>
          <w:sz w:val="20"/>
          <w:szCs w:val="20"/>
          <w:lang w:eastAsia="zh-CN"/>
        </w:rPr>
        <w:tab/>
        <w:t xml:space="preserve">Riemondy, K. A. et al. Neoplastic and immune single-cell transcriptomics define subgroup-specific  intra-tumoral heterogeneity of childhood medulloblastoma. </w:t>
      </w:r>
      <w:r>
        <w:rPr>
          <w:rFonts w:ascii="Times New Roman" w:eastAsiaTheme="minorEastAsia" w:hAnsi="Times New Roman" w:cs="Times New Roman"/>
          <w:i/>
          <w:iCs/>
          <w:color w:val="000000"/>
          <w:sz w:val="20"/>
          <w:szCs w:val="20"/>
          <w:lang w:eastAsia="zh-CN"/>
        </w:rPr>
        <w:t>Neuro Oncol</w:t>
      </w:r>
      <w:r>
        <w:rPr>
          <w:rFonts w:ascii="Times New Roman" w:eastAsiaTheme="minorEastAsia" w:hAnsi="Times New Roman" w:cs="Times New Roman"/>
          <w:color w:val="000000"/>
          <w:sz w:val="20"/>
          <w:szCs w:val="20"/>
          <w:lang w:eastAsia="zh-CN"/>
        </w:rPr>
        <w:t xml:space="preserve">. </w:t>
      </w:r>
      <w:r>
        <w:rPr>
          <w:rFonts w:ascii="Times New Roman" w:eastAsiaTheme="minorEastAsia" w:hAnsi="Times New Roman" w:cs="Times New Roman"/>
          <w:b/>
          <w:bCs/>
          <w:color w:val="000000"/>
          <w:sz w:val="20"/>
          <w:szCs w:val="20"/>
          <w:lang w:eastAsia="zh-CN"/>
        </w:rPr>
        <w:t>24</w:t>
      </w:r>
      <w:r>
        <w:rPr>
          <w:rFonts w:ascii="Times New Roman" w:eastAsiaTheme="minorEastAsia" w:hAnsi="Times New Roman" w:cs="Times New Roman"/>
          <w:color w:val="000000"/>
          <w:sz w:val="20"/>
          <w:szCs w:val="20"/>
          <w:lang w:eastAsia="zh-CN"/>
        </w:rPr>
        <w:t>, 273-286 (2022).</w:t>
      </w:r>
    </w:p>
    <w:p w14:paraId="26FAE299" w14:textId="77777777" w:rsidR="00661269" w:rsidRDefault="00661269" w:rsidP="00661269">
      <w:pPr>
        <w:widowControl w:val="0"/>
        <w:autoSpaceDE w:val="0"/>
        <w:autoSpaceDN w:val="0"/>
        <w:adjustRightInd w:val="0"/>
        <w:spacing w:after="0" w:line="240" w:lineRule="auto"/>
        <w:ind w:left="420" w:hanging="420"/>
        <w:jc w:val="both"/>
        <w:rPr>
          <w:rFonts w:ascii="Times New Roman" w:eastAsiaTheme="minorEastAsia" w:hAnsi="Times New Roman" w:cs="Times New Roman"/>
          <w:sz w:val="24"/>
          <w:szCs w:val="24"/>
          <w:lang w:eastAsia="zh-CN"/>
        </w:rPr>
      </w:pPr>
      <w:r>
        <w:rPr>
          <w:rFonts w:ascii="Times New Roman" w:eastAsiaTheme="minorEastAsia" w:hAnsi="Times New Roman" w:cs="Times New Roman"/>
          <w:color w:val="000000"/>
          <w:sz w:val="20"/>
          <w:szCs w:val="20"/>
          <w:lang w:eastAsia="zh-CN"/>
        </w:rPr>
        <w:t>3.</w:t>
      </w:r>
      <w:r>
        <w:rPr>
          <w:rFonts w:ascii="Times New Roman" w:eastAsiaTheme="minorEastAsia" w:hAnsi="Times New Roman" w:cs="Times New Roman"/>
          <w:color w:val="000000"/>
          <w:sz w:val="20"/>
          <w:szCs w:val="20"/>
          <w:lang w:eastAsia="zh-CN"/>
        </w:rPr>
        <w:tab/>
      </w:r>
      <w:bookmarkStart w:id="0" w:name="_neb5E4931DB_6AE4_4448_8784_EDA38FA77884"/>
      <w:r>
        <w:rPr>
          <w:rFonts w:ascii="Times New Roman" w:eastAsiaTheme="minorEastAsia" w:hAnsi="Times New Roman" w:cs="Times New Roman"/>
          <w:color w:val="000000"/>
          <w:sz w:val="20"/>
          <w:szCs w:val="20"/>
          <w:lang w:eastAsia="zh-CN"/>
        </w:rPr>
        <w:t xml:space="preserve">Visvanathan, A. et al. Early rhombic lip Protogenin(+ve) stem cells in a human-specific neurovascular  niche initiate and maintain group 3 medulloblastoma. </w:t>
      </w:r>
      <w:r>
        <w:rPr>
          <w:rFonts w:ascii="Times New Roman" w:eastAsiaTheme="minorEastAsia" w:hAnsi="Times New Roman" w:cs="Times New Roman"/>
          <w:i/>
          <w:iCs/>
          <w:color w:val="000000"/>
          <w:sz w:val="20"/>
          <w:szCs w:val="20"/>
          <w:lang w:eastAsia="zh-CN"/>
        </w:rPr>
        <w:t>Cell</w:t>
      </w:r>
      <w:r>
        <w:rPr>
          <w:rFonts w:ascii="Times New Roman" w:eastAsiaTheme="minorEastAsia" w:hAnsi="Times New Roman" w:cs="Times New Roman"/>
          <w:color w:val="000000"/>
          <w:sz w:val="20"/>
          <w:szCs w:val="20"/>
          <w:lang w:eastAsia="zh-CN"/>
        </w:rPr>
        <w:t xml:space="preserve">. </w:t>
      </w:r>
      <w:r>
        <w:rPr>
          <w:rFonts w:ascii="Times New Roman" w:eastAsiaTheme="minorEastAsia" w:hAnsi="Times New Roman" w:cs="Times New Roman"/>
          <w:b/>
          <w:bCs/>
          <w:color w:val="000000"/>
          <w:sz w:val="20"/>
          <w:szCs w:val="20"/>
          <w:lang w:eastAsia="zh-CN"/>
        </w:rPr>
        <w:t>187</w:t>
      </w:r>
      <w:r>
        <w:rPr>
          <w:rFonts w:ascii="Times New Roman" w:eastAsiaTheme="minorEastAsia" w:hAnsi="Times New Roman" w:cs="Times New Roman"/>
          <w:color w:val="000000"/>
          <w:sz w:val="20"/>
          <w:szCs w:val="20"/>
          <w:lang w:eastAsia="zh-CN"/>
        </w:rPr>
        <w:t>, 4733-4750 (2024).</w:t>
      </w:r>
      <w:bookmarkEnd w:id="0"/>
    </w:p>
    <w:p w14:paraId="01D3CFE4" w14:textId="77777777" w:rsidR="00661269" w:rsidRDefault="00661269" w:rsidP="00661269">
      <w:pPr>
        <w:widowControl w:val="0"/>
        <w:autoSpaceDE w:val="0"/>
        <w:autoSpaceDN w:val="0"/>
        <w:adjustRightInd w:val="0"/>
        <w:spacing w:after="0" w:line="240" w:lineRule="auto"/>
        <w:ind w:left="420" w:hanging="420"/>
        <w:jc w:val="both"/>
        <w:rPr>
          <w:rFonts w:ascii="Times New Roman" w:eastAsiaTheme="minorEastAsia" w:hAnsi="Times New Roman" w:cs="Times New Roman"/>
          <w:sz w:val="24"/>
          <w:szCs w:val="24"/>
          <w:lang w:eastAsia="zh-CN"/>
        </w:rPr>
      </w:pPr>
      <w:r>
        <w:rPr>
          <w:rFonts w:ascii="Times New Roman" w:eastAsiaTheme="minorEastAsia" w:hAnsi="Times New Roman" w:cs="Times New Roman"/>
          <w:color w:val="000000"/>
          <w:sz w:val="20"/>
          <w:szCs w:val="20"/>
          <w:lang w:eastAsia="zh-CN"/>
        </w:rPr>
        <w:t>4.</w:t>
      </w:r>
      <w:r>
        <w:rPr>
          <w:rFonts w:ascii="Times New Roman" w:eastAsiaTheme="minorEastAsia" w:hAnsi="Times New Roman" w:cs="Times New Roman"/>
          <w:color w:val="000000"/>
          <w:sz w:val="20"/>
          <w:szCs w:val="20"/>
          <w:lang w:eastAsia="zh-CN"/>
        </w:rPr>
        <w:tab/>
        <w:t xml:space="preserve">Xue, S. et al. Dysregulation of phosphoenolpyruvate carboxykinase in cancers: A comprehensive  analysis. </w:t>
      </w:r>
      <w:r>
        <w:rPr>
          <w:rFonts w:ascii="Times New Roman" w:eastAsiaTheme="minorEastAsia" w:hAnsi="Times New Roman" w:cs="Times New Roman"/>
          <w:i/>
          <w:iCs/>
          <w:color w:val="000000"/>
          <w:sz w:val="20"/>
          <w:szCs w:val="20"/>
          <w:lang w:eastAsia="zh-CN"/>
        </w:rPr>
        <w:t>Cell. Signal.</w:t>
      </w:r>
      <w:r>
        <w:rPr>
          <w:rFonts w:ascii="Times New Roman" w:eastAsiaTheme="minorEastAsia" w:hAnsi="Times New Roman" w:cs="Times New Roman"/>
          <w:color w:val="000000"/>
          <w:sz w:val="20"/>
          <w:szCs w:val="20"/>
          <w:lang w:eastAsia="zh-CN"/>
        </w:rPr>
        <w:t xml:space="preserve"> </w:t>
      </w:r>
      <w:r>
        <w:rPr>
          <w:rFonts w:ascii="Times New Roman" w:eastAsiaTheme="minorEastAsia" w:hAnsi="Times New Roman" w:cs="Times New Roman"/>
          <w:b/>
          <w:bCs/>
          <w:color w:val="000000"/>
          <w:sz w:val="20"/>
          <w:szCs w:val="20"/>
          <w:lang w:eastAsia="zh-CN"/>
        </w:rPr>
        <w:t>120</w:t>
      </w:r>
      <w:r>
        <w:rPr>
          <w:rFonts w:ascii="Times New Roman" w:eastAsiaTheme="minorEastAsia" w:hAnsi="Times New Roman" w:cs="Times New Roman"/>
          <w:color w:val="000000"/>
          <w:sz w:val="20"/>
          <w:szCs w:val="20"/>
          <w:lang w:eastAsia="zh-CN"/>
        </w:rPr>
        <w:t>, 111198 (2024).</w:t>
      </w:r>
    </w:p>
    <w:p w14:paraId="7792938C" w14:textId="00255B8F" w:rsidR="005F0C53" w:rsidRPr="005F0C53" w:rsidRDefault="00BD309E" w:rsidP="00BD309E">
      <w:pPr>
        <w:spacing w:line="360" w:lineRule="auto"/>
        <w:rPr>
          <w:rFonts w:ascii="Arial" w:hAnsi="Arial" w:cs="Arial"/>
          <w:sz w:val="20"/>
          <w:szCs w:val="20"/>
        </w:rPr>
      </w:pPr>
      <w:r w:rsidRPr="005F0C53">
        <w:rPr>
          <w:rFonts w:ascii="Arial" w:hAnsi="Arial" w:cs="Arial"/>
          <w:sz w:val="20"/>
          <w:szCs w:val="20"/>
        </w:rPr>
        <w:fldChar w:fldCharType="end"/>
      </w:r>
    </w:p>
    <w:p w14:paraId="5EBBB9FD" w14:textId="5F11E859" w:rsidR="005F0C53" w:rsidRDefault="005F0C53">
      <w:pPr>
        <w:spacing w:after="0" w:line="240" w:lineRule="auto"/>
        <w:rPr>
          <w:rFonts w:ascii="Arial" w:hAnsi="Arial" w:cs="Arial"/>
          <w:sz w:val="20"/>
          <w:szCs w:val="20"/>
          <w:lang w:eastAsia="zh-CN"/>
        </w:rPr>
      </w:pPr>
      <w:r w:rsidRPr="005F0C53">
        <w:rPr>
          <w:rFonts w:ascii="Arial" w:hAnsi="Arial" w:cs="Arial"/>
          <w:sz w:val="20"/>
          <w:szCs w:val="20"/>
        </w:rPr>
        <w:br w:type="page"/>
      </w:r>
    </w:p>
    <w:p w14:paraId="47502636" w14:textId="77777777" w:rsidR="009148B1" w:rsidRPr="00C12FBD" w:rsidRDefault="009148B1" w:rsidP="009148B1">
      <w:pPr>
        <w:jc w:val="center"/>
        <w:rPr>
          <w:rFonts w:ascii="Times New Roman" w:hAnsi="Times New Roman" w:cs="Times New Roman"/>
          <w:b/>
          <w:bCs/>
        </w:rPr>
      </w:pPr>
      <w:r w:rsidRPr="00C12FBD">
        <w:rPr>
          <w:rFonts w:ascii="Times New Roman" w:hAnsi="Times New Roman" w:cs="Times New Roman"/>
          <w:b/>
          <w:bCs/>
        </w:rPr>
        <w:lastRenderedPageBreak/>
        <w:t>Table1</w:t>
      </w:r>
    </w:p>
    <w:p w14:paraId="68D6B138" w14:textId="77777777" w:rsidR="009148B1" w:rsidRPr="00DA0942" w:rsidRDefault="009148B1" w:rsidP="009148B1">
      <w:pPr>
        <w:jc w:val="center"/>
        <w:rPr>
          <w:rFonts w:ascii="Times New Roman" w:hAnsi="Times New Roman" w:cs="Times New Roman"/>
          <w:szCs w:val="21"/>
        </w:rPr>
      </w:pPr>
      <w:r w:rsidRPr="00C12FBD">
        <w:rPr>
          <w:rFonts w:ascii="Times New Roman" w:hAnsi="Times New Roman" w:cs="Times New Roman"/>
          <w:b/>
          <w:bCs/>
        </w:rPr>
        <w:t xml:space="preserve">The relationship between clinical features and </w:t>
      </w:r>
      <w:r w:rsidRPr="00C12FBD">
        <w:rPr>
          <w:rFonts w:ascii="Times New Roman" w:hAnsi="Times New Roman" w:cs="Times New Roman" w:hint="eastAsia"/>
          <w:b/>
          <w:bCs/>
        </w:rPr>
        <w:t>continuum</w:t>
      </w:r>
      <w:r w:rsidRPr="00C12FBD">
        <w:rPr>
          <w:rFonts w:ascii="Times New Roman" w:hAnsi="Times New Roman" w:cs="Times New Roman"/>
          <w:b/>
          <w:bCs/>
        </w:rPr>
        <w:t xml:space="preserve"> score in </w:t>
      </w:r>
      <w:r w:rsidRPr="00C12FBD">
        <w:rPr>
          <w:rFonts w:ascii="Times New Roman" w:hAnsi="Times New Roman" w:cs="Times New Roman" w:hint="eastAsia"/>
          <w:b/>
          <w:bCs/>
          <w:szCs w:val="21"/>
        </w:rPr>
        <w:t>non-WNT/non-SHH medulloblastom</w:t>
      </w:r>
      <w:r w:rsidRPr="00E71F8F">
        <w:rPr>
          <w:rFonts w:ascii="Times New Roman" w:hAnsi="Times New Roman" w:cs="Times New Roman" w:hint="eastAsia"/>
          <w:szCs w:val="21"/>
        </w:rPr>
        <w:t>a</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9"/>
        <w:gridCol w:w="1659"/>
        <w:gridCol w:w="1659"/>
        <w:gridCol w:w="1659"/>
        <w:gridCol w:w="1660"/>
      </w:tblGrid>
      <w:tr w:rsidR="009148B1" w:rsidRPr="009148B1" w14:paraId="4FDCC510" w14:textId="77777777" w:rsidTr="00EF42DB">
        <w:tc>
          <w:tcPr>
            <w:tcW w:w="1659" w:type="dxa"/>
            <w:tcBorders>
              <w:top w:val="single" w:sz="4" w:space="0" w:color="auto"/>
              <w:bottom w:val="single" w:sz="4" w:space="0" w:color="auto"/>
            </w:tcBorders>
          </w:tcPr>
          <w:p w14:paraId="15EF2DEB"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Characteristics</w:t>
            </w:r>
          </w:p>
        </w:tc>
        <w:tc>
          <w:tcPr>
            <w:tcW w:w="1659" w:type="dxa"/>
            <w:tcBorders>
              <w:top w:val="single" w:sz="4" w:space="0" w:color="auto"/>
              <w:bottom w:val="single" w:sz="4" w:space="0" w:color="auto"/>
            </w:tcBorders>
          </w:tcPr>
          <w:p w14:paraId="13C13FA7"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G4</w:t>
            </w:r>
          </w:p>
        </w:tc>
        <w:tc>
          <w:tcPr>
            <w:tcW w:w="1659" w:type="dxa"/>
            <w:tcBorders>
              <w:top w:val="single" w:sz="4" w:space="0" w:color="auto"/>
              <w:bottom w:val="single" w:sz="4" w:space="0" w:color="auto"/>
            </w:tcBorders>
          </w:tcPr>
          <w:p w14:paraId="77B3B4BE"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G4G3</w:t>
            </w:r>
          </w:p>
        </w:tc>
        <w:tc>
          <w:tcPr>
            <w:tcW w:w="1659" w:type="dxa"/>
            <w:tcBorders>
              <w:top w:val="single" w:sz="4" w:space="0" w:color="auto"/>
              <w:bottom w:val="single" w:sz="4" w:space="0" w:color="auto"/>
            </w:tcBorders>
          </w:tcPr>
          <w:p w14:paraId="4429DD60"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G3</w:t>
            </w:r>
          </w:p>
        </w:tc>
        <w:tc>
          <w:tcPr>
            <w:tcW w:w="1660" w:type="dxa"/>
            <w:tcBorders>
              <w:top w:val="single" w:sz="4" w:space="0" w:color="auto"/>
              <w:bottom w:val="single" w:sz="4" w:space="0" w:color="auto"/>
            </w:tcBorders>
          </w:tcPr>
          <w:p w14:paraId="151E8B90"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Test Statistic</w:t>
            </w:r>
          </w:p>
        </w:tc>
      </w:tr>
      <w:tr w:rsidR="009148B1" w:rsidRPr="009148B1" w14:paraId="09FB4E6C" w14:textId="77777777" w:rsidTr="00EF42DB">
        <w:tc>
          <w:tcPr>
            <w:tcW w:w="1659" w:type="dxa"/>
            <w:tcBorders>
              <w:top w:val="single" w:sz="4" w:space="0" w:color="auto"/>
            </w:tcBorders>
          </w:tcPr>
          <w:p w14:paraId="6380E807"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N (435)</w:t>
            </w:r>
          </w:p>
        </w:tc>
        <w:tc>
          <w:tcPr>
            <w:tcW w:w="1659" w:type="dxa"/>
            <w:tcBorders>
              <w:top w:val="single" w:sz="4" w:space="0" w:color="auto"/>
            </w:tcBorders>
          </w:tcPr>
          <w:p w14:paraId="63523FFD"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269</w:t>
            </w:r>
          </w:p>
        </w:tc>
        <w:tc>
          <w:tcPr>
            <w:tcW w:w="1659" w:type="dxa"/>
            <w:tcBorders>
              <w:top w:val="single" w:sz="4" w:space="0" w:color="auto"/>
            </w:tcBorders>
          </w:tcPr>
          <w:p w14:paraId="656DB8E1"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81</w:t>
            </w:r>
          </w:p>
        </w:tc>
        <w:tc>
          <w:tcPr>
            <w:tcW w:w="1659" w:type="dxa"/>
            <w:tcBorders>
              <w:top w:val="single" w:sz="4" w:space="0" w:color="auto"/>
            </w:tcBorders>
          </w:tcPr>
          <w:p w14:paraId="3D5A8620"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103</w:t>
            </w:r>
          </w:p>
        </w:tc>
        <w:tc>
          <w:tcPr>
            <w:tcW w:w="1660" w:type="dxa"/>
            <w:tcBorders>
              <w:top w:val="single" w:sz="4" w:space="0" w:color="auto"/>
            </w:tcBorders>
          </w:tcPr>
          <w:p w14:paraId="54D8532A"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2FB20B7A" w14:textId="77777777" w:rsidTr="00EF42DB">
        <w:tc>
          <w:tcPr>
            <w:tcW w:w="1659" w:type="dxa"/>
          </w:tcPr>
          <w:p w14:paraId="08FC48C0"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Age (Year)</w:t>
            </w:r>
          </w:p>
        </w:tc>
        <w:tc>
          <w:tcPr>
            <w:tcW w:w="1659" w:type="dxa"/>
          </w:tcPr>
          <w:p w14:paraId="517F941D"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59" w:type="dxa"/>
          </w:tcPr>
          <w:p w14:paraId="2661F660"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59" w:type="dxa"/>
          </w:tcPr>
          <w:p w14:paraId="1735928D"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60" w:type="dxa"/>
          </w:tcPr>
          <w:p w14:paraId="7D43DE3F"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p&lt;0.01</w:t>
            </w:r>
          </w:p>
        </w:tc>
      </w:tr>
      <w:tr w:rsidR="009148B1" w:rsidRPr="009148B1" w14:paraId="545CA18D" w14:textId="77777777" w:rsidTr="00EF42DB">
        <w:tc>
          <w:tcPr>
            <w:tcW w:w="1659" w:type="dxa"/>
          </w:tcPr>
          <w:p w14:paraId="5C6F1312"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Median</w:t>
            </w:r>
          </w:p>
        </w:tc>
        <w:tc>
          <w:tcPr>
            <w:tcW w:w="1659" w:type="dxa"/>
          </w:tcPr>
          <w:p w14:paraId="2C3B8BE2"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8.1 (6.0-11.0)</w:t>
            </w:r>
          </w:p>
        </w:tc>
        <w:tc>
          <w:tcPr>
            <w:tcW w:w="1659" w:type="dxa"/>
          </w:tcPr>
          <w:p w14:paraId="037217A0"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7.3 (5.0-10.0</w:t>
            </w:r>
          </w:p>
        </w:tc>
        <w:tc>
          <w:tcPr>
            <w:tcW w:w="1659" w:type="dxa"/>
          </w:tcPr>
          <w:p w14:paraId="4B010348"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5.0 (3.0-8.0)</w:t>
            </w:r>
          </w:p>
        </w:tc>
        <w:tc>
          <w:tcPr>
            <w:tcW w:w="1660" w:type="dxa"/>
          </w:tcPr>
          <w:p w14:paraId="00E7B6CE"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38EF625C" w14:textId="77777777" w:rsidTr="00EF42DB">
        <w:tc>
          <w:tcPr>
            <w:tcW w:w="1659" w:type="dxa"/>
          </w:tcPr>
          <w:p w14:paraId="00AE7838"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Range</w:t>
            </w:r>
          </w:p>
        </w:tc>
        <w:tc>
          <w:tcPr>
            <w:tcW w:w="1659" w:type="dxa"/>
          </w:tcPr>
          <w:p w14:paraId="40469AB1"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2.0-48.2</w:t>
            </w:r>
          </w:p>
        </w:tc>
        <w:tc>
          <w:tcPr>
            <w:tcW w:w="1659" w:type="dxa"/>
          </w:tcPr>
          <w:p w14:paraId="6FA9416E"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1.0-23.0</w:t>
            </w:r>
          </w:p>
        </w:tc>
        <w:tc>
          <w:tcPr>
            <w:tcW w:w="1659" w:type="dxa"/>
          </w:tcPr>
          <w:p w14:paraId="4B40090E"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1.2-49.6</w:t>
            </w:r>
          </w:p>
        </w:tc>
        <w:tc>
          <w:tcPr>
            <w:tcW w:w="1660" w:type="dxa"/>
          </w:tcPr>
          <w:p w14:paraId="72A82DBB"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3540D8E1" w14:textId="77777777" w:rsidTr="00EF42DB">
        <w:tc>
          <w:tcPr>
            <w:tcW w:w="1659" w:type="dxa"/>
          </w:tcPr>
          <w:p w14:paraId="529D2DFA"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Age Group</w:t>
            </w:r>
          </w:p>
        </w:tc>
        <w:tc>
          <w:tcPr>
            <w:tcW w:w="1659" w:type="dxa"/>
          </w:tcPr>
          <w:p w14:paraId="72F99F64"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59" w:type="dxa"/>
          </w:tcPr>
          <w:p w14:paraId="6D64BBC8"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59" w:type="dxa"/>
          </w:tcPr>
          <w:p w14:paraId="4C84DC9E"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60" w:type="dxa"/>
          </w:tcPr>
          <w:p w14:paraId="20108812"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p&lt;0.01</w:t>
            </w:r>
          </w:p>
        </w:tc>
      </w:tr>
      <w:tr w:rsidR="009148B1" w:rsidRPr="009148B1" w14:paraId="755F3D08" w14:textId="77777777" w:rsidTr="00EF42DB">
        <w:tc>
          <w:tcPr>
            <w:tcW w:w="1659" w:type="dxa"/>
          </w:tcPr>
          <w:p w14:paraId="13CD0E60"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0-3</w:t>
            </w:r>
          </w:p>
        </w:tc>
        <w:tc>
          <w:tcPr>
            <w:tcW w:w="1659" w:type="dxa"/>
          </w:tcPr>
          <w:p w14:paraId="3CAD3C29"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8 (3.0%)</w:t>
            </w:r>
          </w:p>
        </w:tc>
        <w:tc>
          <w:tcPr>
            <w:tcW w:w="1659" w:type="dxa"/>
          </w:tcPr>
          <w:p w14:paraId="5CE9CF14"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7 (8.6%)</w:t>
            </w:r>
          </w:p>
        </w:tc>
        <w:tc>
          <w:tcPr>
            <w:tcW w:w="1659" w:type="dxa"/>
          </w:tcPr>
          <w:p w14:paraId="10BA1879"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18 (17.5%)</w:t>
            </w:r>
          </w:p>
        </w:tc>
        <w:tc>
          <w:tcPr>
            <w:tcW w:w="1660" w:type="dxa"/>
          </w:tcPr>
          <w:p w14:paraId="4E498424"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23DEE9A1" w14:textId="77777777" w:rsidTr="00EF42DB">
        <w:tc>
          <w:tcPr>
            <w:tcW w:w="1659" w:type="dxa"/>
          </w:tcPr>
          <w:p w14:paraId="61B54195"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4-10</w:t>
            </w:r>
          </w:p>
        </w:tc>
        <w:tc>
          <w:tcPr>
            <w:tcW w:w="1659" w:type="dxa"/>
          </w:tcPr>
          <w:p w14:paraId="01A1DDB4"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148 (55.0%)</w:t>
            </w:r>
          </w:p>
        </w:tc>
        <w:tc>
          <w:tcPr>
            <w:tcW w:w="1659" w:type="dxa"/>
          </w:tcPr>
          <w:p w14:paraId="39C2FD6F"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49 (60.5%)</w:t>
            </w:r>
          </w:p>
        </w:tc>
        <w:tc>
          <w:tcPr>
            <w:tcW w:w="1659" w:type="dxa"/>
          </w:tcPr>
          <w:p w14:paraId="08816A43"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65 (63.1%)</w:t>
            </w:r>
          </w:p>
        </w:tc>
        <w:tc>
          <w:tcPr>
            <w:tcW w:w="1660" w:type="dxa"/>
          </w:tcPr>
          <w:p w14:paraId="67D65099"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0B6C3754" w14:textId="77777777" w:rsidTr="00EF42DB">
        <w:tc>
          <w:tcPr>
            <w:tcW w:w="1659" w:type="dxa"/>
          </w:tcPr>
          <w:p w14:paraId="39B59C7B"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10-17</w:t>
            </w:r>
          </w:p>
        </w:tc>
        <w:tc>
          <w:tcPr>
            <w:tcW w:w="1659" w:type="dxa"/>
          </w:tcPr>
          <w:p w14:paraId="0740F01B"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91 (33.8%)</w:t>
            </w:r>
          </w:p>
        </w:tc>
        <w:tc>
          <w:tcPr>
            <w:tcW w:w="1659" w:type="dxa"/>
          </w:tcPr>
          <w:p w14:paraId="6147F1FB"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20 (24.7%)</w:t>
            </w:r>
          </w:p>
        </w:tc>
        <w:tc>
          <w:tcPr>
            <w:tcW w:w="1659" w:type="dxa"/>
          </w:tcPr>
          <w:p w14:paraId="201B108A"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11 (10.7%)</w:t>
            </w:r>
          </w:p>
        </w:tc>
        <w:tc>
          <w:tcPr>
            <w:tcW w:w="1660" w:type="dxa"/>
          </w:tcPr>
          <w:p w14:paraId="49563641"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6F1D4482" w14:textId="77777777" w:rsidTr="00EF42DB">
        <w:tc>
          <w:tcPr>
            <w:tcW w:w="1659" w:type="dxa"/>
          </w:tcPr>
          <w:p w14:paraId="51935194"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18+</w:t>
            </w:r>
          </w:p>
        </w:tc>
        <w:tc>
          <w:tcPr>
            <w:tcW w:w="1659" w:type="dxa"/>
          </w:tcPr>
          <w:p w14:paraId="1BAD8039"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12 (4.5%)</w:t>
            </w:r>
          </w:p>
        </w:tc>
        <w:tc>
          <w:tcPr>
            <w:tcW w:w="1659" w:type="dxa"/>
          </w:tcPr>
          <w:p w14:paraId="6A1CBBEF"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2 (2.5%)</w:t>
            </w:r>
          </w:p>
        </w:tc>
        <w:tc>
          <w:tcPr>
            <w:tcW w:w="1659" w:type="dxa"/>
          </w:tcPr>
          <w:p w14:paraId="6B62A6A0"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4 (3.9%)</w:t>
            </w:r>
          </w:p>
        </w:tc>
        <w:tc>
          <w:tcPr>
            <w:tcW w:w="1660" w:type="dxa"/>
          </w:tcPr>
          <w:p w14:paraId="429F2A0E"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29EC9242" w14:textId="77777777" w:rsidTr="00EF42DB">
        <w:tc>
          <w:tcPr>
            <w:tcW w:w="1659" w:type="dxa"/>
          </w:tcPr>
          <w:p w14:paraId="50DA1EDE"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NA</w:t>
            </w:r>
          </w:p>
        </w:tc>
        <w:tc>
          <w:tcPr>
            <w:tcW w:w="1659" w:type="dxa"/>
          </w:tcPr>
          <w:p w14:paraId="5ADF1D5D"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10 (3.7%)</w:t>
            </w:r>
          </w:p>
        </w:tc>
        <w:tc>
          <w:tcPr>
            <w:tcW w:w="1659" w:type="dxa"/>
          </w:tcPr>
          <w:p w14:paraId="3C765625"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3 (3.7%)</w:t>
            </w:r>
          </w:p>
        </w:tc>
        <w:tc>
          <w:tcPr>
            <w:tcW w:w="1659" w:type="dxa"/>
          </w:tcPr>
          <w:p w14:paraId="22D3AFB8"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5 (4.9%)</w:t>
            </w:r>
          </w:p>
        </w:tc>
        <w:tc>
          <w:tcPr>
            <w:tcW w:w="1660" w:type="dxa"/>
          </w:tcPr>
          <w:p w14:paraId="2E08FD5D"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327A8759" w14:textId="77777777" w:rsidTr="00EF42DB">
        <w:tc>
          <w:tcPr>
            <w:tcW w:w="1659" w:type="dxa"/>
          </w:tcPr>
          <w:p w14:paraId="73B3ADAA"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Gender</w:t>
            </w:r>
          </w:p>
        </w:tc>
        <w:tc>
          <w:tcPr>
            <w:tcW w:w="1659" w:type="dxa"/>
          </w:tcPr>
          <w:p w14:paraId="4F1A3BBB"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59" w:type="dxa"/>
          </w:tcPr>
          <w:p w14:paraId="3C726135"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59" w:type="dxa"/>
          </w:tcPr>
          <w:p w14:paraId="0B07F3CA"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60" w:type="dxa"/>
          </w:tcPr>
          <w:p w14:paraId="4B205570"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P=0.80</w:t>
            </w:r>
          </w:p>
        </w:tc>
      </w:tr>
      <w:tr w:rsidR="009148B1" w:rsidRPr="009148B1" w14:paraId="12F2980D" w14:textId="77777777" w:rsidTr="00EF42DB">
        <w:tc>
          <w:tcPr>
            <w:tcW w:w="1659" w:type="dxa"/>
          </w:tcPr>
          <w:p w14:paraId="21A73D1F"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M</w:t>
            </w:r>
          </w:p>
        </w:tc>
        <w:tc>
          <w:tcPr>
            <w:tcW w:w="1659" w:type="dxa"/>
          </w:tcPr>
          <w:p w14:paraId="27E0954C"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178 (66.2%)</w:t>
            </w:r>
          </w:p>
        </w:tc>
        <w:tc>
          <w:tcPr>
            <w:tcW w:w="1659" w:type="dxa"/>
          </w:tcPr>
          <w:p w14:paraId="6DCC3F93"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52 (64.2%)</w:t>
            </w:r>
          </w:p>
        </w:tc>
        <w:tc>
          <w:tcPr>
            <w:tcW w:w="1659" w:type="dxa"/>
          </w:tcPr>
          <w:p w14:paraId="4FAFE8BB"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74 (71.8%)</w:t>
            </w:r>
          </w:p>
        </w:tc>
        <w:tc>
          <w:tcPr>
            <w:tcW w:w="1660" w:type="dxa"/>
          </w:tcPr>
          <w:p w14:paraId="2A80315D"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05B7E7FB" w14:textId="77777777" w:rsidTr="00EF42DB">
        <w:tc>
          <w:tcPr>
            <w:tcW w:w="1659" w:type="dxa"/>
          </w:tcPr>
          <w:p w14:paraId="7FBFE756"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F</w:t>
            </w:r>
          </w:p>
        </w:tc>
        <w:tc>
          <w:tcPr>
            <w:tcW w:w="1659" w:type="dxa"/>
          </w:tcPr>
          <w:p w14:paraId="001ACC6D"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76 (28.3%)</w:t>
            </w:r>
          </w:p>
        </w:tc>
        <w:tc>
          <w:tcPr>
            <w:tcW w:w="1659" w:type="dxa"/>
          </w:tcPr>
          <w:p w14:paraId="1F212094"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25 (30.9%)</w:t>
            </w:r>
          </w:p>
        </w:tc>
        <w:tc>
          <w:tcPr>
            <w:tcW w:w="1659" w:type="dxa"/>
          </w:tcPr>
          <w:p w14:paraId="54EBA356"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24 (23.3%)</w:t>
            </w:r>
          </w:p>
        </w:tc>
        <w:tc>
          <w:tcPr>
            <w:tcW w:w="1660" w:type="dxa"/>
          </w:tcPr>
          <w:p w14:paraId="6EE5ECBC"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1B381C26" w14:textId="77777777" w:rsidTr="00EF42DB">
        <w:tc>
          <w:tcPr>
            <w:tcW w:w="1659" w:type="dxa"/>
          </w:tcPr>
          <w:p w14:paraId="7B4B2913"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NA</w:t>
            </w:r>
          </w:p>
        </w:tc>
        <w:tc>
          <w:tcPr>
            <w:tcW w:w="1659" w:type="dxa"/>
          </w:tcPr>
          <w:p w14:paraId="0D73B425"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15 (5.6%)</w:t>
            </w:r>
          </w:p>
        </w:tc>
        <w:tc>
          <w:tcPr>
            <w:tcW w:w="1659" w:type="dxa"/>
          </w:tcPr>
          <w:p w14:paraId="2AD294D5"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4 (4.9%)</w:t>
            </w:r>
          </w:p>
        </w:tc>
        <w:tc>
          <w:tcPr>
            <w:tcW w:w="1659" w:type="dxa"/>
          </w:tcPr>
          <w:p w14:paraId="6BA47B5B"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5 (4.9%)</w:t>
            </w:r>
          </w:p>
        </w:tc>
        <w:tc>
          <w:tcPr>
            <w:tcW w:w="1660" w:type="dxa"/>
          </w:tcPr>
          <w:p w14:paraId="201D32F1"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50B70033" w14:textId="77777777" w:rsidTr="00EF42DB">
        <w:tc>
          <w:tcPr>
            <w:tcW w:w="1659" w:type="dxa"/>
          </w:tcPr>
          <w:p w14:paraId="529C940D"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Histology</w:t>
            </w:r>
          </w:p>
        </w:tc>
        <w:tc>
          <w:tcPr>
            <w:tcW w:w="1659" w:type="dxa"/>
          </w:tcPr>
          <w:p w14:paraId="5BE8A40B"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59" w:type="dxa"/>
          </w:tcPr>
          <w:p w14:paraId="06EA145D"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59" w:type="dxa"/>
          </w:tcPr>
          <w:p w14:paraId="5D1BE982"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60" w:type="dxa"/>
          </w:tcPr>
          <w:p w14:paraId="12DA0323"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P=0.01</w:t>
            </w:r>
          </w:p>
        </w:tc>
      </w:tr>
      <w:tr w:rsidR="009148B1" w:rsidRPr="009148B1" w14:paraId="65E5AB7E" w14:textId="77777777" w:rsidTr="00EF42DB">
        <w:tc>
          <w:tcPr>
            <w:tcW w:w="1659" w:type="dxa"/>
          </w:tcPr>
          <w:p w14:paraId="178F7DFF"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Classic</w:t>
            </w:r>
          </w:p>
        </w:tc>
        <w:tc>
          <w:tcPr>
            <w:tcW w:w="1659" w:type="dxa"/>
          </w:tcPr>
          <w:p w14:paraId="76E14E77"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166 (61.7%)</w:t>
            </w:r>
          </w:p>
        </w:tc>
        <w:tc>
          <w:tcPr>
            <w:tcW w:w="1659" w:type="dxa"/>
          </w:tcPr>
          <w:p w14:paraId="3C8C193A"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47 (58.0%)</w:t>
            </w:r>
          </w:p>
        </w:tc>
        <w:tc>
          <w:tcPr>
            <w:tcW w:w="1659" w:type="dxa"/>
          </w:tcPr>
          <w:p w14:paraId="65B0926C"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48 (46.6%)</w:t>
            </w:r>
          </w:p>
        </w:tc>
        <w:tc>
          <w:tcPr>
            <w:tcW w:w="1660" w:type="dxa"/>
          </w:tcPr>
          <w:p w14:paraId="41EE1698"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16BB5A5A" w14:textId="77777777" w:rsidTr="00EF42DB">
        <w:tc>
          <w:tcPr>
            <w:tcW w:w="1659" w:type="dxa"/>
          </w:tcPr>
          <w:p w14:paraId="36F0FEA7"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Desmoplastic</w:t>
            </w:r>
          </w:p>
        </w:tc>
        <w:tc>
          <w:tcPr>
            <w:tcW w:w="1659" w:type="dxa"/>
          </w:tcPr>
          <w:p w14:paraId="56662C80"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19 (7.1%)</w:t>
            </w:r>
          </w:p>
        </w:tc>
        <w:tc>
          <w:tcPr>
            <w:tcW w:w="1659" w:type="dxa"/>
          </w:tcPr>
          <w:p w14:paraId="28C6108E"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7 (8.6%)</w:t>
            </w:r>
          </w:p>
        </w:tc>
        <w:tc>
          <w:tcPr>
            <w:tcW w:w="1659" w:type="dxa"/>
          </w:tcPr>
          <w:p w14:paraId="5175DA32"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5 (4.9%)</w:t>
            </w:r>
          </w:p>
        </w:tc>
        <w:tc>
          <w:tcPr>
            <w:tcW w:w="1660" w:type="dxa"/>
          </w:tcPr>
          <w:p w14:paraId="31409C5D"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4E552C85" w14:textId="77777777" w:rsidTr="00EF42DB">
        <w:tc>
          <w:tcPr>
            <w:tcW w:w="1659" w:type="dxa"/>
          </w:tcPr>
          <w:p w14:paraId="2C85FBDF"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LCA</w:t>
            </w:r>
          </w:p>
        </w:tc>
        <w:tc>
          <w:tcPr>
            <w:tcW w:w="1659" w:type="dxa"/>
          </w:tcPr>
          <w:p w14:paraId="2B1C774D"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17 (6.3%)</w:t>
            </w:r>
          </w:p>
        </w:tc>
        <w:tc>
          <w:tcPr>
            <w:tcW w:w="1659" w:type="dxa"/>
          </w:tcPr>
          <w:p w14:paraId="7E197DEA"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8 (9.9%)</w:t>
            </w:r>
          </w:p>
        </w:tc>
        <w:tc>
          <w:tcPr>
            <w:tcW w:w="1659" w:type="dxa"/>
          </w:tcPr>
          <w:p w14:paraId="33007C02"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20 (19.4%)</w:t>
            </w:r>
          </w:p>
        </w:tc>
        <w:tc>
          <w:tcPr>
            <w:tcW w:w="1660" w:type="dxa"/>
          </w:tcPr>
          <w:p w14:paraId="34A23843"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03006876" w14:textId="77777777" w:rsidTr="00EF42DB">
        <w:tc>
          <w:tcPr>
            <w:tcW w:w="1659" w:type="dxa"/>
          </w:tcPr>
          <w:p w14:paraId="3499BD6A"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MBEN</w:t>
            </w:r>
          </w:p>
        </w:tc>
        <w:tc>
          <w:tcPr>
            <w:tcW w:w="1659" w:type="dxa"/>
          </w:tcPr>
          <w:p w14:paraId="09044FD9"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6 (2.2%)</w:t>
            </w:r>
          </w:p>
        </w:tc>
        <w:tc>
          <w:tcPr>
            <w:tcW w:w="1659" w:type="dxa"/>
          </w:tcPr>
          <w:p w14:paraId="0577DE20"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2 (2.5%)</w:t>
            </w:r>
          </w:p>
        </w:tc>
        <w:tc>
          <w:tcPr>
            <w:tcW w:w="1659" w:type="dxa"/>
          </w:tcPr>
          <w:p w14:paraId="62911E21"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0 (0.0%)</w:t>
            </w:r>
          </w:p>
        </w:tc>
        <w:tc>
          <w:tcPr>
            <w:tcW w:w="1660" w:type="dxa"/>
          </w:tcPr>
          <w:p w14:paraId="743DD424"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096FBCD5" w14:textId="77777777" w:rsidTr="00EF42DB">
        <w:tc>
          <w:tcPr>
            <w:tcW w:w="1659" w:type="dxa"/>
          </w:tcPr>
          <w:p w14:paraId="41B42240"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NA</w:t>
            </w:r>
          </w:p>
        </w:tc>
        <w:tc>
          <w:tcPr>
            <w:tcW w:w="1659" w:type="dxa"/>
          </w:tcPr>
          <w:p w14:paraId="3692D19C"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61 (22.7%)</w:t>
            </w:r>
          </w:p>
        </w:tc>
        <w:tc>
          <w:tcPr>
            <w:tcW w:w="1659" w:type="dxa"/>
          </w:tcPr>
          <w:p w14:paraId="39802EC8"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17 (21.0%)</w:t>
            </w:r>
          </w:p>
        </w:tc>
        <w:tc>
          <w:tcPr>
            <w:tcW w:w="1659" w:type="dxa"/>
          </w:tcPr>
          <w:p w14:paraId="058F71B9"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30 (29.1%)</w:t>
            </w:r>
          </w:p>
        </w:tc>
        <w:tc>
          <w:tcPr>
            <w:tcW w:w="1660" w:type="dxa"/>
          </w:tcPr>
          <w:p w14:paraId="6B0A691F"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37B724AA" w14:textId="77777777" w:rsidTr="00EF42DB">
        <w:tc>
          <w:tcPr>
            <w:tcW w:w="1659" w:type="dxa"/>
          </w:tcPr>
          <w:p w14:paraId="1EABE084"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Metastasis</w:t>
            </w:r>
          </w:p>
        </w:tc>
        <w:tc>
          <w:tcPr>
            <w:tcW w:w="1659" w:type="dxa"/>
          </w:tcPr>
          <w:p w14:paraId="42D0F714"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59" w:type="dxa"/>
          </w:tcPr>
          <w:p w14:paraId="65A38CE9"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59" w:type="dxa"/>
          </w:tcPr>
          <w:p w14:paraId="4E61ADE5"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60" w:type="dxa"/>
          </w:tcPr>
          <w:p w14:paraId="14590F93"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P=0.48</w:t>
            </w:r>
          </w:p>
        </w:tc>
      </w:tr>
      <w:tr w:rsidR="009148B1" w:rsidRPr="009148B1" w14:paraId="5F306A1C" w14:textId="77777777" w:rsidTr="00EF42DB">
        <w:tc>
          <w:tcPr>
            <w:tcW w:w="1659" w:type="dxa"/>
          </w:tcPr>
          <w:p w14:paraId="08065252"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M0</w:t>
            </w:r>
          </w:p>
        </w:tc>
        <w:tc>
          <w:tcPr>
            <w:tcW w:w="1659" w:type="dxa"/>
          </w:tcPr>
          <w:p w14:paraId="7590CEFB"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130 (48.3%)</w:t>
            </w:r>
          </w:p>
        </w:tc>
        <w:tc>
          <w:tcPr>
            <w:tcW w:w="1659" w:type="dxa"/>
          </w:tcPr>
          <w:p w14:paraId="4F61600E"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40 (49.4%)</w:t>
            </w:r>
          </w:p>
        </w:tc>
        <w:tc>
          <w:tcPr>
            <w:tcW w:w="1659" w:type="dxa"/>
          </w:tcPr>
          <w:p w14:paraId="65AED013"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44 (42.7%)</w:t>
            </w:r>
          </w:p>
        </w:tc>
        <w:tc>
          <w:tcPr>
            <w:tcW w:w="1660" w:type="dxa"/>
          </w:tcPr>
          <w:p w14:paraId="7E7164AE"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14F68A11" w14:textId="77777777" w:rsidTr="00EF42DB">
        <w:tc>
          <w:tcPr>
            <w:tcW w:w="1659" w:type="dxa"/>
          </w:tcPr>
          <w:p w14:paraId="5F639A99"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M1</w:t>
            </w:r>
          </w:p>
        </w:tc>
        <w:tc>
          <w:tcPr>
            <w:tcW w:w="1659" w:type="dxa"/>
          </w:tcPr>
          <w:p w14:paraId="0B2EC50A"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76 (28.3%)</w:t>
            </w:r>
          </w:p>
        </w:tc>
        <w:tc>
          <w:tcPr>
            <w:tcW w:w="1659" w:type="dxa"/>
          </w:tcPr>
          <w:p w14:paraId="1C49C1DD"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28 (34.6%)</w:t>
            </w:r>
          </w:p>
        </w:tc>
        <w:tc>
          <w:tcPr>
            <w:tcW w:w="1659" w:type="dxa"/>
          </w:tcPr>
          <w:p w14:paraId="549EFBB9"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35 (34.0%)</w:t>
            </w:r>
          </w:p>
        </w:tc>
        <w:tc>
          <w:tcPr>
            <w:tcW w:w="1660" w:type="dxa"/>
          </w:tcPr>
          <w:p w14:paraId="722BCA23"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65D25166" w14:textId="77777777" w:rsidTr="00EF42DB">
        <w:tc>
          <w:tcPr>
            <w:tcW w:w="1659" w:type="dxa"/>
          </w:tcPr>
          <w:p w14:paraId="511B70A3"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NA</w:t>
            </w:r>
          </w:p>
        </w:tc>
        <w:tc>
          <w:tcPr>
            <w:tcW w:w="1659" w:type="dxa"/>
          </w:tcPr>
          <w:p w14:paraId="24BCFB7A"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63 (23.4%)</w:t>
            </w:r>
          </w:p>
        </w:tc>
        <w:tc>
          <w:tcPr>
            <w:tcW w:w="1659" w:type="dxa"/>
          </w:tcPr>
          <w:p w14:paraId="01083E22"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13 (16.0%)</w:t>
            </w:r>
          </w:p>
        </w:tc>
        <w:tc>
          <w:tcPr>
            <w:tcW w:w="1659" w:type="dxa"/>
          </w:tcPr>
          <w:p w14:paraId="3444446B"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24 (23.3%)</w:t>
            </w:r>
          </w:p>
        </w:tc>
        <w:tc>
          <w:tcPr>
            <w:tcW w:w="1660" w:type="dxa"/>
          </w:tcPr>
          <w:p w14:paraId="3A017AD7"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308A8333" w14:textId="77777777" w:rsidTr="00EF42DB">
        <w:tc>
          <w:tcPr>
            <w:tcW w:w="1659" w:type="dxa"/>
          </w:tcPr>
          <w:p w14:paraId="50899C8E"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Subtype</w:t>
            </w:r>
          </w:p>
        </w:tc>
        <w:tc>
          <w:tcPr>
            <w:tcW w:w="1659" w:type="dxa"/>
          </w:tcPr>
          <w:p w14:paraId="4A47E002"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59" w:type="dxa"/>
          </w:tcPr>
          <w:p w14:paraId="42698032"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59" w:type="dxa"/>
          </w:tcPr>
          <w:p w14:paraId="6467E557"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c>
          <w:tcPr>
            <w:tcW w:w="1660" w:type="dxa"/>
          </w:tcPr>
          <w:p w14:paraId="00D61905"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P&lt;0.01</w:t>
            </w:r>
          </w:p>
        </w:tc>
      </w:tr>
      <w:tr w:rsidR="009148B1" w:rsidRPr="009148B1" w14:paraId="14A5682F" w14:textId="77777777" w:rsidTr="00EF42DB">
        <w:tc>
          <w:tcPr>
            <w:tcW w:w="1659" w:type="dxa"/>
          </w:tcPr>
          <w:p w14:paraId="4CD7FFB6"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Group4β</w:t>
            </w:r>
          </w:p>
        </w:tc>
        <w:tc>
          <w:tcPr>
            <w:tcW w:w="1659" w:type="dxa"/>
          </w:tcPr>
          <w:p w14:paraId="1579D9B3"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106 (39.4%)</w:t>
            </w:r>
          </w:p>
        </w:tc>
        <w:tc>
          <w:tcPr>
            <w:tcW w:w="1659" w:type="dxa"/>
          </w:tcPr>
          <w:p w14:paraId="7EA16B76"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3 (3.7%)</w:t>
            </w:r>
          </w:p>
        </w:tc>
        <w:tc>
          <w:tcPr>
            <w:tcW w:w="1659" w:type="dxa"/>
          </w:tcPr>
          <w:p w14:paraId="11A479FE"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0 (0.0%)</w:t>
            </w:r>
          </w:p>
        </w:tc>
        <w:tc>
          <w:tcPr>
            <w:tcW w:w="1660" w:type="dxa"/>
          </w:tcPr>
          <w:p w14:paraId="6DE8BCF1"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4B44EEAA" w14:textId="77777777" w:rsidTr="00EF42DB">
        <w:tc>
          <w:tcPr>
            <w:tcW w:w="1659" w:type="dxa"/>
          </w:tcPr>
          <w:p w14:paraId="289A85A7"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Group4α</w:t>
            </w:r>
          </w:p>
        </w:tc>
        <w:tc>
          <w:tcPr>
            <w:tcW w:w="1659" w:type="dxa"/>
          </w:tcPr>
          <w:p w14:paraId="4B062272"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75 (27.9%)</w:t>
            </w:r>
          </w:p>
        </w:tc>
        <w:tc>
          <w:tcPr>
            <w:tcW w:w="1659" w:type="dxa"/>
          </w:tcPr>
          <w:p w14:paraId="456453E5"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20 (24.7%)</w:t>
            </w:r>
          </w:p>
        </w:tc>
        <w:tc>
          <w:tcPr>
            <w:tcW w:w="1659" w:type="dxa"/>
          </w:tcPr>
          <w:p w14:paraId="34F341EC"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 (1.0%)</w:t>
            </w:r>
          </w:p>
        </w:tc>
        <w:tc>
          <w:tcPr>
            <w:tcW w:w="1660" w:type="dxa"/>
          </w:tcPr>
          <w:p w14:paraId="7334CA61"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1FD7A2BD" w14:textId="77777777" w:rsidTr="00EF42DB">
        <w:tc>
          <w:tcPr>
            <w:tcW w:w="1659" w:type="dxa"/>
          </w:tcPr>
          <w:p w14:paraId="2E84BA50"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Group4γ</w:t>
            </w:r>
          </w:p>
        </w:tc>
        <w:tc>
          <w:tcPr>
            <w:tcW w:w="1659" w:type="dxa"/>
          </w:tcPr>
          <w:p w14:paraId="34EC5EA3"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86 (32.0%)</w:t>
            </w:r>
          </w:p>
        </w:tc>
        <w:tc>
          <w:tcPr>
            <w:tcW w:w="1659" w:type="dxa"/>
          </w:tcPr>
          <w:p w14:paraId="6AF7694E"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33 (40.7%)</w:t>
            </w:r>
          </w:p>
        </w:tc>
        <w:tc>
          <w:tcPr>
            <w:tcW w:w="1659" w:type="dxa"/>
          </w:tcPr>
          <w:p w14:paraId="308FCA3A"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0 (0.0%)</w:t>
            </w:r>
          </w:p>
        </w:tc>
        <w:tc>
          <w:tcPr>
            <w:tcW w:w="1660" w:type="dxa"/>
          </w:tcPr>
          <w:p w14:paraId="174DD456"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68E0B47B" w14:textId="77777777" w:rsidTr="00EF42DB">
        <w:tc>
          <w:tcPr>
            <w:tcW w:w="1659" w:type="dxa"/>
          </w:tcPr>
          <w:p w14:paraId="2E8AE8AE"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Group3β</w:t>
            </w:r>
          </w:p>
        </w:tc>
        <w:tc>
          <w:tcPr>
            <w:tcW w:w="1659" w:type="dxa"/>
          </w:tcPr>
          <w:p w14:paraId="220D21A5"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2 (0.7%)</w:t>
            </w:r>
          </w:p>
        </w:tc>
        <w:tc>
          <w:tcPr>
            <w:tcW w:w="1659" w:type="dxa"/>
          </w:tcPr>
          <w:p w14:paraId="6CD086E3"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16 (19.8%)</w:t>
            </w:r>
          </w:p>
        </w:tc>
        <w:tc>
          <w:tcPr>
            <w:tcW w:w="1659" w:type="dxa"/>
          </w:tcPr>
          <w:p w14:paraId="16D3AB67"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17 (16.5%)</w:t>
            </w:r>
          </w:p>
        </w:tc>
        <w:tc>
          <w:tcPr>
            <w:tcW w:w="1660" w:type="dxa"/>
          </w:tcPr>
          <w:p w14:paraId="5163487D"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1553713E" w14:textId="77777777" w:rsidTr="00EF42DB">
        <w:tc>
          <w:tcPr>
            <w:tcW w:w="1659" w:type="dxa"/>
          </w:tcPr>
          <w:p w14:paraId="0F78C10E"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Groupα</w:t>
            </w:r>
          </w:p>
        </w:tc>
        <w:tc>
          <w:tcPr>
            <w:tcW w:w="1659" w:type="dxa"/>
          </w:tcPr>
          <w:p w14:paraId="2692FEEB"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0 (0.0%)</w:t>
            </w:r>
          </w:p>
        </w:tc>
        <w:tc>
          <w:tcPr>
            <w:tcW w:w="1659" w:type="dxa"/>
          </w:tcPr>
          <w:p w14:paraId="704A4620"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9 (11.1%)</w:t>
            </w:r>
          </w:p>
        </w:tc>
        <w:tc>
          <w:tcPr>
            <w:tcW w:w="1659" w:type="dxa"/>
          </w:tcPr>
          <w:p w14:paraId="6C7121C6"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58 (56.3%)</w:t>
            </w:r>
          </w:p>
        </w:tc>
        <w:tc>
          <w:tcPr>
            <w:tcW w:w="1660" w:type="dxa"/>
          </w:tcPr>
          <w:p w14:paraId="4B29955A"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r w:rsidR="009148B1" w:rsidRPr="009148B1" w14:paraId="7576F7CC" w14:textId="77777777" w:rsidTr="00EF42DB">
        <w:tc>
          <w:tcPr>
            <w:tcW w:w="1659" w:type="dxa"/>
            <w:tcBorders>
              <w:bottom w:val="single" w:sz="4" w:space="0" w:color="auto"/>
            </w:tcBorders>
          </w:tcPr>
          <w:p w14:paraId="3D2C1F4E" w14:textId="77777777" w:rsidR="009148B1" w:rsidRPr="009148B1" w:rsidRDefault="009148B1" w:rsidP="009148B1">
            <w:pPr>
              <w:widowControl w:val="0"/>
              <w:spacing w:after="0" w:line="240" w:lineRule="auto"/>
              <w:jc w:val="center"/>
              <w:rPr>
                <w:rFonts w:ascii="Arial" w:eastAsiaTheme="minorEastAsia" w:hAnsi="Arial" w:cs="Arial"/>
                <w:kern w:val="2"/>
                <w:sz w:val="20"/>
                <w:szCs w:val="20"/>
                <w:lang w:eastAsia="zh-CN"/>
              </w:rPr>
            </w:pPr>
            <w:proofErr w:type="spellStart"/>
            <w:r w:rsidRPr="009148B1">
              <w:rPr>
                <w:rFonts w:ascii="Arial" w:eastAsiaTheme="minorEastAsia" w:hAnsi="Arial" w:cs="Arial"/>
                <w:kern w:val="2"/>
                <w:sz w:val="20"/>
                <w:szCs w:val="20"/>
                <w:lang w:eastAsia="zh-CN"/>
              </w:rPr>
              <w:t>Groupγ</w:t>
            </w:r>
            <w:proofErr w:type="spellEnd"/>
          </w:p>
        </w:tc>
        <w:tc>
          <w:tcPr>
            <w:tcW w:w="1659" w:type="dxa"/>
            <w:tcBorders>
              <w:bottom w:val="single" w:sz="4" w:space="0" w:color="auto"/>
            </w:tcBorders>
          </w:tcPr>
          <w:p w14:paraId="60B9CD9F"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0 (0.0%)</w:t>
            </w:r>
          </w:p>
        </w:tc>
        <w:tc>
          <w:tcPr>
            <w:tcW w:w="1659" w:type="dxa"/>
            <w:tcBorders>
              <w:bottom w:val="single" w:sz="4" w:space="0" w:color="auto"/>
            </w:tcBorders>
          </w:tcPr>
          <w:p w14:paraId="5312483E"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0 (0.0%)</w:t>
            </w:r>
          </w:p>
        </w:tc>
        <w:tc>
          <w:tcPr>
            <w:tcW w:w="1659" w:type="dxa"/>
            <w:tcBorders>
              <w:bottom w:val="single" w:sz="4" w:space="0" w:color="auto"/>
            </w:tcBorders>
          </w:tcPr>
          <w:p w14:paraId="7F6A598C"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r w:rsidRPr="009148B1">
              <w:rPr>
                <w:rFonts w:ascii="Arial" w:eastAsiaTheme="minorEastAsia" w:hAnsi="Arial" w:cs="Arial"/>
                <w:kern w:val="2"/>
                <w:sz w:val="20"/>
                <w:szCs w:val="20"/>
                <w:lang w:eastAsia="zh-CN"/>
              </w:rPr>
              <w:t>27 (26.2%)</w:t>
            </w:r>
          </w:p>
        </w:tc>
        <w:tc>
          <w:tcPr>
            <w:tcW w:w="1660" w:type="dxa"/>
            <w:tcBorders>
              <w:bottom w:val="single" w:sz="4" w:space="0" w:color="auto"/>
            </w:tcBorders>
          </w:tcPr>
          <w:p w14:paraId="2DFA46B2" w14:textId="77777777" w:rsidR="009148B1" w:rsidRPr="009148B1" w:rsidRDefault="009148B1" w:rsidP="009148B1">
            <w:pPr>
              <w:widowControl w:val="0"/>
              <w:spacing w:after="0" w:line="240" w:lineRule="auto"/>
              <w:jc w:val="both"/>
              <w:rPr>
                <w:rFonts w:ascii="Arial" w:eastAsiaTheme="minorEastAsia" w:hAnsi="Arial" w:cs="Arial"/>
                <w:kern w:val="2"/>
                <w:sz w:val="20"/>
                <w:szCs w:val="20"/>
                <w:lang w:eastAsia="zh-CN"/>
              </w:rPr>
            </w:pPr>
          </w:p>
        </w:tc>
      </w:tr>
    </w:tbl>
    <w:p w14:paraId="5834FE62" w14:textId="77777777" w:rsidR="009148B1" w:rsidRPr="00C12FBD" w:rsidRDefault="009148B1" w:rsidP="009148B1">
      <w:pPr>
        <w:rPr>
          <w:rFonts w:ascii="Times New Roman" w:hAnsi="Times New Roman" w:cs="Times New Roman"/>
        </w:rPr>
      </w:pPr>
    </w:p>
    <w:p w14:paraId="3E802F65" w14:textId="77777777" w:rsidR="009148B1" w:rsidRDefault="009148B1">
      <w:pPr>
        <w:spacing w:after="0" w:line="240" w:lineRule="auto"/>
        <w:rPr>
          <w:rFonts w:ascii="Arial" w:hAnsi="Arial" w:cs="Arial"/>
          <w:sz w:val="20"/>
          <w:szCs w:val="20"/>
          <w:lang w:eastAsia="zh-CN"/>
        </w:rPr>
      </w:pPr>
    </w:p>
    <w:p w14:paraId="0F59B7A6" w14:textId="77777777" w:rsidR="005F0C53" w:rsidRDefault="005F0C53">
      <w:pPr>
        <w:spacing w:after="0" w:line="240" w:lineRule="auto"/>
        <w:rPr>
          <w:rFonts w:ascii="Arial" w:hAnsi="Arial" w:cs="Arial"/>
          <w:sz w:val="20"/>
          <w:szCs w:val="20"/>
          <w:lang w:eastAsia="zh-CN"/>
        </w:rPr>
      </w:pPr>
    </w:p>
    <w:p w14:paraId="44D08BD9" w14:textId="77777777" w:rsidR="009148B1" w:rsidRDefault="009148B1">
      <w:pPr>
        <w:spacing w:after="0" w:line="240" w:lineRule="auto"/>
        <w:rPr>
          <w:rFonts w:ascii="Arial" w:hAnsi="Arial" w:cs="Arial"/>
          <w:sz w:val="20"/>
          <w:szCs w:val="20"/>
          <w:lang w:eastAsia="zh-CN"/>
        </w:rPr>
      </w:pPr>
    </w:p>
    <w:p w14:paraId="69C9A2F7" w14:textId="77777777" w:rsidR="009148B1" w:rsidRDefault="009148B1">
      <w:pPr>
        <w:spacing w:after="0" w:line="240" w:lineRule="auto"/>
        <w:rPr>
          <w:rFonts w:ascii="Arial" w:hAnsi="Arial" w:cs="Arial"/>
          <w:sz w:val="20"/>
          <w:szCs w:val="20"/>
          <w:lang w:eastAsia="zh-CN"/>
        </w:rPr>
      </w:pPr>
    </w:p>
    <w:p w14:paraId="2FCC8D1F" w14:textId="77777777" w:rsidR="009148B1" w:rsidRDefault="009148B1">
      <w:pPr>
        <w:spacing w:after="0" w:line="240" w:lineRule="auto"/>
        <w:rPr>
          <w:rFonts w:ascii="Arial" w:hAnsi="Arial" w:cs="Arial"/>
          <w:sz w:val="20"/>
          <w:szCs w:val="20"/>
          <w:lang w:eastAsia="zh-CN"/>
        </w:rPr>
      </w:pPr>
    </w:p>
    <w:p w14:paraId="4786944A" w14:textId="77777777" w:rsidR="009148B1" w:rsidRPr="005F0C53" w:rsidRDefault="009148B1">
      <w:pPr>
        <w:spacing w:after="0" w:line="240" w:lineRule="auto"/>
        <w:rPr>
          <w:rFonts w:ascii="Arial" w:hAnsi="Arial" w:cs="Arial"/>
          <w:sz w:val="20"/>
          <w:szCs w:val="20"/>
          <w:lang w:eastAsia="zh-CN"/>
        </w:rPr>
      </w:pPr>
    </w:p>
    <w:p w14:paraId="7A8979D7" w14:textId="4F73E8DA" w:rsidR="005F0C53" w:rsidRPr="00BC4834" w:rsidRDefault="005F0C53" w:rsidP="005F0C53">
      <w:pPr>
        <w:rPr>
          <w:rFonts w:ascii="Arial" w:hAnsi="Arial" w:cs="Arial"/>
          <w:b/>
          <w:sz w:val="20"/>
          <w:szCs w:val="20"/>
          <w:lang w:eastAsia="zh-CN"/>
        </w:rPr>
      </w:pPr>
      <w:r w:rsidRPr="005F0C53">
        <w:rPr>
          <w:rStyle w:val="af2"/>
          <w:rFonts w:ascii="Arial" w:hAnsi="Arial" w:cs="Arial" w:hint="eastAsia"/>
          <w:bCs w:val="0"/>
          <w:sz w:val="20"/>
          <w:szCs w:val="20"/>
        </w:rPr>
        <w:lastRenderedPageBreak/>
        <w:t>Supplementary Figure</w:t>
      </w:r>
      <w:r>
        <w:rPr>
          <w:rStyle w:val="af2"/>
          <w:rFonts w:ascii="Arial" w:hAnsi="Arial" w:cs="Arial" w:hint="eastAsia"/>
          <w:bCs w:val="0"/>
          <w:sz w:val="20"/>
          <w:szCs w:val="20"/>
          <w:lang w:eastAsia="zh-CN"/>
        </w:rPr>
        <w:t>s</w:t>
      </w:r>
    </w:p>
    <w:p w14:paraId="0714340E" w14:textId="77777777" w:rsidR="005F0C53" w:rsidRPr="005F0C53" w:rsidRDefault="005F0C53" w:rsidP="00BC4834">
      <w:pPr>
        <w:jc w:val="center"/>
        <w:rPr>
          <w:rFonts w:ascii="Arial" w:hAnsi="Arial" w:cs="Arial"/>
          <w:sz w:val="20"/>
          <w:szCs w:val="20"/>
        </w:rPr>
      </w:pPr>
      <w:r w:rsidRPr="005F0C53">
        <w:rPr>
          <w:rFonts w:ascii="Arial" w:hAnsi="Arial" w:cs="Arial"/>
          <w:noProof/>
          <w:sz w:val="20"/>
          <w:szCs w:val="20"/>
        </w:rPr>
        <w:drawing>
          <wp:inline distT="0" distB="0" distL="0" distR="0" wp14:anchorId="48D389D3" wp14:editId="4A0080EF">
            <wp:extent cx="4944100" cy="5884623"/>
            <wp:effectExtent l="0" t="0" r="9525" b="1905"/>
            <wp:docPr id="2955704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570479" name="图片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944100" cy="5884623"/>
                    </a:xfrm>
                    <a:prstGeom prst="rect">
                      <a:avLst/>
                    </a:prstGeom>
                    <a:noFill/>
                    <a:ln>
                      <a:noFill/>
                    </a:ln>
                  </pic:spPr>
                </pic:pic>
              </a:graphicData>
            </a:graphic>
          </wp:inline>
        </w:drawing>
      </w:r>
    </w:p>
    <w:p w14:paraId="2D1DB5CF" w14:textId="3693F679" w:rsidR="005F0C53" w:rsidRPr="005F0C53" w:rsidRDefault="005F0C53" w:rsidP="005F0C53">
      <w:pPr>
        <w:rPr>
          <w:rFonts w:ascii="Arial" w:hAnsi="Arial" w:cs="Arial"/>
          <w:sz w:val="20"/>
          <w:szCs w:val="20"/>
          <w:lang w:eastAsia="zh-CN"/>
        </w:rPr>
      </w:pPr>
      <w:r w:rsidRPr="005F0C53">
        <w:rPr>
          <w:rFonts w:ascii="Arial" w:hAnsi="Arial" w:cs="Arial"/>
          <w:sz w:val="20"/>
          <w:szCs w:val="20"/>
        </w:rPr>
        <w:t>Sup</w:t>
      </w:r>
      <w:r w:rsidR="00A331C4">
        <w:rPr>
          <w:rFonts w:ascii="Arial" w:hAnsi="Arial" w:cs="Arial" w:hint="eastAsia"/>
          <w:sz w:val="20"/>
          <w:szCs w:val="20"/>
          <w:lang w:eastAsia="zh-CN"/>
        </w:rPr>
        <w:t>1</w:t>
      </w:r>
    </w:p>
    <w:p w14:paraId="67D48CEE" w14:textId="77777777" w:rsidR="005F0C53" w:rsidRPr="005F0C53" w:rsidRDefault="005F0C53" w:rsidP="005F0C53">
      <w:pPr>
        <w:rPr>
          <w:rFonts w:ascii="Arial" w:hAnsi="Arial" w:cs="Arial"/>
          <w:sz w:val="20"/>
          <w:szCs w:val="20"/>
        </w:rPr>
      </w:pPr>
      <w:r w:rsidRPr="005F0C53">
        <w:rPr>
          <w:rFonts w:ascii="Arial" w:hAnsi="Arial" w:cs="Arial"/>
          <w:b/>
          <w:bCs/>
          <w:sz w:val="20"/>
          <w:szCs w:val="20"/>
        </w:rPr>
        <w:t>a</w:t>
      </w:r>
      <w:r w:rsidRPr="005F0C53">
        <w:rPr>
          <w:rFonts w:ascii="Arial" w:hAnsi="Arial" w:cs="Arial"/>
          <w:sz w:val="20"/>
          <w:szCs w:val="20"/>
        </w:rPr>
        <w:t xml:space="preserve"> Heatmap showing consensus NMF metagenes calculated for n = 453 non-WNT/non-SHH MB and grouped by clinical parameters. Non-WNT/non-SHH MB individuals are ordered by continuum score.</w:t>
      </w:r>
    </w:p>
    <w:p w14:paraId="602F7248" w14:textId="77777777" w:rsidR="005F0C53" w:rsidRPr="005F0C53" w:rsidRDefault="005F0C53" w:rsidP="005F0C53">
      <w:pPr>
        <w:rPr>
          <w:rFonts w:ascii="Arial" w:hAnsi="Arial" w:cs="Arial"/>
          <w:sz w:val="20"/>
          <w:szCs w:val="20"/>
        </w:rPr>
      </w:pPr>
      <w:r w:rsidRPr="005F0C53">
        <w:rPr>
          <w:rFonts w:ascii="Arial" w:hAnsi="Arial" w:cs="Arial"/>
          <w:b/>
          <w:bCs/>
          <w:sz w:val="20"/>
          <w:szCs w:val="20"/>
        </w:rPr>
        <w:t>b</w:t>
      </w:r>
      <w:r w:rsidRPr="005F0C53">
        <w:rPr>
          <w:rFonts w:ascii="Arial" w:hAnsi="Arial" w:cs="Arial"/>
          <w:sz w:val="20"/>
          <w:szCs w:val="20"/>
        </w:rPr>
        <w:t xml:space="preserve"> Raincloud plot show continuum score by 453 non-WNT/non-SHH MB and grouped by six.</w:t>
      </w:r>
    </w:p>
    <w:p w14:paraId="17401C9C" w14:textId="77777777" w:rsidR="005F0C53" w:rsidRPr="005F0C53" w:rsidRDefault="005F0C53" w:rsidP="005F0C53">
      <w:pPr>
        <w:rPr>
          <w:rFonts w:ascii="Arial" w:hAnsi="Arial" w:cs="Arial"/>
          <w:sz w:val="20"/>
          <w:szCs w:val="20"/>
        </w:rPr>
      </w:pPr>
      <w:r w:rsidRPr="005F0C53">
        <w:rPr>
          <w:rFonts w:ascii="Arial" w:hAnsi="Arial" w:cs="Arial"/>
          <w:b/>
          <w:bCs/>
          <w:sz w:val="20"/>
          <w:szCs w:val="20"/>
        </w:rPr>
        <w:t>c</w:t>
      </w:r>
      <w:r w:rsidRPr="005F0C53">
        <w:rPr>
          <w:rFonts w:ascii="Arial" w:hAnsi="Arial" w:cs="Arial"/>
          <w:sz w:val="20"/>
          <w:szCs w:val="20"/>
        </w:rPr>
        <w:t xml:space="preserve"> PCA plot showing 453 non-WNT/non-SHH MB samples shaded by 3 group.</w:t>
      </w:r>
    </w:p>
    <w:p w14:paraId="11964818" w14:textId="77777777" w:rsidR="005F0C53" w:rsidRPr="005F0C53" w:rsidRDefault="005F0C53" w:rsidP="005F0C53">
      <w:pPr>
        <w:rPr>
          <w:rFonts w:ascii="Arial" w:hAnsi="Arial" w:cs="Arial"/>
          <w:sz w:val="20"/>
          <w:szCs w:val="20"/>
        </w:rPr>
      </w:pPr>
      <w:r w:rsidRPr="005F0C53">
        <w:rPr>
          <w:rFonts w:ascii="Arial" w:hAnsi="Arial" w:cs="Arial"/>
          <w:b/>
          <w:bCs/>
          <w:sz w:val="20"/>
          <w:szCs w:val="20"/>
        </w:rPr>
        <w:t>d</w:t>
      </w:r>
      <w:r w:rsidRPr="005F0C53">
        <w:rPr>
          <w:rFonts w:ascii="Arial" w:hAnsi="Arial" w:cs="Arial"/>
          <w:sz w:val="20"/>
          <w:szCs w:val="20"/>
        </w:rPr>
        <w:t xml:space="preserve"> Kaplan-Meier plot showing significant differences (Log-Rank test for trend) in non-WNT/non-SHH MB overall survival by continuum position.</w:t>
      </w:r>
    </w:p>
    <w:p w14:paraId="7F1CB678" w14:textId="4C281B34" w:rsidR="005F0C53" w:rsidRPr="005F0C53" w:rsidRDefault="005F0C53" w:rsidP="005F0C53">
      <w:pPr>
        <w:rPr>
          <w:rFonts w:ascii="Arial" w:hAnsi="Arial" w:cs="Arial"/>
          <w:sz w:val="20"/>
          <w:szCs w:val="20"/>
          <w:lang w:eastAsia="zh-CN"/>
        </w:rPr>
      </w:pPr>
      <w:r w:rsidRPr="005F0C53">
        <w:rPr>
          <w:rFonts w:ascii="Arial" w:hAnsi="Arial" w:cs="Arial"/>
          <w:b/>
          <w:bCs/>
          <w:sz w:val="20"/>
          <w:szCs w:val="20"/>
        </w:rPr>
        <w:t>e</w:t>
      </w:r>
      <w:r w:rsidRPr="005F0C53">
        <w:rPr>
          <w:rFonts w:ascii="Arial" w:hAnsi="Arial" w:cs="Arial"/>
          <w:sz w:val="20"/>
          <w:szCs w:val="20"/>
        </w:rPr>
        <w:t xml:space="preserve"> Stacked column charts shows the MB group in the continuum subgroup.</w:t>
      </w:r>
    </w:p>
    <w:p w14:paraId="0B91203E" w14:textId="77777777" w:rsidR="005F0C53" w:rsidRPr="005F0C53" w:rsidRDefault="005F0C53" w:rsidP="005F0C53">
      <w:pPr>
        <w:rPr>
          <w:rFonts w:ascii="Arial" w:hAnsi="Arial" w:cs="Arial"/>
          <w:sz w:val="20"/>
          <w:szCs w:val="20"/>
        </w:rPr>
      </w:pPr>
      <w:r w:rsidRPr="005F0C53">
        <w:rPr>
          <w:rFonts w:ascii="Arial" w:hAnsi="Arial" w:cs="Arial"/>
          <w:noProof/>
          <w:sz w:val="20"/>
          <w:szCs w:val="20"/>
        </w:rPr>
        <w:lastRenderedPageBreak/>
        <w:drawing>
          <wp:inline distT="0" distB="0" distL="0" distR="0" wp14:anchorId="0E9676E1" wp14:editId="0E6B9E94">
            <wp:extent cx="5271770" cy="5834266"/>
            <wp:effectExtent l="0" t="0" r="5080" b="0"/>
            <wp:docPr id="16609880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98806" name="图片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271770" cy="5834266"/>
                    </a:xfrm>
                    <a:prstGeom prst="rect">
                      <a:avLst/>
                    </a:prstGeom>
                    <a:noFill/>
                    <a:ln>
                      <a:noFill/>
                    </a:ln>
                  </pic:spPr>
                </pic:pic>
              </a:graphicData>
            </a:graphic>
          </wp:inline>
        </w:drawing>
      </w:r>
    </w:p>
    <w:p w14:paraId="598EADBC" w14:textId="2E4AE65D" w:rsidR="005F0C53" w:rsidRPr="005F0C53" w:rsidRDefault="005F0C53" w:rsidP="005F0C53">
      <w:pPr>
        <w:rPr>
          <w:rFonts w:ascii="Arial" w:hAnsi="Arial" w:cs="Arial"/>
          <w:sz w:val="20"/>
          <w:szCs w:val="20"/>
          <w:lang w:eastAsia="zh-CN"/>
        </w:rPr>
      </w:pPr>
      <w:r w:rsidRPr="005F0C53">
        <w:rPr>
          <w:rFonts w:ascii="Arial" w:hAnsi="Arial" w:cs="Arial"/>
          <w:sz w:val="20"/>
          <w:szCs w:val="20"/>
        </w:rPr>
        <w:t>Sup</w:t>
      </w:r>
      <w:r w:rsidR="00A331C4">
        <w:rPr>
          <w:rFonts w:ascii="Arial" w:hAnsi="Arial" w:cs="Arial" w:hint="eastAsia"/>
          <w:sz w:val="20"/>
          <w:szCs w:val="20"/>
          <w:lang w:eastAsia="zh-CN"/>
        </w:rPr>
        <w:t>2</w:t>
      </w:r>
    </w:p>
    <w:p w14:paraId="51ABDC83" w14:textId="77777777" w:rsidR="005F0C53" w:rsidRPr="005F0C53" w:rsidRDefault="005F0C53" w:rsidP="005F0C53">
      <w:pPr>
        <w:rPr>
          <w:rFonts w:ascii="Arial" w:hAnsi="Arial" w:cs="Arial"/>
          <w:sz w:val="20"/>
          <w:szCs w:val="20"/>
        </w:rPr>
      </w:pPr>
      <w:r w:rsidRPr="005F0C53">
        <w:rPr>
          <w:rFonts w:ascii="Arial" w:hAnsi="Arial" w:cs="Arial"/>
          <w:b/>
          <w:bCs/>
          <w:sz w:val="20"/>
          <w:szCs w:val="20"/>
        </w:rPr>
        <w:t>a</w:t>
      </w:r>
      <w:r w:rsidRPr="005F0C53">
        <w:rPr>
          <w:rFonts w:ascii="Arial" w:hAnsi="Arial" w:cs="Arial"/>
          <w:sz w:val="20"/>
          <w:szCs w:val="20"/>
        </w:rPr>
        <w:t xml:space="preserve"> Differences of </w:t>
      </w:r>
      <w:proofErr w:type="spellStart"/>
      <w:r w:rsidRPr="005F0C53">
        <w:rPr>
          <w:rFonts w:ascii="Arial" w:hAnsi="Arial" w:cs="Arial"/>
          <w:sz w:val="20"/>
          <w:szCs w:val="20"/>
        </w:rPr>
        <w:t>ImmuneScore</w:t>
      </w:r>
      <w:proofErr w:type="spellEnd"/>
      <w:r w:rsidRPr="005F0C53">
        <w:rPr>
          <w:rFonts w:ascii="Arial" w:hAnsi="Arial" w:cs="Arial"/>
          <w:sz w:val="20"/>
          <w:szCs w:val="20"/>
        </w:rPr>
        <w:t xml:space="preserve">, </w:t>
      </w:r>
      <w:proofErr w:type="spellStart"/>
      <w:r w:rsidRPr="005F0C53">
        <w:rPr>
          <w:rFonts w:ascii="Arial" w:hAnsi="Arial" w:cs="Arial"/>
          <w:sz w:val="20"/>
          <w:szCs w:val="20"/>
        </w:rPr>
        <w:t>StromalScore</w:t>
      </w:r>
      <w:proofErr w:type="spellEnd"/>
      <w:r w:rsidRPr="005F0C53">
        <w:rPr>
          <w:rFonts w:ascii="Arial" w:hAnsi="Arial" w:cs="Arial"/>
          <w:sz w:val="20"/>
          <w:szCs w:val="20"/>
        </w:rPr>
        <w:t>, ESTIMATE score, and tumor purity between continuum score subgroup.</w:t>
      </w:r>
    </w:p>
    <w:p w14:paraId="493777EA" w14:textId="77777777" w:rsidR="005F0C53" w:rsidRPr="005F0C53" w:rsidRDefault="005F0C53" w:rsidP="005F0C53">
      <w:pPr>
        <w:rPr>
          <w:rFonts w:ascii="Arial" w:hAnsi="Arial" w:cs="Arial"/>
          <w:sz w:val="20"/>
          <w:szCs w:val="20"/>
        </w:rPr>
      </w:pPr>
      <w:r w:rsidRPr="005F0C53">
        <w:rPr>
          <w:rFonts w:ascii="Arial" w:hAnsi="Arial" w:cs="Arial"/>
          <w:b/>
          <w:bCs/>
          <w:sz w:val="20"/>
          <w:szCs w:val="20"/>
        </w:rPr>
        <w:t>b</w:t>
      </w:r>
      <w:r w:rsidRPr="005F0C53">
        <w:rPr>
          <w:rFonts w:ascii="Arial" w:hAnsi="Arial" w:cs="Arial"/>
          <w:sz w:val="20"/>
          <w:szCs w:val="20"/>
        </w:rPr>
        <w:t xml:space="preserve"> Differences of </w:t>
      </w:r>
      <w:proofErr w:type="spellStart"/>
      <w:r w:rsidRPr="005F0C53">
        <w:rPr>
          <w:rFonts w:ascii="Arial" w:hAnsi="Arial" w:cs="Arial"/>
          <w:sz w:val="20"/>
          <w:szCs w:val="20"/>
        </w:rPr>
        <w:t>Cibersort</w:t>
      </w:r>
      <w:proofErr w:type="spellEnd"/>
      <w:r w:rsidRPr="005F0C53">
        <w:rPr>
          <w:rFonts w:ascii="Arial" w:hAnsi="Arial" w:cs="Arial"/>
          <w:sz w:val="20"/>
          <w:szCs w:val="20"/>
        </w:rPr>
        <w:t xml:space="preserve"> score of cells between continuum score subgroup.</w:t>
      </w:r>
    </w:p>
    <w:p w14:paraId="70001C2E" w14:textId="77777777" w:rsidR="005F0C53" w:rsidRPr="005F0C53" w:rsidRDefault="005F0C53" w:rsidP="005F0C53">
      <w:pPr>
        <w:rPr>
          <w:rFonts w:ascii="Arial" w:hAnsi="Arial" w:cs="Arial"/>
          <w:sz w:val="20"/>
          <w:szCs w:val="20"/>
        </w:rPr>
      </w:pPr>
      <w:r w:rsidRPr="005F0C53">
        <w:rPr>
          <w:rFonts w:ascii="Arial" w:hAnsi="Arial" w:cs="Arial"/>
          <w:b/>
          <w:bCs/>
          <w:sz w:val="20"/>
          <w:szCs w:val="20"/>
        </w:rPr>
        <w:t>c</w:t>
      </w:r>
      <w:r w:rsidRPr="005F0C53">
        <w:rPr>
          <w:rFonts w:ascii="Arial" w:hAnsi="Arial" w:cs="Arial"/>
          <w:sz w:val="20"/>
          <w:szCs w:val="20"/>
        </w:rPr>
        <w:t xml:space="preserve"> </w:t>
      </w:r>
      <w:proofErr w:type="gramStart"/>
      <w:r w:rsidRPr="005F0C53">
        <w:rPr>
          <w:rFonts w:ascii="Arial" w:hAnsi="Arial" w:cs="Arial"/>
          <w:sz w:val="20"/>
          <w:szCs w:val="20"/>
        </w:rPr>
        <w:t>The</w:t>
      </w:r>
      <w:proofErr w:type="gramEnd"/>
      <w:r w:rsidRPr="005F0C53">
        <w:rPr>
          <w:rFonts w:ascii="Arial" w:hAnsi="Arial" w:cs="Arial"/>
          <w:sz w:val="20"/>
          <w:szCs w:val="20"/>
        </w:rPr>
        <w:t xml:space="preserve"> association of continuum score and metabolic pathways enrichment score with EPIC and </w:t>
      </w:r>
      <w:proofErr w:type="spellStart"/>
      <w:r w:rsidRPr="005F0C53">
        <w:rPr>
          <w:rFonts w:ascii="Arial" w:hAnsi="Arial" w:cs="Arial"/>
          <w:sz w:val="20"/>
          <w:szCs w:val="20"/>
        </w:rPr>
        <w:t>MCPCounter</w:t>
      </w:r>
      <w:proofErr w:type="spellEnd"/>
      <w:r w:rsidRPr="005F0C53">
        <w:rPr>
          <w:rFonts w:ascii="Arial" w:hAnsi="Arial" w:cs="Arial"/>
          <w:sz w:val="20"/>
          <w:szCs w:val="20"/>
        </w:rPr>
        <w:t xml:space="preserve"> enrichment score was analyzed using </w:t>
      </w:r>
      <w:proofErr w:type="spellStart"/>
      <w:r w:rsidRPr="005F0C53">
        <w:rPr>
          <w:rFonts w:ascii="Arial" w:hAnsi="Arial" w:cs="Arial"/>
          <w:sz w:val="20"/>
          <w:szCs w:val="20"/>
        </w:rPr>
        <w:t>pearsons</w:t>
      </w:r>
      <w:proofErr w:type="spellEnd"/>
      <w:r w:rsidRPr="005F0C53">
        <w:rPr>
          <w:rFonts w:ascii="Arial" w:hAnsi="Arial" w:cs="Arial"/>
          <w:sz w:val="20"/>
          <w:szCs w:val="20"/>
        </w:rPr>
        <w:t xml:space="preserve"> correlation analysis.</w:t>
      </w:r>
    </w:p>
    <w:p w14:paraId="3718207C" w14:textId="6C8BBAD0" w:rsidR="005F0C53" w:rsidRPr="005F0C53" w:rsidRDefault="005F0C53" w:rsidP="005F0C53">
      <w:pPr>
        <w:rPr>
          <w:rFonts w:ascii="Arial" w:hAnsi="Arial" w:cs="Arial"/>
          <w:sz w:val="20"/>
          <w:szCs w:val="20"/>
          <w:lang w:eastAsia="zh-CN"/>
        </w:rPr>
      </w:pPr>
      <w:r w:rsidRPr="005F0C53">
        <w:rPr>
          <w:rFonts w:ascii="Arial" w:hAnsi="Arial" w:cs="Arial"/>
          <w:b/>
          <w:bCs/>
          <w:sz w:val="20"/>
          <w:szCs w:val="20"/>
        </w:rPr>
        <w:t>d</w:t>
      </w:r>
      <w:r w:rsidRPr="005F0C53">
        <w:rPr>
          <w:rFonts w:ascii="Arial" w:hAnsi="Arial" w:cs="Arial"/>
          <w:sz w:val="20"/>
          <w:szCs w:val="20"/>
        </w:rPr>
        <w:t xml:space="preserve"> </w:t>
      </w:r>
      <w:proofErr w:type="gramStart"/>
      <w:r w:rsidRPr="005F0C53">
        <w:rPr>
          <w:rFonts w:ascii="Arial" w:hAnsi="Arial" w:cs="Arial"/>
          <w:sz w:val="20"/>
          <w:szCs w:val="20"/>
        </w:rPr>
        <w:t>The</w:t>
      </w:r>
      <w:proofErr w:type="gramEnd"/>
      <w:r w:rsidRPr="005F0C53">
        <w:rPr>
          <w:rFonts w:ascii="Arial" w:hAnsi="Arial" w:cs="Arial"/>
          <w:sz w:val="20"/>
          <w:szCs w:val="20"/>
        </w:rPr>
        <w:t xml:space="preserve"> boxplot outlining the expression of immune check point genes among G4 and G3 subgroup.</w:t>
      </w:r>
    </w:p>
    <w:p w14:paraId="33A2F32A" w14:textId="77777777" w:rsidR="005F0C53" w:rsidRPr="005F0C53" w:rsidRDefault="005F0C53" w:rsidP="005F0C53">
      <w:pPr>
        <w:rPr>
          <w:rFonts w:ascii="Arial" w:hAnsi="Arial" w:cs="Arial"/>
          <w:sz w:val="20"/>
          <w:szCs w:val="20"/>
        </w:rPr>
      </w:pPr>
      <w:r w:rsidRPr="005F0C53">
        <w:rPr>
          <w:rFonts w:ascii="Arial" w:hAnsi="Arial" w:cs="Arial"/>
          <w:noProof/>
          <w:sz w:val="20"/>
          <w:szCs w:val="20"/>
        </w:rPr>
        <w:lastRenderedPageBreak/>
        <w:drawing>
          <wp:inline distT="0" distB="0" distL="0" distR="0" wp14:anchorId="2FDC6F93" wp14:editId="36B136F1">
            <wp:extent cx="5269230" cy="3097285"/>
            <wp:effectExtent l="0" t="0" r="7620" b="8255"/>
            <wp:docPr id="173266667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666676" name="图片 7"/>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269230" cy="3097285"/>
                    </a:xfrm>
                    <a:prstGeom prst="rect">
                      <a:avLst/>
                    </a:prstGeom>
                    <a:noFill/>
                    <a:ln>
                      <a:noFill/>
                    </a:ln>
                  </pic:spPr>
                </pic:pic>
              </a:graphicData>
            </a:graphic>
          </wp:inline>
        </w:drawing>
      </w:r>
    </w:p>
    <w:p w14:paraId="0D575BFE" w14:textId="67195C80" w:rsidR="005F0C53" w:rsidRPr="005F0C53" w:rsidRDefault="005F0C53" w:rsidP="005F0C53">
      <w:pPr>
        <w:rPr>
          <w:rFonts w:ascii="Arial" w:hAnsi="Arial" w:cs="Arial"/>
          <w:color w:val="000000" w:themeColor="text1"/>
          <w:sz w:val="20"/>
          <w:szCs w:val="20"/>
          <w:lang w:eastAsia="zh-CN"/>
        </w:rPr>
      </w:pPr>
      <w:r w:rsidRPr="005F0C53">
        <w:rPr>
          <w:rFonts w:ascii="Arial" w:hAnsi="Arial" w:cs="Arial"/>
          <w:color w:val="000000" w:themeColor="text1"/>
          <w:sz w:val="20"/>
          <w:szCs w:val="20"/>
        </w:rPr>
        <w:t>Sup</w:t>
      </w:r>
      <w:r w:rsidR="00A331C4">
        <w:rPr>
          <w:rFonts w:ascii="Arial" w:hAnsi="Arial" w:cs="Arial" w:hint="eastAsia"/>
          <w:color w:val="000000" w:themeColor="text1"/>
          <w:sz w:val="20"/>
          <w:szCs w:val="20"/>
          <w:lang w:eastAsia="zh-CN"/>
        </w:rPr>
        <w:t>3</w:t>
      </w:r>
    </w:p>
    <w:p w14:paraId="6B70C88E" w14:textId="7D1E228E" w:rsidR="005F0C53" w:rsidRPr="005F0C53" w:rsidRDefault="005F0C53" w:rsidP="005F0C53">
      <w:pPr>
        <w:rPr>
          <w:rFonts w:ascii="Arial" w:hAnsi="Arial" w:cs="Arial"/>
          <w:color w:val="000000" w:themeColor="text1"/>
          <w:sz w:val="20"/>
          <w:szCs w:val="20"/>
          <w:lang w:eastAsia="zh-CN"/>
        </w:rPr>
      </w:pPr>
      <w:r w:rsidRPr="005F0C53">
        <w:rPr>
          <w:rFonts w:ascii="Arial" w:hAnsi="Arial" w:cs="Arial"/>
          <w:b/>
          <w:color w:val="000000" w:themeColor="text1"/>
          <w:sz w:val="20"/>
          <w:szCs w:val="20"/>
        </w:rPr>
        <w:t>a</w:t>
      </w:r>
      <w:r w:rsidRPr="005F0C53">
        <w:rPr>
          <w:rFonts w:ascii="Arial" w:hAnsi="Arial" w:cs="Arial"/>
          <w:color w:val="000000" w:themeColor="text1"/>
          <w:sz w:val="20"/>
          <w:szCs w:val="20"/>
        </w:rPr>
        <w:t xml:space="preserve"> Ligand-receptor map display of immune cells interacting with </w:t>
      </w:r>
      <w:r w:rsidRPr="005F0C53">
        <w:rPr>
          <w:rFonts w:ascii="Arial" w:hAnsi="Arial" w:cs="Arial"/>
          <w:sz w:val="20"/>
          <w:szCs w:val="20"/>
        </w:rPr>
        <w:t>malignant</w:t>
      </w:r>
      <w:r w:rsidRPr="005F0C53">
        <w:rPr>
          <w:rFonts w:ascii="Arial" w:hAnsi="Arial" w:cs="Arial"/>
          <w:color w:val="000000" w:themeColor="text1"/>
          <w:sz w:val="20"/>
          <w:szCs w:val="20"/>
        </w:rPr>
        <w:t xml:space="preserve"> G3 or G4 cells in MB.</w:t>
      </w:r>
    </w:p>
    <w:p w14:paraId="60CAF302" w14:textId="77777777" w:rsidR="005F0C53" w:rsidRPr="005F0C53" w:rsidRDefault="005F0C53" w:rsidP="005F0C53">
      <w:pPr>
        <w:rPr>
          <w:rFonts w:ascii="Arial" w:hAnsi="Arial" w:cs="Arial"/>
          <w:sz w:val="20"/>
          <w:szCs w:val="20"/>
        </w:rPr>
      </w:pPr>
      <w:r w:rsidRPr="005F0C53">
        <w:rPr>
          <w:rFonts w:ascii="Arial" w:hAnsi="Arial" w:cs="Arial"/>
          <w:b/>
          <w:sz w:val="20"/>
          <w:szCs w:val="20"/>
        </w:rPr>
        <w:t>b</w:t>
      </w:r>
      <w:r w:rsidRPr="005F0C53">
        <w:rPr>
          <w:rFonts w:ascii="Arial" w:hAnsi="Arial" w:cs="Arial"/>
          <w:sz w:val="20"/>
          <w:szCs w:val="20"/>
        </w:rPr>
        <w:t xml:space="preserve"> UMAP plot shows the distribution of malignant G3 and G4 cells in MB tumor cells.</w:t>
      </w:r>
    </w:p>
    <w:p w14:paraId="64D984A4" w14:textId="6246B7AA" w:rsidR="005F0C53" w:rsidRPr="005F0C53" w:rsidRDefault="005F0C53" w:rsidP="005F0C53">
      <w:pPr>
        <w:rPr>
          <w:rFonts w:ascii="Arial" w:hAnsi="Arial" w:cs="Arial"/>
          <w:sz w:val="20"/>
          <w:szCs w:val="20"/>
        </w:rPr>
      </w:pPr>
      <w:r w:rsidRPr="005F0C53">
        <w:rPr>
          <w:rFonts w:ascii="Arial" w:hAnsi="Arial" w:cs="Arial"/>
          <w:b/>
          <w:sz w:val="20"/>
          <w:szCs w:val="20"/>
        </w:rPr>
        <w:t>c</w:t>
      </w:r>
      <w:r w:rsidRPr="005F0C53">
        <w:rPr>
          <w:rFonts w:ascii="Arial" w:hAnsi="Arial" w:cs="Arial"/>
          <w:sz w:val="20"/>
          <w:szCs w:val="20"/>
        </w:rPr>
        <w:t xml:space="preserve"> Bubble heatmap of TCA cycle score between mG3 and mG4 cells.</w:t>
      </w:r>
      <w:r w:rsidR="002A6691" w:rsidRPr="002A6691">
        <w:rPr>
          <w:rFonts w:hint="eastAsia"/>
        </w:rPr>
        <w:t xml:space="preserve"> </w:t>
      </w:r>
      <w:r w:rsidR="002A6691" w:rsidRPr="002A6691">
        <w:rPr>
          <w:rFonts w:ascii="Arial" w:hAnsi="Arial" w:cs="Arial" w:hint="eastAsia"/>
          <w:sz w:val="20"/>
          <w:szCs w:val="20"/>
        </w:rPr>
        <w:t>m stands for malignant cells.</w:t>
      </w:r>
    </w:p>
    <w:p w14:paraId="07C27D85" w14:textId="4B1FFF19" w:rsidR="005F0C53" w:rsidRPr="005F0C53" w:rsidRDefault="005F0C53" w:rsidP="005F0C53">
      <w:pPr>
        <w:rPr>
          <w:rFonts w:ascii="Arial" w:hAnsi="Arial" w:cs="Arial"/>
          <w:sz w:val="20"/>
          <w:szCs w:val="20"/>
        </w:rPr>
      </w:pPr>
      <w:r w:rsidRPr="005F0C53">
        <w:rPr>
          <w:rFonts w:ascii="Arial" w:hAnsi="Arial" w:cs="Arial"/>
          <w:b/>
          <w:sz w:val="20"/>
          <w:szCs w:val="20"/>
        </w:rPr>
        <w:t>d</w:t>
      </w:r>
      <w:r w:rsidRPr="005F0C53">
        <w:rPr>
          <w:rFonts w:ascii="Arial" w:hAnsi="Arial" w:cs="Arial"/>
          <w:sz w:val="20"/>
          <w:szCs w:val="20"/>
        </w:rPr>
        <w:t xml:space="preserve"> Bar chart of TCA cycle score between mG3 and mG4 cells.</w:t>
      </w:r>
      <w:r w:rsidR="002A6691" w:rsidRPr="002A6691">
        <w:rPr>
          <w:rFonts w:hint="eastAsia"/>
        </w:rPr>
        <w:t xml:space="preserve"> </w:t>
      </w:r>
      <w:r w:rsidR="002A6691" w:rsidRPr="002A6691">
        <w:rPr>
          <w:rFonts w:ascii="Arial" w:hAnsi="Arial" w:cs="Arial" w:hint="eastAsia"/>
          <w:sz w:val="20"/>
          <w:szCs w:val="20"/>
        </w:rPr>
        <w:t>m stands for malignant cells.</w:t>
      </w:r>
    </w:p>
    <w:p w14:paraId="4B56070C" w14:textId="77777777" w:rsidR="005F0C53" w:rsidRPr="005F0C53" w:rsidRDefault="005F0C53" w:rsidP="005F0C53">
      <w:pPr>
        <w:rPr>
          <w:rFonts w:ascii="Arial" w:hAnsi="Arial" w:cs="Arial"/>
          <w:sz w:val="20"/>
          <w:szCs w:val="20"/>
        </w:rPr>
      </w:pPr>
      <w:r w:rsidRPr="005F0C53">
        <w:rPr>
          <w:rFonts w:ascii="Arial" w:hAnsi="Arial" w:cs="Arial"/>
          <w:b/>
          <w:sz w:val="20"/>
          <w:szCs w:val="20"/>
        </w:rPr>
        <w:t>e</w:t>
      </w:r>
      <w:r w:rsidRPr="005F0C53">
        <w:rPr>
          <w:rFonts w:ascii="Arial" w:hAnsi="Arial" w:cs="Arial"/>
          <w:sz w:val="20"/>
          <w:szCs w:val="20"/>
        </w:rPr>
        <w:t xml:space="preserve"> UMAP plot shows the distribution of PCK2 gene expression in non-WNT/non-SHH MB cells.</w:t>
      </w:r>
    </w:p>
    <w:p w14:paraId="3E5925E2" w14:textId="77777777" w:rsidR="005F0C53" w:rsidRPr="005F0C53" w:rsidRDefault="005F0C53" w:rsidP="005F0C53">
      <w:pPr>
        <w:rPr>
          <w:rFonts w:ascii="Arial" w:hAnsi="Arial" w:cs="Arial"/>
          <w:sz w:val="20"/>
          <w:szCs w:val="20"/>
        </w:rPr>
      </w:pPr>
      <w:r w:rsidRPr="005F0C53">
        <w:rPr>
          <w:rFonts w:ascii="Arial" w:hAnsi="Arial" w:cs="Arial"/>
          <w:sz w:val="20"/>
          <w:szCs w:val="20"/>
        </w:rPr>
        <w:br w:type="page"/>
      </w:r>
    </w:p>
    <w:p w14:paraId="7D0F36B9" w14:textId="77777777" w:rsidR="005F0C53" w:rsidRPr="005F0C53" w:rsidRDefault="005F0C53" w:rsidP="005F0C53">
      <w:pPr>
        <w:rPr>
          <w:rFonts w:ascii="Arial" w:hAnsi="Arial" w:cs="Arial"/>
          <w:sz w:val="20"/>
          <w:szCs w:val="20"/>
        </w:rPr>
      </w:pPr>
      <w:r w:rsidRPr="005F0C53">
        <w:rPr>
          <w:rFonts w:ascii="Arial" w:hAnsi="Arial" w:cs="Arial"/>
          <w:noProof/>
          <w:sz w:val="20"/>
          <w:szCs w:val="20"/>
        </w:rPr>
        <w:lastRenderedPageBreak/>
        <w:drawing>
          <wp:inline distT="0" distB="0" distL="0" distR="0" wp14:anchorId="47957B8A" wp14:editId="4CB13B9E">
            <wp:extent cx="5209483" cy="3411220"/>
            <wp:effectExtent l="0" t="0" r="0" b="0"/>
            <wp:docPr id="131259388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593883" name="图片 8"/>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209483" cy="3411220"/>
                    </a:xfrm>
                    <a:prstGeom prst="rect">
                      <a:avLst/>
                    </a:prstGeom>
                    <a:noFill/>
                    <a:ln>
                      <a:noFill/>
                    </a:ln>
                  </pic:spPr>
                </pic:pic>
              </a:graphicData>
            </a:graphic>
          </wp:inline>
        </w:drawing>
      </w:r>
    </w:p>
    <w:p w14:paraId="4BB35F6D" w14:textId="1C5E9238" w:rsidR="005F0C53" w:rsidRPr="005F0C53" w:rsidRDefault="005F0C53" w:rsidP="005F0C53">
      <w:pPr>
        <w:rPr>
          <w:rFonts w:ascii="Arial" w:hAnsi="Arial" w:cs="Arial"/>
          <w:sz w:val="20"/>
          <w:szCs w:val="20"/>
          <w:lang w:eastAsia="zh-CN"/>
        </w:rPr>
      </w:pPr>
      <w:r w:rsidRPr="005F0C53">
        <w:rPr>
          <w:rFonts w:ascii="Arial" w:hAnsi="Arial" w:cs="Arial"/>
          <w:sz w:val="20"/>
          <w:szCs w:val="20"/>
        </w:rPr>
        <w:t>Sup</w:t>
      </w:r>
      <w:r w:rsidR="00A331C4">
        <w:rPr>
          <w:rFonts w:ascii="Arial" w:hAnsi="Arial" w:cs="Arial" w:hint="eastAsia"/>
          <w:sz w:val="20"/>
          <w:szCs w:val="20"/>
          <w:lang w:eastAsia="zh-CN"/>
        </w:rPr>
        <w:t>4</w:t>
      </w:r>
    </w:p>
    <w:p w14:paraId="3B60BB21" w14:textId="77777777" w:rsidR="005F0C53" w:rsidRPr="005F0C53" w:rsidRDefault="005F0C53" w:rsidP="005F0C53">
      <w:pPr>
        <w:rPr>
          <w:rFonts w:ascii="Arial" w:hAnsi="Arial" w:cs="Arial"/>
          <w:sz w:val="20"/>
          <w:szCs w:val="20"/>
        </w:rPr>
      </w:pPr>
      <w:r w:rsidRPr="005F0C53">
        <w:rPr>
          <w:rFonts w:ascii="Arial" w:hAnsi="Arial" w:cs="Arial"/>
          <w:b/>
          <w:sz w:val="20"/>
          <w:szCs w:val="20"/>
        </w:rPr>
        <w:t>a</w:t>
      </w:r>
      <w:r w:rsidRPr="005F0C53">
        <w:rPr>
          <w:rFonts w:ascii="Arial" w:hAnsi="Arial" w:cs="Arial"/>
          <w:sz w:val="20"/>
          <w:szCs w:val="20"/>
        </w:rPr>
        <w:t xml:space="preserve"> JASPAR predicted MYC transcription factor binding sites in the promoters of PCK2 gene.</w:t>
      </w:r>
    </w:p>
    <w:p w14:paraId="08F7B55C" w14:textId="240007A2" w:rsidR="005F0C53" w:rsidRPr="005F0C53" w:rsidRDefault="005F0C53" w:rsidP="005F0C53">
      <w:pPr>
        <w:rPr>
          <w:rFonts w:ascii="Arial" w:hAnsi="Arial" w:cs="Arial"/>
          <w:sz w:val="20"/>
          <w:szCs w:val="20"/>
        </w:rPr>
      </w:pPr>
      <w:r w:rsidRPr="005F0C53">
        <w:rPr>
          <w:rFonts w:ascii="Arial" w:hAnsi="Arial" w:cs="Arial"/>
          <w:b/>
          <w:sz w:val="20"/>
          <w:szCs w:val="20"/>
        </w:rPr>
        <w:t>b</w:t>
      </w:r>
      <w:r w:rsidRPr="005F0C53">
        <w:rPr>
          <w:rFonts w:ascii="Arial" w:hAnsi="Arial" w:cs="Arial"/>
          <w:sz w:val="20"/>
          <w:szCs w:val="20"/>
        </w:rPr>
        <w:t xml:space="preserve"> Chip-seq data predicted MYC transcription factor binding sites in the promoters of PCK2 gene.</w:t>
      </w:r>
      <w:r w:rsidR="00A617C1" w:rsidRPr="00A617C1">
        <w:rPr>
          <w:rFonts w:ascii="Times New Roman" w:hAnsi="Times New Roman" w:cs="Times New Roman" w:hint="eastAsia"/>
          <w:szCs w:val="21"/>
        </w:rPr>
        <w:t xml:space="preserve"> </w:t>
      </w:r>
      <w:r w:rsidR="00A617C1">
        <w:rPr>
          <w:rFonts w:ascii="Times New Roman" w:hAnsi="Times New Roman" w:cs="Times New Roman" w:hint="eastAsia"/>
          <w:szCs w:val="21"/>
        </w:rPr>
        <w:t>(GSE</w:t>
      </w:r>
      <w:proofErr w:type="gramStart"/>
      <w:r w:rsidR="00A617C1">
        <w:rPr>
          <w:rFonts w:ascii="Times New Roman" w:hAnsi="Times New Roman" w:cs="Times New Roman" w:hint="eastAsia"/>
          <w:szCs w:val="21"/>
        </w:rPr>
        <w:t>129521,GSE</w:t>
      </w:r>
      <w:proofErr w:type="gramEnd"/>
      <w:r w:rsidR="00A617C1">
        <w:rPr>
          <w:rFonts w:ascii="Times New Roman" w:hAnsi="Times New Roman" w:cs="Times New Roman" w:hint="eastAsia"/>
          <w:szCs w:val="21"/>
        </w:rPr>
        <w:t>267470)</w:t>
      </w:r>
    </w:p>
    <w:p w14:paraId="21F55221" w14:textId="4BAAA26E" w:rsidR="005F0C53" w:rsidRPr="005F0C53" w:rsidRDefault="005F0C53" w:rsidP="005F0C53">
      <w:pPr>
        <w:rPr>
          <w:rFonts w:ascii="Arial" w:hAnsi="Arial" w:cs="Arial"/>
          <w:sz w:val="20"/>
          <w:szCs w:val="20"/>
        </w:rPr>
      </w:pPr>
      <w:r w:rsidRPr="005F0C53">
        <w:rPr>
          <w:rFonts w:ascii="Arial" w:hAnsi="Arial" w:cs="Arial"/>
          <w:b/>
          <w:sz w:val="20"/>
          <w:szCs w:val="20"/>
        </w:rPr>
        <w:t>c</w:t>
      </w:r>
      <w:r w:rsidRPr="005F0C53">
        <w:rPr>
          <w:rFonts w:ascii="Arial" w:hAnsi="Arial" w:cs="Arial"/>
          <w:sz w:val="20"/>
          <w:szCs w:val="20"/>
        </w:rPr>
        <w:t xml:space="preserve"> Western blotting for PCK2 and c-MYC levels following siRNA-mediated c-MYC knockdown and c-MYC inhibitor in D341 and D458 cells</w:t>
      </w:r>
      <w:r w:rsidR="004B0D8B">
        <w:rPr>
          <w:rFonts w:ascii="Arial" w:hAnsi="Arial" w:cs="Arial" w:hint="eastAsia"/>
          <w:sz w:val="20"/>
          <w:szCs w:val="20"/>
          <w:lang w:eastAsia="zh-CN"/>
        </w:rPr>
        <w:t xml:space="preserve"> after 48h</w:t>
      </w:r>
      <w:r w:rsidRPr="005F0C53">
        <w:rPr>
          <w:rFonts w:ascii="Arial" w:hAnsi="Arial" w:cs="Arial"/>
          <w:sz w:val="20"/>
          <w:szCs w:val="20"/>
        </w:rPr>
        <w:t>.</w:t>
      </w:r>
    </w:p>
    <w:p w14:paraId="5B5C8F4F" w14:textId="77777777" w:rsidR="005F0C53" w:rsidRPr="005F0C53" w:rsidRDefault="005F0C53" w:rsidP="005F0C53">
      <w:pPr>
        <w:rPr>
          <w:rFonts w:ascii="Arial" w:hAnsi="Arial" w:cs="Arial"/>
          <w:sz w:val="20"/>
          <w:szCs w:val="20"/>
        </w:rPr>
      </w:pPr>
    </w:p>
    <w:p w14:paraId="08F2A2F1" w14:textId="77777777" w:rsidR="005F0C53" w:rsidRPr="005F0C53" w:rsidRDefault="005F0C53" w:rsidP="005F0C53">
      <w:pPr>
        <w:rPr>
          <w:rFonts w:ascii="Arial" w:hAnsi="Arial" w:cs="Arial"/>
          <w:sz w:val="20"/>
          <w:szCs w:val="20"/>
        </w:rPr>
      </w:pPr>
      <w:r w:rsidRPr="005F0C53">
        <w:rPr>
          <w:rFonts w:ascii="Arial" w:hAnsi="Arial" w:cs="Arial"/>
          <w:noProof/>
          <w:sz w:val="20"/>
          <w:szCs w:val="20"/>
        </w:rPr>
        <w:lastRenderedPageBreak/>
        <w:drawing>
          <wp:inline distT="0" distB="0" distL="0" distR="0" wp14:anchorId="4648F81C" wp14:editId="6A246405">
            <wp:extent cx="5238102" cy="6622109"/>
            <wp:effectExtent l="0" t="0" r="1270" b="7620"/>
            <wp:docPr id="206802952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029528" name="图片 9"/>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238102" cy="6622109"/>
                    </a:xfrm>
                    <a:prstGeom prst="rect">
                      <a:avLst/>
                    </a:prstGeom>
                    <a:noFill/>
                    <a:ln>
                      <a:noFill/>
                    </a:ln>
                  </pic:spPr>
                </pic:pic>
              </a:graphicData>
            </a:graphic>
          </wp:inline>
        </w:drawing>
      </w:r>
    </w:p>
    <w:p w14:paraId="5F61B7D6" w14:textId="51B041F0" w:rsidR="005F0C53" w:rsidRPr="005F0C53" w:rsidRDefault="005F0C53" w:rsidP="005F0C53">
      <w:pPr>
        <w:rPr>
          <w:rFonts w:ascii="Arial" w:hAnsi="Arial" w:cs="Arial"/>
          <w:sz w:val="20"/>
          <w:szCs w:val="20"/>
          <w:lang w:eastAsia="zh-CN"/>
        </w:rPr>
      </w:pPr>
      <w:r w:rsidRPr="005F0C53">
        <w:rPr>
          <w:rFonts w:ascii="Arial" w:hAnsi="Arial" w:cs="Arial"/>
          <w:sz w:val="20"/>
          <w:szCs w:val="20"/>
        </w:rPr>
        <w:t>Sup</w:t>
      </w:r>
      <w:r w:rsidR="00A331C4">
        <w:rPr>
          <w:rFonts w:ascii="Arial" w:hAnsi="Arial" w:cs="Arial" w:hint="eastAsia"/>
          <w:sz w:val="20"/>
          <w:szCs w:val="20"/>
          <w:lang w:eastAsia="zh-CN"/>
        </w:rPr>
        <w:t>5</w:t>
      </w:r>
    </w:p>
    <w:p w14:paraId="42D6871A" w14:textId="77777777" w:rsidR="005F0C53" w:rsidRPr="005F0C53" w:rsidRDefault="005F0C53" w:rsidP="005F0C53">
      <w:pPr>
        <w:rPr>
          <w:rFonts w:ascii="Arial" w:hAnsi="Arial" w:cs="Arial"/>
          <w:sz w:val="20"/>
          <w:szCs w:val="20"/>
        </w:rPr>
      </w:pPr>
      <w:r w:rsidRPr="005F0C53">
        <w:rPr>
          <w:rFonts w:ascii="Arial" w:hAnsi="Arial" w:cs="Arial"/>
          <w:b/>
          <w:sz w:val="20"/>
          <w:szCs w:val="20"/>
        </w:rPr>
        <w:t>a</w:t>
      </w:r>
      <w:r w:rsidRPr="005F0C53">
        <w:rPr>
          <w:rFonts w:ascii="Arial" w:hAnsi="Arial" w:cs="Arial"/>
          <w:sz w:val="20"/>
          <w:szCs w:val="20"/>
        </w:rPr>
        <w:t xml:space="preserve"> PCK2 expression in medulloblastoma cell lines in the CCLE database.</w:t>
      </w:r>
    </w:p>
    <w:p w14:paraId="3B09BBAD" w14:textId="5321F00C" w:rsidR="005F0C53" w:rsidRPr="005F0C53" w:rsidRDefault="005F0C53" w:rsidP="005F0C53">
      <w:pPr>
        <w:rPr>
          <w:rFonts w:ascii="Arial" w:hAnsi="Arial" w:cs="Arial"/>
          <w:sz w:val="20"/>
          <w:szCs w:val="20"/>
        </w:rPr>
      </w:pPr>
      <w:r w:rsidRPr="005F0C53">
        <w:rPr>
          <w:rFonts w:ascii="Arial" w:hAnsi="Arial" w:cs="Arial"/>
          <w:b/>
          <w:sz w:val="20"/>
          <w:szCs w:val="20"/>
        </w:rPr>
        <w:t>b</w:t>
      </w:r>
      <w:r w:rsidRPr="005F0C53">
        <w:rPr>
          <w:rFonts w:ascii="Arial" w:hAnsi="Arial" w:cs="Arial"/>
          <w:sz w:val="20"/>
          <w:szCs w:val="20"/>
        </w:rPr>
        <w:t xml:space="preserve"> Representative luminescence images showing mice bearing D458 cells with PCK2 WT or </w:t>
      </w:r>
      <w:r w:rsidR="00A632DA" w:rsidRPr="00B04196">
        <w:rPr>
          <w:rFonts w:ascii="Arial" w:hAnsi="Arial" w:cs="Arial"/>
          <w:sz w:val="20"/>
          <w:szCs w:val="20"/>
        </w:rPr>
        <w:t>knockdown</w:t>
      </w:r>
      <w:r w:rsidRPr="005F0C53">
        <w:rPr>
          <w:rFonts w:ascii="Arial" w:hAnsi="Arial" w:cs="Arial"/>
          <w:sz w:val="20"/>
          <w:szCs w:val="20"/>
        </w:rPr>
        <w:t xml:space="preserve"> after implantation.</w:t>
      </w:r>
    </w:p>
    <w:p w14:paraId="7F719D68" w14:textId="234C223B" w:rsidR="005F0C53" w:rsidRPr="005F0C53" w:rsidRDefault="005F0C53" w:rsidP="005F0C53">
      <w:pPr>
        <w:rPr>
          <w:rFonts w:ascii="Arial" w:hAnsi="Arial" w:cs="Arial"/>
          <w:sz w:val="20"/>
          <w:szCs w:val="20"/>
        </w:rPr>
      </w:pPr>
      <w:r w:rsidRPr="005F0C53">
        <w:rPr>
          <w:rFonts w:ascii="Arial" w:hAnsi="Arial" w:cs="Arial"/>
          <w:b/>
          <w:sz w:val="20"/>
          <w:szCs w:val="20"/>
        </w:rPr>
        <w:t>c</w:t>
      </w:r>
      <w:r w:rsidRPr="005F0C53">
        <w:rPr>
          <w:rFonts w:ascii="Arial" w:hAnsi="Arial" w:cs="Arial"/>
          <w:sz w:val="20"/>
          <w:szCs w:val="20"/>
        </w:rPr>
        <w:t xml:space="preserve"> Compare the fluorescence signals in the cerebellum of </w:t>
      </w:r>
      <w:r w:rsidR="006A298C" w:rsidRPr="006A298C">
        <w:rPr>
          <w:rFonts w:ascii="Arial" w:hAnsi="Arial" w:cs="Arial" w:hint="eastAsia"/>
          <w:sz w:val="20"/>
          <w:szCs w:val="20"/>
        </w:rPr>
        <w:t>BALB/c nude mice</w:t>
      </w:r>
      <w:r w:rsidRPr="005F0C53">
        <w:rPr>
          <w:rFonts w:ascii="Arial" w:hAnsi="Arial" w:cs="Arial"/>
          <w:sz w:val="20"/>
          <w:szCs w:val="20"/>
        </w:rPr>
        <w:t xml:space="preserve"> in the PCK2 WT and </w:t>
      </w:r>
      <w:r w:rsidR="00A632DA" w:rsidRPr="00B04196">
        <w:rPr>
          <w:rFonts w:ascii="Arial" w:hAnsi="Arial" w:cs="Arial"/>
          <w:sz w:val="20"/>
          <w:szCs w:val="20"/>
        </w:rPr>
        <w:t>knockdown</w:t>
      </w:r>
      <w:r w:rsidRPr="005F0C53">
        <w:rPr>
          <w:rFonts w:ascii="Arial" w:hAnsi="Arial" w:cs="Arial"/>
          <w:sz w:val="20"/>
          <w:szCs w:val="20"/>
        </w:rPr>
        <w:t xml:space="preserve"> groups.</w:t>
      </w:r>
    </w:p>
    <w:p w14:paraId="44B09C83" w14:textId="00463820" w:rsidR="005F0C53" w:rsidRPr="005F0C53" w:rsidRDefault="005F0C53" w:rsidP="005F0C53">
      <w:pPr>
        <w:rPr>
          <w:rFonts w:ascii="Arial" w:hAnsi="Arial" w:cs="Arial"/>
          <w:sz w:val="20"/>
          <w:szCs w:val="20"/>
          <w:lang w:eastAsia="zh-CN"/>
        </w:rPr>
      </w:pPr>
      <w:r w:rsidRPr="005F0C53">
        <w:rPr>
          <w:rFonts w:ascii="Arial" w:hAnsi="Arial" w:cs="Arial"/>
          <w:b/>
          <w:sz w:val="20"/>
          <w:szCs w:val="20"/>
        </w:rPr>
        <w:t>d</w:t>
      </w:r>
      <w:r w:rsidRPr="005F0C53">
        <w:rPr>
          <w:rFonts w:ascii="Arial" w:hAnsi="Arial" w:cs="Arial"/>
          <w:sz w:val="20"/>
          <w:szCs w:val="20"/>
        </w:rPr>
        <w:t xml:space="preserve"> Survival curves of two intracranial tumor-bearing mice.</w:t>
      </w:r>
      <w:r w:rsidR="00115128">
        <w:rPr>
          <w:rFonts w:ascii="Arial" w:hAnsi="Arial" w:cs="Arial" w:hint="eastAsia"/>
          <w:sz w:val="20"/>
          <w:szCs w:val="20"/>
          <w:lang w:eastAsia="zh-CN"/>
        </w:rPr>
        <w:t xml:space="preserve"> (n=5)</w:t>
      </w:r>
    </w:p>
    <w:p w14:paraId="46711FA3" w14:textId="77777777" w:rsidR="005F0C53" w:rsidRPr="005F0C53" w:rsidRDefault="005F0C53" w:rsidP="005F0C53">
      <w:pPr>
        <w:rPr>
          <w:rFonts w:ascii="Arial" w:hAnsi="Arial" w:cs="Arial"/>
          <w:sz w:val="20"/>
          <w:szCs w:val="20"/>
        </w:rPr>
      </w:pPr>
      <w:r w:rsidRPr="005F0C53">
        <w:rPr>
          <w:rFonts w:ascii="Arial" w:hAnsi="Arial" w:cs="Arial"/>
          <w:b/>
          <w:sz w:val="20"/>
          <w:szCs w:val="20"/>
        </w:rPr>
        <w:lastRenderedPageBreak/>
        <w:t>e</w:t>
      </w:r>
      <w:r w:rsidRPr="005F0C53">
        <w:rPr>
          <w:rFonts w:ascii="Arial" w:hAnsi="Arial" w:cs="Arial"/>
          <w:sz w:val="20"/>
          <w:szCs w:val="20"/>
        </w:rPr>
        <w:t xml:space="preserve"> Cerebellum in situ tumors were stained with H&amp;E staining and IHC for PCK2 and KI67.</w:t>
      </w:r>
    </w:p>
    <w:p w14:paraId="733FB39C" w14:textId="733A0CC0" w:rsidR="005F0C53" w:rsidRPr="005F0C53" w:rsidRDefault="005314F6" w:rsidP="005F0C53">
      <w:pPr>
        <w:rPr>
          <w:rFonts w:ascii="Arial" w:hAnsi="Arial" w:cs="Arial"/>
          <w:sz w:val="20"/>
          <w:szCs w:val="20"/>
          <w:lang w:eastAsia="zh-CN"/>
        </w:rPr>
      </w:pPr>
      <w:r>
        <w:rPr>
          <w:rFonts w:ascii="Arial" w:hAnsi="Arial" w:cs="Arial" w:hint="eastAsia"/>
          <w:b/>
          <w:sz w:val="20"/>
          <w:szCs w:val="20"/>
          <w:lang w:eastAsia="zh-CN"/>
        </w:rPr>
        <w:t>f</w:t>
      </w:r>
      <w:r w:rsidR="005F0C53" w:rsidRPr="005F0C53">
        <w:rPr>
          <w:rFonts w:ascii="Arial" w:hAnsi="Arial" w:cs="Arial"/>
          <w:sz w:val="20"/>
          <w:szCs w:val="20"/>
        </w:rPr>
        <w:t xml:space="preserve"> </w:t>
      </w:r>
      <w:proofErr w:type="gramStart"/>
      <w:r w:rsidR="005F0C53" w:rsidRPr="005F0C53">
        <w:rPr>
          <w:rFonts w:ascii="Arial" w:hAnsi="Arial" w:cs="Arial"/>
          <w:sz w:val="20"/>
          <w:szCs w:val="20"/>
        </w:rPr>
        <w:t>The</w:t>
      </w:r>
      <w:proofErr w:type="gramEnd"/>
      <w:r w:rsidR="005F0C53" w:rsidRPr="005F0C53">
        <w:rPr>
          <w:rFonts w:ascii="Arial" w:hAnsi="Arial" w:cs="Arial"/>
          <w:sz w:val="20"/>
          <w:szCs w:val="20"/>
        </w:rPr>
        <w:t xml:space="preserve"> statistical plot of metabolite levels of phosphoenolpyruvate</w:t>
      </w:r>
      <w:r w:rsidR="00D75ACE">
        <w:rPr>
          <w:rFonts w:ascii="Arial" w:hAnsi="Arial" w:cs="Arial" w:hint="eastAsia"/>
          <w:sz w:val="20"/>
          <w:szCs w:val="20"/>
          <w:lang w:eastAsia="zh-CN"/>
        </w:rPr>
        <w:t xml:space="preserve">, </w:t>
      </w:r>
      <w:r w:rsidR="005F0C53" w:rsidRPr="005F0C53">
        <w:rPr>
          <w:rFonts w:ascii="Arial" w:hAnsi="Arial" w:cs="Arial"/>
          <w:sz w:val="20"/>
          <w:szCs w:val="20"/>
        </w:rPr>
        <w:t>3-phosphoglyceric acid</w:t>
      </w:r>
      <w:r w:rsidR="00D75ACE">
        <w:rPr>
          <w:rFonts w:ascii="Arial" w:hAnsi="Arial" w:cs="Arial" w:hint="eastAsia"/>
          <w:sz w:val="20"/>
          <w:szCs w:val="20"/>
          <w:lang w:eastAsia="zh-CN"/>
        </w:rPr>
        <w:t xml:space="preserve"> and lactic acid</w:t>
      </w:r>
      <w:r w:rsidR="005F0C53" w:rsidRPr="005F0C53">
        <w:rPr>
          <w:rFonts w:ascii="Arial" w:hAnsi="Arial" w:cs="Arial"/>
          <w:sz w:val="20"/>
          <w:szCs w:val="20"/>
        </w:rPr>
        <w:t>.</w:t>
      </w:r>
      <w:r w:rsidR="00B00E51">
        <w:rPr>
          <w:rFonts w:ascii="Arial" w:hAnsi="Arial" w:cs="Arial" w:hint="eastAsia"/>
          <w:sz w:val="20"/>
          <w:szCs w:val="20"/>
          <w:lang w:eastAsia="zh-CN"/>
        </w:rPr>
        <w:t xml:space="preserve"> (n=3)</w:t>
      </w:r>
    </w:p>
    <w:p w14:paraId="6DDA5BBC" w14:textId="0897F18B" w:rsidR="005F0C53" w:rsidRDefault="005314F6" w:rsidP="005F0C53">
      <w:pPr>
        <w:rPr>
          <w:rFonts w:ascii="Arial" w:hAnsi="Arial" w:cs="Arial"/>
          <w:sz w:val="20"/>
          <w:szCs w:val="20"/>
        </w:rPr>
      </w:pPr>
      <w:r>
        <w:rPr>
          <w:rFonts w:ascii="Arial" w:hAnsi="Arial" w:cs="Arial" w:hint="eastAsia"/>
          <w:b/>
          <w:sz w:val="20"/>
          <w:szCs w:val="20"/>
          <w:lang w:eastAsia="zh-CN"/>
        </w:rPr>
        <w:t>g</w:t>
      </w:r>
      <w:r w:rsidR="005F0C53" w:rsidRPr="005F0C53">
        <w:rPr>
          <w:rFonts w:ascii="Arial" w:hAnsi="Arial" w:cs="Arial"/>
          <w:sz w:val="20"/>
          <w:szCs w:val="20"/>
        </w:rPr>
        <w:t xml:space="preserve"> Co-culture system of M0/M1/M2 macrophages and D341 cell line (PCK2 WT and </w:t>
      </w:r>
      <w:r w:rsidR="00A632DA" w:rsidRPr="00B04196">
        <w:rPr>
          <w:rFonts w:ascii="Arial" w:hAnsi="Arial" w:cs="Arial"/>
          <w:sz w:val="20"/>
          <w:szCs w:val="20"/>
        </w:rPr>
        <w:t>knockdown</w:t>
      </w:r>
      <w:r w:rsidR="005F0C53" w:rsidRPr="005F0C53">
        <w:rPr>
          <w:rFonts w:ascii="Arial" w:hAnsi="Arial" w:cs="Arial"/>
          <w:sz w:val="20"/>
          <w:szCs w:val="20"/>
        </w:rPr>
        <w:t xml:space="preserve"> groups), protein levels of M1 marker CD80 and M2 marker CD163 in the macrophages determined by Western Blot analysis.</w:t>
      </w:r>
    </w:p>
    <w:p w14:paraId="5EFF288D" w14:textId="7905078D" w:rsidR="005314F6" w:rsidRPr="005F0C53" w:rsidRDefault="005314F6" w:rsidP="005F0C53">
      <w:pPr>
        <w:rPr>
          <w:rFonts w:ascii="Arial" w:hAnsi="Arial" w:cs="Arial"/>
          <w:sz w:val="20"/>
          <w:szCs w:val="20"/>
          <w:lang w:eastAsia="zh-CN"/>
        </w:rPr>
      </w:pPr>
      <w:r>
        <w:rPr>
          <w:rFonts w:ascii="Arial" w:hAnsi="Arial" w:cs="Arial"/>
          <w:b/>
          <w:sz w:val="20"/>
          <w:szCs w:val="20"/>
          <w:lang w:eastAsia="zh-CN"/>
        </w:rPr>
        <w:t>H</w:t>
      </w:r>
      <w:r>
        <w:rPr>
          <w:rFonts w:ascii="Arial" w:hAnsi="Arial" w:cs="Arial" w:hint="eastAsia"/>
          <w:b/>
          <w:sz w:val="20"/>
          <w:szCs w:val="20"/>
          <w:lang w:eastAsia="zh-CN"/>
        </w:rPr>
        <w:t xml:space="preserve"> </w:t>
      </w:r>
      <w:r w:rsidRPr="005F0C53">
        <w:rPr>
          <w:rFonts w:ascii="Arial" w:hAnsi="Arial" w:cs="Arial"/>
          <w:sz w:val="20"/>
          <w:szCs w:val="20"/>
        </w:rPr>
        <w:t>The statistical graph on the RNA expression of RBFOX3.</w:t>
      </w:r>
    </w:p>
    <w:p w14:paraId="6CFE2312" w14:textId="0D7B6CF0" w:rsidR="005F0C53" w:rsidRPr="005F0C53" w:rsidRDefault="005F0C53" w:rsidP="005F0C53">
      <w:pPr>
        <w:rPr>
          <w:rFonts w:ascii="Arial" w:hAnsi="Arial" w:cs="Arial"/>
          <w:sz w:val="20"/>
          <w:szCs w:val="20"/>
        </w:rPr>
      </w:pPr>
      <w:proofErr w:type="spellStart"/>
      <w:r w:rsidRPr="005F0C53">
        <w:rPr>
          <w:rFonts w:ascii="Arial" w:hAnsi="Arial" w:cs="Arial"/>
          <w:b/>
          <w:sz w:val="20"/>
          <w:szCs w:val="20"/>
        </w:rPr>
        <w:t>i</w:t>
      </w:r>
      <w:proofErr w:type="spellEnd"/>
      <w:r w:rsidRPr="005F0C53">
        <w:rPr>
          <w:rFonts w:ascii="Arial" w:hAnsi="Arial" w:cs="Arial"/>
          <w:b/>
          <w:sz w:val="20"/>
          <w:szCs w:val="20"/>
        </w:rPr>
        <w:t xml:space="preserve"> </w:t>
      </w:r>
      <w:r w:rsidRPr="005F0C53">
        <w:rPr>
          <w:rFonts w:ascii="Arial" w:hAnsi="Arial" w:cs="Arial"/>
          <w:sz w:val="20"/>
          <w:szCs w:val="20"/>
        </w:rPr>
        <w:t xml:space="preserve">Verification of the interactions of NEUROD1 with EZH2 after PCK2 </w:t>
      </w:r>
      <w:r w:rsidR="00A632DA" w:rsidRPr="00B04196">
        <w:rPr>
          <w:rFonts w:ascii="Arial" w:hAnsi="Arial" w:cs="Arial"/>
          <w:sz w:val="20"/>
          <w:szCs w:val="20"/>
        </w:rPr>
        <w:t>knockdown</w:t>
      </w:r>
      <w:r w:rsidRPr="005F0C53">
        <w:rPr>
          <w:rFonts w:ascii="Arial" w:hAnsi="Arial" w:cs="Arial"/>
          <w:sz w:val="20"/>
          <w:szCs w:val="20"/>
        </w:rPr>
        <w:t xml:space="preserve"> by a Co-IP assay.</w:t>
      </w:r>
    </w:p>
    <w:p w14:paraId="6C945968" w14:textId="77777777" w:rsidR="005F0C53" w:rsidRPr="005F0C53" w:rsidRDefault="005F0C53" w:rsidP="005F0C53">
      <w:pPr>
        <w:rPr>
          <w:rFonts w:ascii="Arial" w:hAnsi="Arial" w:cs="Arial"/>
          <w:sz w:val="20"/>
          <w:szCs w:val="20"/>
        </w:rPr>
      </w:pPr>
      <w:r w:rsidRPr="005F0C53">
        <w:rPr>
          <w:rFonts w:ascii="Arial" w:hAnsi="Arial" w:cs="Arial"/>
          <w:b/>
          <w:sz w:val="20"/>
          <w:szCs w:val="20"/>
        </w:rPr>
        <w:t>j</w:t>
      </w:r>
      <w:r w:rsidRPr="005F0C53">
        <w:rPr>
          <w:rFonts w:ascii="Arial" w:hAnsi="Arial" w:cs="Arial"/>
          <w:sz w:val="20"/>
          <w:szCs w:val="20"/>
        </w:rPr>
        <w:t xml:space="preserve"> PCK1 expression in medulloblastoma cell lines in the CCLE database.</w:t>
      </w:r>
    </w:p>
    <w:p w14:paraId="1236CBF7" w14:textId="77777777" w:rsidR="005F0C53" w:rsidRPr="005F0C53" w:rsidRDefault="005F0C53" w:rsidP="005F0C53">
      <w:pPr>
        <w:rPr>
          <w:rFonts w:ascii="Arial" w:hAnsi="Arial" w:cs="Arial"/>
          <w:sz w:val="20"/>
          <w:szCs w:val="20"/>
        </w:rPr>
      </w:pPr>
      <w:r w:rsidRPr="005F0C53">
        <w:rPr>
          <w:rFonts w:ascii="Arial" w:hAnsi="Arial" w:cs="Arial"/>
          <w:b/>
          <w:sz w:val="20"/>
          <w:szCs w:val="20"/>
        </w:rPr>
        <w:t>k</w:t>
      </w:r>
      <w:r w:rsidRPr="005F0C53">
        <w:rPr>
          <w:rFonts w:ascii="Arial" w:hAnsi="Arial" w:cs="Arial"/>
          <w:sz w:val="20"/>
          <w:szCs w:val="20"/>
        </w:rPr>
        <w:t xml:space="preserve"> Schematic of the mechanism of PCK2 in the pathogenesis of MYC-amplified medulloblastoma.</w:t>
      </w:r>
    </w:p>
    <w:p w14:paraId="5599963C" w14:textId="77777777" w:rsidR="0041306E" w:rsidRPr="005F0C53" w:rsidRDefault="0041306E" w:rsidP="00BD309E">
      <w:pPr>
        <w:spacing w:line="360" w:lineRule="auto"/>
        <w:rPr>
          <w:rFonts w:ascii="Arial" w:hAnsi="Arial" w:cs="Arial"/>
          <w:sz w:val="20"/>
          <w:szCs w:val="20"/>
        </w:rPr>
      </w:pPr>
    </w:p>
    <w:sectPr w:rsidR="0041306E" w:rsidRPr="005F0C53" w:rsidSect="0024527C">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0B6CE" w14:textId="77777777" w:rsidR="00B83AF3" w:rsidRDefault="00B83AF3" w:rsidP="00431762">
      <w:pPr>
        <w:spacing w:after="0" w:line="240" w:lineRule="auto"/>
        <w:rPr>
          <w:rFonts w:hint="eastAsia"/>
        </w:rPr>
      </w:pPr>
      <w:r>
        <w:separator/>
      </w:r>
    </w:p>
  </w:endnote>
  <w:endnote w:type="continuationSeparator" w:id="0">
    <w:p w14:paraId="070BD39A" w14:textId="77777777" w:rsidR="00B83AF3" w:rsidRDefault="00B83AF3" w:rsidP="0043176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21D72" w14:textId="77777777" w:rsidR="00B83AF3" w:rsidRDefault="00B83AF3" w:rsidP="00431762">
      <w:pPr>
        <w:spacing w:after="0" w:line="240" w:lineRule="auto"/>
        <w:rPr>
          <w:rFonts w:hint="eastAsia"/>
        </w:rPr>
      </w:pPr>
      <w:r>
        <w:separator/>
      </w:r>
    </w:p>
  </w:footnote>
  <w:footnote w:type="continuationSeparator" w:id="0">
    <w:p w14:paraId="1ECF00F3" w14:textId="77777777" w:rsidR="00B83AF3" w:rsidRDefault="00B83AF3" w:rsidP="00431762">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E.Ref{20245503-1BD3-47EE-862F-6BF7C16E8663}" w:val=" ADDIN NE.Ref.{20245503-1BD3-47EE-862F-6BF7C16E8663}&lt;Citation&gt;&lt;Group&gt;&lt;References&gt;&lt;Item&gt;&lt;ID&gt;587&lt;/ID&gt;&lt;UID&gt;{5E4931DB-6AE4-4448-8784-EDA38FA77884}&lt;/UID&gt;&lt;Title&gt;Early rhombic lip Protogenin(+ve) stem cells in a human-specific neurovascular  niche initiate and maintain group 3 medulloblastoma&lt;/Title&gt;&lt;Template&gt;Journal Article&lt;/Template&gt;&lt;Star&gt;0&lt;/Star&gt;&lt;Tag&gt;1&lt;/Tag&gt;&lt;Author&gt;Visvanathan, A; Saulnier, O; Chen, C; Haldipur, P; Orisme, W; Delaidelli, A; Shin, S; Millman, J; Bryant, A; Abeysundara, N; Wu, X; Hendrikse, L D; Patil, V; Bashardanesh, Z; Golser, J; Livingston, B G; Nakashima, T; Funakoshi, Y; Ong, W; Rasnitsyn, A; Aldinger, K A; Richman, C M; Van Ommeren, R; Lee, JJY; Ly, M; Vladoiu, M C; Kharas, K; Balin, P; Erickson, A W; Fong, V; Zhang, J; Suarez, R A; Wang, H; Huang, N; Pallota, J G; Douglas, T; Haapasalo, J; Razavi, F; Silvestri, E; Sirbu, O; Worme, S; Kameda-Smith, M M; Wu, X; Daniels, C; MichaelRaj, A K; Bhaduri, A; Schramek, D; Suzuki, H; Garzia, L; Ahmed, N; Kleinman, C L; Stein, L D; Dirks, P; Dunham, C; Jabado, N; Rich, J N; Li, W; Sorensen, P H; Wechsler-Reya, R J; Weiss, W A; Millen, K J; Ellison, D W; Dimitrov, D S; Taylor, M D&lt;/Author&gt;&lt;Year&gt;2024&lt;/Year&gt;&lt;Details&gt;&lt;_accession_num&gt;38971152&lt;/_accession_num&gt;&lt;_author_adr&gt;The Arthur and Sonia Labatt Brain Tumour Research Centre, The Hospital for Sick  Children, Toronto, ON, Canada; Developmental &amp;amp; Stem Cell Biology Program, The  Hospital for Sick Children, Toronto, ON, Canada.; The Arthur and Sonia Labatt Brain Tumour Research Centre, The Hospital for Sick  Children, Toronto, ON, Canada; Developmental &amp;amp; Stem Cell Biology Program, The  Hospital for Sick Children, Toronto, ON, Canada; Genomics and Development of  Childhood Cancers, Institut Curie, PSL University, 75005 Paris, France; INSERM  U830, Cancer Heterogeneity Instability and Plasticity, Institut Curie, PSL  University, 75005 Paris, France; SIREDO: Care, Innovation and Research for  Children, Adolescents and Young Adults with Cancer, Institut Curie, 75005 Paris,  France.; Center for Antibody Therapeutics, Division of Infectious Diseases, University of  Pittsburgh School of Medicine, Pittsburgh, PA, USA.; Center for Integrative Brain Research, Seattle Children&amp;apos;s Research Institute,  Seattle, WA, USA.; St. Jude Children&amp;apos;s Research Hospital, Memphis, TN, USA.; British Columbia Cancer Agency, Vancouver, BC, Canada.; Center for Antibody Therapeutics, Division of Infectious Diseases, University of  Pittsburgh School of Medicine, Pittsburgh, PA, USA.; Center for Integrative Brain Research, Seattle Children&amp;apos;s Research Institute,  Seattle, WA, USA.; Department of Pathology, St. Jude Children&amp;apos;s Research Hospital, Memphis, TN, USA.; The Arthur and Sonia Labatt Brain Tumour Research Centre, The Hospital for Sick  Children, Toronto, ON, Canada; Developmental &amp;amp; Stem Cell Biology Program, The  Hospital for Sick Children, Toronto, ON, Canada.; Hillman Cancer Center, University of Pittsburgh Medical Center, Pittsburgh, PA,  USA.; The Arthur and Sonia Labatt Brain Tumour Research Centre, The Hospital for Sick  Children, Toronto, ON, Canada; Developmental &amp;amp; Stem Cell Biology Program, The  Hospital for Sick Children, Toronto, ON, Canada; Department of Medical  Biophysics, University of Toronto, Toronto, ON, Canada.; MacFeeters-Hamilton Center for Neuro-Oncology Research, Princess Margaret Cancer  Centre, University Health Network, Toronto, ON, Canada.; Lady Davis Institute, McGill University, Montreal, QC, Canada.; Center for Integrative Brain Research, Seattle Children&amp;apos;s Research Institute,  Seattle, WA, USA.; The Arthur and Sonia Labatt Brain Tumour Research Centre, The Hospital for Sick  Children, Toronto, ON, Canada; Developmental &amp;amp; Stem Cell Biology Program, The  Hospital for Sick Children, Toronto, ON, Canada; Department of Laboratory  Medicine and Pathobiology, University of Toronto, Toronto, ON, Canada.; Division of Brain Tumor Translational Research, National Cancer Center Research  Institute, Tokyo, Japan.; Division of Brain Tumor Translational Research, National Cancer Center Research  Institute, Tokyo, Japan.; The Arthur and Sonia Labatt Brain Tumour Research Centre, The Hospital for Sick  Children, Toronto, ON, Canada; Developmental &amp;amp; Stem Cell Biology Program, The  Hospital for Sick Children, Toronto, ON, Canada; Department of Laboratory  Medicine and Pathobiology, University of Toronto, Toronto, ON, Canada.; The Arthur and Sonia Labatt Brain Tumour Research Centre, The Hospital for Sick  Children, Toronto, ON, Canada; Developmental &amp;amp; Stem Cell Biology Program, The  Hospital for Sick Children, Toronto, ON, Canada; Department of Medical  Biophysics, University of Toronto, Toronto, ON, Canada.; Departments of Pediatrics and Neurology. University of Washington, Seattle, WA,  USA.; The Arthur and Sonia Labatt Brain Tumour Research Centre, The Hospital for Sick  Children, Toronto, ON, Canada; Developmental &amp;amp; Stem Cell Biology Program, The  Hospital for Sick Children, Toronto, ON, Canada; Department of Medical  Biophysics, University of Toronto, Toronto, ON, Canada.; The Arthur and Sonia Labatt Brain Tumour Research Centre, The Hospital for Sick  Children, Toronto, ON, Canada; Developmental &amp;amp; Stem Cell Biology Program, The  Hospital for Sick Children, Toronto, ON, Canada; Department of Laboratory  Medicine and Pathobiology, University of Toronto, Toronto, ON, Canada.; The Arthur and Sonia Labatt Brain Tumour Research Centre, The Hospital for Sick  Children, Toronto, ON, Canada; Developmental &amp;amp; Stem Cell Biology Program, The  Hospital for Sick Children, Toronto, ON, Canada; Department of Laboratory  Medicine and Pathobiology, University of Toronto, Toronto, ON, Canada.; The Arthur and Sonia Labatt Brain Tumour Research Centre, The Hospital for Sick  Children, Toronto, ON, Canada; Developmental &amp;amp; Stem Cell Biology Program, The  Hospital for Sick Children, Toronto, ON, Canada; Department of Laboratory  Medicine and Pathobiology, University of Toronto, Toronto, ON, Canada.; The Arthur and Sonia Labatt Brain Tumour Research Centre, The Hospital for Sick  Children, Toronto, ON, Canada; Developmental &amp;amp; Stem Cell Biology Program, The  Hospital for Sick Children, Toronto, ON, Canada; Department of Laboratory  Medicine and Pathobiology, University of Toronto, Toronto, ON, Canada.; The Arthur and Sonia Labatt Brain Tumour Research Centre, The Hospital for Sick  Children, Toronto, ON, Canada; Developmental &amp;amp; Stem Cell Biology Program, The  Hospital for Sick Children, Toronto, ON, Canada; Department of Laboratory  Medicine and Pathobiology, University of Toronto, Toronto, ON, Canada.; The Arthur and Sonia Labatt Brain Tumour Research Centre, The Hospital for Sick  Children, Toronto, ON, Canada; Developmental &amp;amp; Stem Cell Biology Program, The  Hospital for Sick Children, Toronto, ON, Canada; Department of Laboratory  Medicine and Pathobiology, University of Toronto, Toronto, ON, Canada.; The Arthur and Sonia Labatt Brain Tumour Research Centre, The Hospital for Sick  Children, Toronto, ON, Canada; Developmental &amp;amp; Stem Cell Biology Program, The  Hospital for Sick Children, Toronto, ON, Canada; Department of Laboratory  Medicine and Pathobiology, University of Toronto, Toronto, ON, Canada.; The Arthur and Sonia Labatt Brain Tumour Research Centre, The Hospital for Sick  Children, Toronto, ON, Canada; Developmental &amp;amp; Stem Cell Biology Program, The  Hospital for Sick Children, Toronto, ON, Canada; Department of Laboratory  Medicine and Pathobiology, University of Toronto, Toronto, ON, Canada.; The Arthur and Sonia Labatt Brain Tumour Research Centre, The Hospital for Sick  Children, Toronto, ON, Canada; Developmental &amp;amp; Stem Cell Biology Program, The  Hospital for Sick Children, Toronto, ON, Canada; Texas Children&amp;apos;s Cancer and  Hematology Center, Houston, TX, USA; Department of Pediatrics -  Hematology/Oncology, Baylor College of Medicine, Houston, TX, USA.; The Arthur and Sonia Labatt Brain Tumour Research Centre, The Hospital for Sick  Children, Toronto, ON, Canada; Developmental &amp;amp; Stem Cell Biology Program, The  Hospital for Sick Children, Toronto, ON, Canada.; The Arthur and Sonia Labatt Brain Tumour Research Centre, The Hospital for Sick  Children, Toronto, ON, Canada; Developmental &amp;amp; Stem Cell Biology Program, The  Hospital for Sick Children, Toronto, ON, Canada.; The Arthur and Sonia Labatt Brain Tumour Research Centre, The Hospital for Sick  Children, Toronto, ON, Canada; Developmental &amp;amp; Stem Cell Biology Program, The  Hospital for Sick Children, Toronto, ON, Canada.; The Arthur and Sonia Labatt Brain Tumour Research Centre, The Hospital for Sick  Children, Toronto, ON, Canada; Developmental &amp;amp; Stem Cell Biology Program, The  Hospital for Sick Children, Toronto, ON, Canada.; The Arthur and Sonia Labatt Brain Tumour Research Centre, The Hospital for Sick  Children, Toronto, ON, Canada; Developmental &amp;amp; Stem Cell Biology Program, The  Hospital for Sick Children, Toronto, ON, Canada.; Department of Neurosurgery, Tampere University Hospital, Tampere, Finland.; Assistance Publique Hopitaux de Paris, Hopital Necker-Enfants Malades, Paris,  France.; Surgical Pathology Unit, San Camillo Forlanini Hospital, Rome, Italy.; The Arthur and Sonia Labatt Brain Tumour Research Centre, The Hospital for Sick  Children, Toronto, ON, Canada; Developmental &amp;amp; Stem Cell Biology Program, The  Hospital for Sick Children, Toronto, ON, Canada; Department of Medical  Biophysics, University of Toronto, Toronto, ON, Canada.; Division of Experimental Medicine, McGill University, Montreal, QC, Canada.; Texas Children&amp;apos;s Cancer and Hematology Center, Houston, TX, USA; Department of  Pediatrics - Hematology/Oncology, Baylor College of Medicine, Houston, TX, USA.; The Arthur and Sonia Labatt Brain Tumour Research Centre, The Hospital for Sick  Children, Toronto, ON, Canada; Developmental &amp;amp; Stem Cell Biology Program, The  Hospital for Sick Children, Toronto, ON, Canada; Texas Children&amp;apos;s Cancer and  Hematology Center, Houston, TX, USA; Department of Pediatrics -  Hematology/Oncology, Baylor College of Medicine, Houston, TX, USA.; The Arthur and Sonia Labatt Brain Tumour Research Centre, The Hospital for Sick  Children, Toronto, ON, Canada; Developmental &amp;amp; Stem Cell Biology Program, The  Hospital for Sick Children, Toronto, ON, Canada; Texas Children&amp;apos;s Cancer and  Hematology Center, Houston, TX, USA; Department of Pediatrics -  Hematology/Oncology, Baylor College of Medicine, Houston, TX, USA.; Department of Neurological Surgery, University of Pittsburgh School of Medicine,  Pittsburgh, PA, USA.; Department of Biological Chemistry, David Geffen School of Medicine at UCLA, Los  Angeles, CA, USA.; Centre for Molecular and Systems Biology, Lunenfeld-Tanenbaum Research Institute,  Sinai Health System, Toronto, ON, Canada.; Division of Brain Tumor Translational Research, National Cancer Center Research  Institute, Tokyo, Japan.; Cancer Research Program, McGill University Health Centre Research Institute,  Montreal, QC, Canada.; Centre for Cell and Gene Therapy, Texas Children&amp;apos;s Hospital, Houston Methodist  Hospital, Baylor College of Medicine, Houston, TX, USA.; Department of Human Genetics, McGill University, Montreal, QC, Canada; Lady Davis  Research Institute, Jewish General Hospital, Montreal, QC, Canada.; Adaptive Oncology, Ontario Institute for Cancer Research, Toronto, ON, Canada;  Department of Molecular Genetics, University of Toronto, Toronto, ON, Canada.; The Arthur and Sonia Labatt Brain Tumour Research Centre, The Hospital for Sick  Children, Toronto, ON, Canada; Developmental &amp;amp; Stem Cell Biology Program, The  Hospital for Sick Children, Toronto, ON, Canada; Department of Molecular  Genetics, University of Toronto, Toronto, ON, Canada; Division of Neurosurgery,  The Hospital for Sick Children, Toronto, ON, Canada.; British Columbia Children&amp;apos;s Hospital, Vancouver, BC, Canada.; Departments of Pediatrics and Human Genetics, McGill University, Montreal, QC,  Canada; The Research Institute of the McGill University Health Center, Montreal,  QC, Canada.; Hillman Cancer Center, University of Pittsburgh Medical Center, Pittsburgh, PA,  USA.; Center for Antibody Therapeutics, Division of Infectious Diseases, University of  Pittsburgh School of Medicine, Pittsburgh, PA, USA.; British Columbia Cancer Agency, Vancouver, BC, Canada.; Tumor Initiation and Maintenance Program, NCI-Designated Cancer Center, Sanford  Burnham Prebys Medical Discovery Institute, La Jolla, CA, USA.; Department of Neurology, University of California, San Francisco, San Francisco,  CA, USA; Department of Neurological Surgery, University of California, San  Francisco, San Francisco, CA, USA; Department of Pediatrics, University of  California, San Francisco, San Francisco, CA, USA.; Department of Pediatrics, University of Washington, Seattle, USA.; St. Jude Children&amp;apos;s Research Hospital, Memphis, TN, USA.; Center for Antibody Therapeutics, Division of Infectious Diseases, University of  Pittsburgh School of Medicine, Pittsburgh, PA, USA. Electronic address:  mit666666@pitt.edu.; The Arthur and Sonia Labatt Brain Tumour Research Centre, The Hospital for Sick  Children, Toronto, ON, Canada; Developmental &amp;amp; Stem Cell Biology Program, The  Hospital for Sick Children, Toronto, ON, Canada; Department of Medical  Biophysics, University of Toronto, Toronto, ON, Canada; Department of Laboratory  Medicine and Pathobiology, University of Toronto, Toronto, ON, Canada; Texas  Children&amp;apos;s Cancer and Hematology Center, Houston, TX, USA; Department of  Pediatrics - Hematology/Oncology, Baylor College of Medicine, Houston, TX, USA;  Department of Neurosurgery, Baylor College of Medicine, Houston, TX, USA;  Department of Neurosurgery, Texas Children&amp;apos;s Hospital, Houston, TX, USA; Dan L  Duncan Comprehensive Cancer Center, Baylor College of Medicine, Houston, TX, USA;  Department of Surgery, University of Toronto, Toronto, ON, Canada. Electronic  address: mdt.cns@gmail.com.&lt;/_author_adr&gt;&lt;_collection_scope&gt;SCI;SCIE&lt;/_collection_scope&gt;&lt;_created&gt;65819097&lt;/_created&gt;&lt;_date&gt;2024-08-22&lt;/_date&gt;&lt;_date_display&gt;2024 Aug 22&lt;/_date_display&gt;&lt;_db_updated&gt;PubMed&lt;/_db_updated&gt;&lt;_doi&gt;10.1016/j.cell.2024.06.011&lt;/_doi&gt;&lt;_impact_factor&gt;  41.584&lt;/_impact_factor&gt;&lt;_isbn&gt;1097-4172 (Electronic); 0092-8674 (Print); 0092-8674 (Linking)&lt;/_isbn&gt;&lt;_issue&gt;17&lt;/_issue&gt;&lt;_journal&gt;Cell&lt;/_journal&gt;&lt;_keywords&gt;brain development; brain tumor immunotherapy; cancer genomics; group 3 medulloblastoma; perivascular niche; rhombic lip&lt;/_keywords&gt;&lt;_language&gt;eng&lt;/_language&gt;&lt;_modified&gt;65820415&lt;/_modified&gt;&lt;_ori_publication&gt;Copyright (c) 2024 The Authors. Published by Elsevier Inc. All rights reserved.&lt;/_ori_publication&gt;&lt;_pages&gt;4733-4750.e26&lt;/_pages&gt;&lt;_subject_headings&gt;Humans; *Medulloblastoma/pathology/metabolism; Animals; *Neoplastic Stem Cells/metabolism/pathology; Mice; Rhombencephalon/metabolism/embryology; Cerebellar Neoplasms/metabolism/pathology; Endothelial Cells/metabolism; Stem Cell Niche; Stem Cells/metabolism; Coculture Techniques; Embryonic Structures; Metencephalon/embryology&lt;/_subject_headings&gt;&lt;_tertiary_title&gt;Cell&lt;/_tertiary_title&gt;&lt;_type_work&gt;Journal Article&lt;/_type_work&gt;&lt;_url&gt;http://www.ncbi.nlm.nih.gov/entrez/query.fcgi?cmd=Retrieve&amp;amp;db=pubmed&amp;amp;dopt=Abstract&amp;amp;list_uids=38971152&amp;amp;query_hl=1&lt;/_url&gt;&lt;_volume&gt;187&lt;/_volume&gt;&lt;/Details&gt;&lt;Extra&gt;&lt;DBUID&gt;{F96A950B-833F-4880-A151-76DA2D6A2879}&lt;/DBUID&gt;&lt;/Extra&gt;&lt;/Item&gt;&lt;/References&gt;&lt;/Group&gt;&lt;/Citation&gt;_x000a_"/>
    <w:docVar w:name="NE.Ref{2B79847E-C2B3-4868-99A6-ABEFED328C4C}" w:val=" ADDIN NE.Ref.{2B79847E-C2B3-4868-99A6-ABEFED328C4C}&lt;Citation&gt;&lt;Group&gt;&lt;References&gt;&lt;Item&gt;&lt;ID&gt;802&lt;/ID&gt;&lt;UID&gt;{84F16516-7606-4A90-85DD-F488A970D9DC}&lt;/UID&gt;&lt;Title&gt;Neoplastic and immune single-cell transcriptomics define subgroup-specific  intra-tumoral heterogeneity of childhood medulloblastoma&lt;/Title&gt;&lt;Template&gt;Journal Article&lt;/Template&gt;&lt;Star&gt;1&lt;/Star&gt;&lt;Tag&gt;1&lt;/Tag&gt;&lt;Author&gt;Riemondy, K A; Venkataraman, S; Willard, N; Nellan, A; Sanford, B; Griesinger, A M; Amani, V; Mitra, S; Hankinson, T C; Handler, M H; Sill, M; Ocasio, J; Weir, S J; Malawsky, D S; Gershon, T R; Garancher, A; Wechsler-Reya, R J; Hesselberth, J R; Foreman, N K; Donson, A M; Vibhakar, R&lt;/Author&gt;&lt;Year&gt;2022&lt;/Year&gt;&lt;Details&gt;&lt;_accessed&gt;65884214&lt;/_accessed&gt;&lt;_accession_num&gt;34077540&lt;/_accession_num&gt;&lt;_author_adr&gt;RNA Bioscience Initiative, University of Colorado Anschutz Medical Campus,  Aurora, Colorado, USA.; Morgan Adams Foundation Pediatric Brain Tumor Research Program, Children&amp;apos;s  Hospital Colorado, Aurora, Colorado, USA.; Department of Pediatrics, University of Colorado Anschutz Medical Campus, Aurora,  Colorado, USA.; Department of Pathology, University of Colorado Anschutz Medical Campus, Aurora,  Colorado, USA.; Morgan Adams Foundation Pediatric Brain Tumor Research Program, Children&amp;apos;s  Hospital Colorado, Aurora, Colorado, USA.; Department of Pediatrics, University of Colorado Anschutz Medical Campus, Aurora,  Colorado, USA.; Morgan Adams Foundation Pediatric Brain Tumor Research Program, Children&amp;apos;s  Hospital Colorado, Aurora, Colorado, USA.; Morgan Adams Foundation Pediatric Brain Tumor Research Program, Children&amp;apos;s  Hospital Colorado, Aurora, Colorado, USA.; Department of Pediatrics, University of Colorado Anschutz Medical Campus, Aurora,  Colorado, USA.; Morgan Adams Foundation Pediatric Brain Tumor Research Program, Children&amp;apos;s  Hospital Colorado, Aurora, Colorado, USA.; Department of Pediatrics, University of Colorado Anschutz Medical Campus, Aurora,  Colorado, USA.; Morgan Adams Foundation Pediatric Brain Tumor Research Program, Children&amp;apos;s  Hospital Colorado, Aurora, Colorado, USA.; Department of Pediatrics, University of Colorado Anschutz Medical Campus, Aurora,  Colorado, USA.; Department of Neurosurgery, University of Colorado Anschutz Medical Campus,  Aurora, Colorado, USA.; Department of Pediatrics, University of Colorado Anschutz Medical Campus, Aurora,  Colorado, USA.; Department of Neurosurgery, University of Colorado Anschutz Medical Campus,  Aurora, Colorado, USA.; Department of Pediatrics, University of Colorado Anschutz Medical Campus, Aurora,  Colorado, USA.; Hopp Children&amp;apos;s Cancer Center Heidelberg (KiTZ), Heidelberg, Germany.; Division of Pediatric Neurooncology, German Cancer Research Center (DKFZ),  Heidelberg, Germany.; Department of Neurology, UNC School of Medicine, Chapel Hill, North Carolina,  USA.; Department of Neurology, UNC School of Medicine, Chapel Hill, North Carolina,  USA.; Department of Neurology, UNC School of Medicine, Chapel Hill, North Carolina,  USA.; Department of Neurology, UNC School of Medicine, Chapel Hill, North Carolina,  USA.; Tumor Initiation and Maintenance Program, NCI-Designated Cancer Center, Sanford  Burnham Prebys Medical Discovery Institute, La Jolla, California, USA.; Tumor Initiation and Maintenance Program, NCI-Designated Cancer Center, Sanford  Burnham Prebys Medical Discovery Institute, La Jolla, California, USA.; RNA Bioscience Initiative, University of Colorado Anschutz Medical Campus,  Aurora, Colorado, USA.; Morgan Adams Foundation Pediatric Brain Tumor Research Program, Children&amp;apos;s  Hospital Colorado, Aurora, Colorado, USA.; Department of Neurosurgery, University of Colorado Anschutz Medical Campus,  Aurora, Colorado, USA.; Department of Pediatrics, University of Colorado Anschutz Medical Campus, Aurora,  Colorado, USA.; Morgan Adams Foundation Pediatric Brain Tumor Research Program, Children&amp;apos;s  Hospital Colorado, Aurora, Colorado, USA.; Department of Pediatrics, University of Colorado Anschutz Medical Campus, Aurora,  Colorado, USA.; Morgan Adams Foundation Pediatric Brain Tumor Research Program, Children&amp;apos;s  Hospital Colorado, Aurora, Colorado, USA.; Department of Pediatrics, University of Colorado Anschutz Medical Campus, Aurora,  Colorado, USA.&lt;/_author_adr&gt;&lt;_created&gt;65819536&lt;/_created&gt;&lt;_date&gt;2022-02-01&lt;/_date&gt;&lt;_date_display&gt;2022 Feb 1&lt;/_date_display&gt;&lt;_db_updated&gt;PubMed&lt;/_db_updated&gt;&lt;_doi&gt;10.1093/neuonc/noab135&lt;/_doi&gt;&lt;_impact_factor&gt;  12.300&lt;/_impact_factor&gt;&lt;_isbn&gt;1523-5866 (Electronic); 1522-8517 (Print); 1522-8517 (Linking)&lt;/_isbn&gt;&lt;_issue&gt;2&lt;/_issue&gt;&lt;_journal&gt;Neuro Oncol&lt;/_journal&gt;&lt;_keywords&gt;immune; medulloblastoma; neoplastic; scRNA-seq; subpopulation&lt;/_keywords&gt;&lt;_language&gt;eng&lt;/_language&gt;&lt;_modified&gt;65884214&lt;/_modified&gt;&lt;_ori_publication&gt;(c) The Author(s) 2021. Published by Oxford University Press on behalf of the _x000d__x000a_      Society for Neuro-Oncology. All rights reserved. For permissions, please e-mail: _x000d__x000a_      journals.permissions@oup.com.&lt;/_ori_publication&gt;&lt;_pages&gt;273-286&lt;/_pages&gt;&lt;_subject_headings&gt;Animals; *Cerebellar Neoplasms/genetics; Gene Expression Regulation, Neoplastic; Hedgehog Proteins/genetics; Humans; *Medulloblastoma/genetics; Mice; Transcriptome; Tumor Microenvironment/genetics&lt;/_subject_headings&gt;&lt;_tertiary_title&gt;Neuro-oncology&lt;/_tertiary_title&gt;&lt;_type_work&gt;Journal Article; Research Support, N.I.H., Extramural; Research Support, Non-U.S. Gov&amp;apos;t&lt;/_type_work&gt;&lt;_url&gt;http://www.ncbi.nlm.nih.gov/entrez/query.fcgi?cmd=Retrieve&amp;amp;db=pubmed&amp;amp;dopt=Abstract&amp;amp;list_uids=34077540&amp;amp;query_hl=1&lt;/_url&gt;&lt;_volume&gt;24&lt;/_volume&gt;&lt;/Details&gt;&lt;Extra&gt;&lt;DBUID&gt;{F96A950B-833F-4880-A151-76DA2D6A2879}&lt;/DBUID&gt;&lt;/Extra&gt;&lt;/Item&gt;&lt;/References&gt;&lt;/Group&gt;&lt;/Citation&gt;_x000a_"/>
    <w:docVar w:name="NE.Ref{30F6CF5C-51A9-4DA3-ACC9-4C1FE9A599D3}" w:val=" ADDIN NE.Ref.{30F6CF5C-51A9-4DA3-ACC9-4C1FE9A599D3}&lt;Citation&gt;&lt;Group&gt;&lt;References&gt;&lt;Item&gt;&lt;ID&gt;581&lt;/ID&gt;&lt;UID&gt;{C9150CA2-FBBA-45DF-9CD3-7B1A3E22FBE5}&lt;/UID&gt;&lt;Title&gt;Medulloblastoma group 3 and 4 tumors comprise a clinically and biologically  significant expression continuum reflecting human cerebellar development&lt;/Title&gt;&lt;Template&gt;Journal Article&lt;/Template&gt;&lt;Star&gt;1&lt;/Star&gt;&lt;Tag&gt;1&lt;/Tag&gt;&lt;Author&gt;Williamson, D; Schwalbe, E C; Hicks, D; Aldinger, K A; Lindsey, J C; Crosier, S; Richardson, S; Goddard, J; Hill, R M; Castle, J; Grabovska, Y; Hacking, J; Pizer, B; Wharton, S B; Jacques, T S; Joshi, A; Bailey, S; Clifford, S C&lt;/Author&gt;&lt;Year&gt;2022&lt;/Year&gt;&lt;Details&gt;&lt;_accessed&gt;65884212&lt;/_accessed&gt;&lt;_accession_num&gt;35926460&lt;/_accession_num&gt;&lt;_author_adr&gt;Wolfson Childhood Cancer Research Centre, Translational and Clinical Research  Institute, Newcastle University Centre for Cancer, Newcastle University,  Newcastle upon Tyne, UK. Electronic address: daniel.williamson@newcastle.ac.uk.; Wolfson Childhood Cancer Research Centre, Translational and Clinical Research  Institute, Newcastle University Centre for Cancer, Newcastle University,  Newcastle upon Tyne, UK; Department of Applied Sciences, Northumbria University,  Newcastle upon Tyne, UK.; Wolfson Childhood Cancer Research Centre, Translational and Clinical Research  Institute, Newcastle University Centre for Cancer, Newcastle University,  Newcastle upon Tyne, UK.; Center for Integrative Brain Research, Seattle Children&amp;apos;s Research Institute,  Seattle, WA, USA.; Wolfson Childhood Cancer Research Centre, Translational and Clinical Research  Institute, Newcastle University Centre for Cancer, Newcastle University,  Newcastle upon Tyne, UK.; Wolfson Childhood Cancer Research Centre, Translational and Clinical Research  Institute, Newcastle University Centre for Cancer, Newcastle University,  Newcastle upon Tyne, UK.; Wolfson Childhood Cancer Research Centre, Translational and Clinical Research  Institute, Newcastle University Centre for Cancer, Newcastle University,  Newcastle upon Tyne, UK.; Wolfson Childhood Cancer Research Centre, Translational and Clinical Research  Institute, Newcastle University Centre for Cancer, Newcastle University,  Newcastle upon Tyne, UK.; Wolfson Childhood Cancer Research Centre, Translational and Clinical Research  Institute, Newcastle University Centre for Cancer, Newcastle University,  Newcastle upon Tyne, UK.; Wolfson Childhood Cancer Research Centre, Translational and Clinical Research  Institute, Newcastle University Centre for Cancer, Newcastle University,  Newcastle upon Tyne, UK.; Wolfson Childhood Cancer Research Centre, Translational and Clinical Research  Institute, Newcastle University Centre for Cancer, Newcastle University,  Newcastle upon Tyne, UK; Division of Molecular Pathology, Institute of Cancer  Research, London, UK.; Wolfson Childhood Cancer Research Centre, Translational and Clinical Research  Institute, Newcastle University Centre for Cancer, Newcastle University,  Newcastle upon Tyne, UK.; Institute of Translational Research, University of Liverpool, Liverpool, UK.; Sheffield Institute for Translational Neuroscience, University of Sheffield,  Sheffield, UK.; Developmental Biology and Cancer Programme, UCL GOS Institute of Child Health,  London, and Department of Histopathology, Great Ormond Street Hospital for  Children NHS Foundation Trust, London, UK.; Department of Neuropathology, Royal Victoria Infirmary (RVI), Newcastle  University Teaching Hospitals NHS Foundation Trust, Newcastle upon Tyne, UK.; Wolfson Childhood Cancer Research Centre, Translational and Clinical Research  Institute, Newcastle University Centre for Cancer, Newcastle University,  Newcastle upon Tyne, UK.; Wolfson Childhood Cancer Research Centre, Translational and Clinical Research  Institute, Newcastle University Centre for Cancer, Newcastle University,  Newcastle upon Tyne, UK. Electronic address: steve.clifford@newcastle.ac.uk.&lt;/_author_adr&gt;&lt;_collection_scope&gt;SCIE&lt;/_collection_scope&gt;&lt;_created&gt;65816053&lt;/_created&gt;&lt;_date&gt;2022-08-02&lt;/_date&gt;&lt;_date_display&gt;2022 Aug 2&lt;/_date_display&gt;&lt;_db_updated&gt;PubMed&lt;/_db_updated&gt;&lt;_doi&gt;10.1016/j.celrep.2022.111162&lt;/_doi&gt;&lt;_impact_factor&gt;   9.423&lt;/_impact_factor&gt;&lt;_isbn&gt;2211-1247 (Electronic)&lt;/_isbn&gt;&lt;_issue&gt;5&lt;/_issue&gt;&lt;_journal&gt;Cell Rep&lt;/_journal&gt;&lt;_keywords&gt;CP: cancer; development; genomics; medulloblastoma; pediatrics&lt;/_keywords&gt;&lt;_language&gt;eng&lt;/_language&gt;&lt;_modified&gt;65884212&lt;/_modified&gt;&lt;_ori_publication&gt;Copyright (c) 2022 The Author(s). Published by Elsevier Inc. All rights reserved.&lt;/_ori_publication&gt;&lt;_pages&gt;111162&lt;/_pages&gt;&lt;_subject_headings&gt;*Cerebellar Neoplasms/genetics/pathology; DNA Methylation/genetics; Humans; *Medulloblastoma/genetics/pathology&lt;/_subject_headings&gt;&lt;_tertiary_title&gt;Cell reports&lt;/_tertiary_title&gt;&lt;_type_work&gt;Journal Article; Research Support, Non-U.S. Gov&amp;apos;t&lt;/_type_work&gt;&lt;_url&gt;http://www.ncbi.nlm.nih.gov/entrez/query.fcgi?cmd=Retrieve&amp;amp;db=pubmed&amp;amp;dopt=Abstract&amp;amp;list_uids=35926460&amp;amp;query_hl=1&lt;/_url&gt;&lt;_volume&gt;40&lt;/_volume&gt;&lt;/Details&gt;&lt;Extra&gt;&lt;DBUID&gt;{F96A950B-833F-4880-A151-76DA2D6A2879}&lt;/DBUID&gt;&lt;/Extra&gt;&lt;/Item&gt;&lt;/References&gt;&lt;/Group&gt;&lt;/Citation&gt;_x000a_"/>
    <w:docVar w:name="NE.Ref{5ED75A69-9866-489F-A94E-8411184D1DC5}" w:val=" ADDIN NE.Ref.{5ED75A69-9866-489F-A94E-8411184D1DC5}&lt;Citation&gt;&lt;Group&gt;&lt;References&gt;&lt;Item&gt;&lt;ID&gt;813&lt;/ID&gt;&lt;UID&gt;{4C4DF143-E4B8-40DD-9DBD-178ABE5F1358}&lt;/UID&gt;&lt;Title&gt;Dysregulation of phosphoenolpyruvate carboxykinase in cancers: A comprehensive  analysis&lt;/Title&gt;&lt;Template&gt;Journal Article&lt;/Template&gt;&lt;Star&gt;1&lt;/Star&gt;&lt;Tag&gt;1&lt;/Tag&gt;&lt;Author&gt;Xue, S; Cai, Y; Liu, J; Ji, K; Yi, P; Long, H; Zhang, X; Li, P; Song, Y&lt;/Author&gt;&lt;Year&gt;2024&lt;/Year&gt;&lt;Details&gt;&lt;_accession_num&gt;38697449&lt;/_accession_num&gt;&lt;_author_adr&gt;Department of Neurosurgery, Nanfang Hospital, Southern Medical University,  Guangzhou 510515, China.; Department of Neurosurgery, Nanfang Hospital, Southern Medical University,  Guangzhou 510515, China.; Department of Neurosurgery, The 2(nd) affiliated hospital Jiangxi Medical  College, Nanchang University, Nanchang, Jiangxi 330000, China.; Department of Neurosurgery, Nanfang Hospital, Southern Medical University,  Guangzhou 510515, China.; Department of Neurosurgery, Nanfang Hospital, Southern Medical University,  Guangzhou 510515, China.; Department of Neurosurgery, Nanfang Hospital, Southern Medical University,  Guangzhou 510515, China.; Department of Neurosurgery, Nanfang Hospital, Southern Medical University,  Guangzhou 510515, China. Electronic address: zxa@smu.edu.cn.; Department of Neurosurgery, Nanfang Hospital, Southern Medical University,  Guangzhou 510515, China. Electronic address: zhimeng_li@163.com.; Department of Neurosurgery, Nanfang Hospital, Southern Medical University,  Guangzhou 510515, China. Electronic address: songye@smu.edu.cn.&lt;/_author_adr&gt;&lt;_collection_scope&gt;SCI;SCIE&lt;/_collection_scope&gt;&lt;_created&gt;65819545&lt;/_created&gt;&lt;_date&gt;2024-08-01&lt;/_date&gt;&lt;_date_display&gt;2024 Aug&lt;/_date_display&gt;&lt;_db_updated&gt;PubMed&lt;/_db_updated&gt;&lt;_doi&gt;10.1016/j.cellsig.2024.111198&lt;/_doi&gt;&lt;_impact_factor&gt;   4.315&lt;/_impact_factor&gt;&lt;_isbn&gt;1873-3913 (Electronic); 0898-6568 (Linking)&lt;/_isbn&gt;&lt;_journal&gt;Cell Signal&lt;/_journal&gt;&lt;_keywords&gt;Glioblastoma; Immune infiltration; Metabolism; PCK1; PCK2; Pan-cancer&lt;/_keywords&gt;&lt;_language&gt;eng&lt;/_language&gt;&lt;_modified&gt;65885000&lt;/_modified&gt;&lt;_ori_publication&gt;Copyright (c) 2024 The Authors. Published by Elsevier Inc. All rights reserved.&lt;/_ori_publication&gt;&lt;_pages&gt;111198&lt;/_pages&gt;&lt;_subject_headings&gt;Humans; *Neoplasms/metabolism/genetics/pathology; *Phosphoenolpyruvate Carboxykinase (GTP)/metabolism/genetics; Cell Line, Tumor; Gene Expression Regulation, Neoplastic; Phosphoenolpyruvate Carboxykinase (ATP)/metabolism/genetics; Animals; Intracellular Signaling Peptides and Proteins/metabolism/genetics; Mice; Prognosis; Cell Proliferation&lt;/_subject_headings&gt;&lt;_tertiary_title&gt;Cellular signalling&lt;/_tertiary_title&gt;&lt;_type_work&gt;Journal Article&lt;/_type_work&gt;&lt;_url&gt;http://www.ncbi.nlm.nih.gov/entrez/query.fcgi?cmd=Retrieve&amp;amp;db=pubmed&amp;amp;dopt=Abstract&amp;amp;list_uids=38697449&amp;amp;query_hl=1&lt;/_url&gt;&lt;_volume&gt;120&lt;/_volume&gt;&lt;/Details&gt;&lt;Extra&gt;&lt;DBUID&gt;{F96A950B-833F-4880-A151-76DA2D6A2879}&lt;/DBUID&gt;&lt;/Extra&gt;&lt;/Item&gt;&lt;/References&gt;&lt;/Group&gt;&lt;/Citation&gt;_x000a_"/>
    <w:docVar w:name="NE.Ref{DD0E3E13-D06D-4EC6-A14F-3D17E9C3632A}" w:val=" ADDIN NE.Ref.{DD0E3E13-D06D-4EC6-A14F-3D17E9C3632A}&lt;Citation&gt;&lt;Group&gt;&lt;References&gt;&lt;Item&gt;&lt;ID&gt;886&lt;/ID&gt;&lt;UID&gt;{A99F4055-4536-4A30-9359-BE68DEB1214A}&lt;/UID&gt;&lt;Title&gt;Exploring the relationship between metabolism and immune microenvironment in  osteosarcoma based on metabolic pathways&lt;/Title&gt;&lt;Template&gt;Journal Article&lt;/Template&gt;&lt;Star&gt;0&lt;/Star&gt;&lt;Tag&gt;0&lt;/Tag&gt;&lt;Author&gt;Wu, C; Tan, J; Shen, H; Deng, C; Kleber, C; Osterhoff, G; Schopow, N&lt;/Author&gt;&lt;Year&gt;2024&lt;/Year&gt;&lt;Details&gt;&lt;_accessed&gt;65884208&lt;/_accessed&gt;&lt;_accession_num&gt;38212768&lt;/_accession_num&gt;&lt;_author_adr&gt;Department of Neurosurgery, Xiangya Hospital, Central South University, Changsha,  Hunan, China.; National Clinical Research Center for Geriatric Disorders, Xiangya Hospital,  Central South University, Changsha, Hunan, China.; Department of Neurosurgery, Xiangya Hospital, Central South University, Changsha,  Hunan, China. tanjunsea@csu.edu.cn.; National Clinical Research Center for Geriatric Disorders, Xiangya Hospital,  Central South University, Changsha, Hunan, China. tanjunsea@csu.edu.cn.; National Clinical Research Center for Geriatric Disorders, Xiangya Hospital,  Central South University, Changsha, Hunan, China. hongshen2000@csu.edu.cn.; Department of Oncology, Xiangya Hospital, Central South University, Changsha,  Hunan, China. hongshen2000@csu.edu.cn.; Key Laboratory for Molecular Radiation Oncology of Hunan Province, Xiangya  Hospital, Central South University, Changsha, Hunan, China.  hongshen2000@csu.edu.cn.; Department of Orthopedics, Xiangya Hospital, Central South University, Changsha,  Hunan, China.; Sarcoma Center, Department of Orthopedics, Trauma and Plastic Surgery, University  Hospital Leipzig, Leipzig, Germany.; Sarcoma Center, Department of Orthopedics, Trauma and Plastic Surgery, University  Hospital Leipzig, Leipzig, Germany.; Sarcoma Center, Department of Orthopedics, Trauma and Plastic Surgery, University  Hospital Leipzig, Leipzig, Germany.&lt;/_author_adr&gt;&lt;_collection_scope&gt;SCI;SCIE&lt;/_collection_scope&gt;&lt;_created&gt;65884208&lt;/_created&gt;&lt;_date&gt;2024-01-12&lt;/_date&gt;&lt;_date_display&gt;2024 Jan 12&lt;/_date_display&gt;&lt;_db_updated&gt;PubMed&lt;/_db_updated&gt;&lt;_doi&gt;10.1186/s12929-024-00999-7&lt;/_doi&gt;&lt;_impact_factor&gt;   8.410&lt;/_impact_factor&gt;&lt;_isbn&gt;1423-0127 (Electronic); 1021-7770 (Print); 1021-7770 (Linking)&lt;/_isbn&gt;&lt;_issue&gt;1&lt;/_issue&gt;&lt;_journal&gt;J Biomed Sci&lt;/_journal&gt;&lt;_keywords&gt;Metabolism; Osteosarcoma; Prognosis; ST3GAL4; Treatment response; Tumor immune microenvironment; Vitamin and cofactor&lt;/_keywords&gt;&lt;_language&gt;eng&lt;/_language&gt;&lt;_modified&gt;65884209&lt;/_modified&gt;&lt;_ori_publication&gt;(c) 2024. The Author(s).&lt;/_ori_publication&gt;&lt;_pages&gt;4&lt;/_pages&gt;&lt;_subject_headings&gt;Humans; *Osteosarcoma/genetics; Vitamins; Immunotherapy; *Bone Neoplasms/genetics; Metabolic Networks and Pathways; Tumor Microenvironment/genetics; Prognosis&lt;/_subject_headings&gt;&lt;_tertiary_title&gt;Journal of biomedical science&lt;/_tertiary_title&gt;&lt;_type_work&gt;Journal Article&lt;/_type_work&gt;&lt;_url&gt;http://www.ncbi.nlm.nih.gov/entrez/query.fcgi?cmd=Retrieve&amp;amp;db=pubmed&amp;amp;dopt=Abstract&amp;amp;list_uids=38212768&amp;amp;query_hl=1&lt;/_url&gt;&lt;_volume&gt;31&lt;/_volume&gt;&lt;/Details&gt;&lt;Extra&gt;&lt;DBUID&gt;{F96A950B-833F-4880-A151-76DA2D6A2879}&lt;/DBUID&gt;&lt;/Extra&gt;&lt;/Item&gt;&lt;/References&gt;&lt;/Group&gt;&lt;/Citation&gt;_x000a_"/>
    <w:docVar w:name="NE.Ref{FF9683F5-2CB8-4FDD-8339-28BF8EBE283D}" w:val=" ADDIN NE.Ref.{FF9683F5-2CB8-4FDD-8339-28BF8EBE283D}&lt;Citation&gt;&lt;Group&gt;&lt;References&gt;&lt;Item&gt;&lt;ID&gt;581&lt;/ID&gt;&lt;UID&gt;{C9150CA2-FBBA-45DF-9CD3-7B1A3E22FBE5}&lt;/UID&gt;&lt;Title&gt;Medulloblastoma group 3 and 4 tumors comprise a clinically and biologically  significant expression continuum reflecting human cerebellar development&lt;/Title&gt;&lt;Template&gt;Journal Article&lt;/Template&gt;&lt;Star&gt;1&lt;/Star&gt;&lt;Tag&gt;1&lt;/Tag&gt;&lt;Author&gt;Williamson, D; Schwalbe, E C; Hicks, D; Aldinger, K A; Lindsey, J C; Crosier, S; Richardson, S; Goddard, J; Hill, R M; Castle, J; Grabovska, Y; Hacking, J; Pizer, B; Wharton, S B; Jacques, T S; Joshi, A; Bailey, S; Clifford, S C&lt;/Author&gt;&lt;Year&gt;2022&lt;/Year&gt;&lt;Details&gt;&lt;_accessed&gt;65884212&lt;/_accessed&gt;&lt;_accession_num&gt;35926460&lt;/_accession_num&gt;&lt;_author_adr&gt;Wolfson Childhood Cancer Research Centre, Translational and Clinical Research  Institute, Newcastle University Centre for Cancer, Newcastle University,  Newcastle upon Tyne, UK. Electronic address: daniel.williamson@newcastle.ac.uk.; Wolfson Childhood Cancer Research Centre, Translational and Clinical Research  Institute, Newcastle University Centre for Cancer, Newcastle University,  Newcastle upon Tyne, UK; Department of Applied Sciences, Northumbria University,  Newcastle upon Tyne, UK.; Wolfson Childhood Cancer Research Centre, Translational and Clinical Research  Institute, Newcastle University Centre for Cancer, Newcastle University,  Newcastle upon Tyne, UK.; Center for Integrative Brain Research, Seattle Children&amp;apos;s Research Institute,  Seattle, WA, USA.; Wolfson Childhood Cancer Research Centre, Translational and Clinical Research  Institute, Newcastle University Centre for Cancer, Newcastle University,  Newcastle upon Tyne, UK.; Wolfson Childhood Cancer Research Centre, Translational and Clinical Research  Institute, Newcastle University Centre for Cancer, Newcastle University,  Newcastle upon Tyne, UK.; Wolfson Childhood Cancer Research Centre, Translational and Clinical Research  Institute, Newcastle University Centre for Cancer, Newcastle University,  Newcastle upon Tyne, UK.; Wolfson Childhood Cancer Research Centre, Translational and Clinical Research  Institute, Newcastle University Centre for Cancer, Newcastle University,  Newcastle upon Tyne, UK.; Wolfson Childhood Cancer Research Centre, Translational and Clinical Research  Institute, Newcastle University Centre for Cancer, Newcastle University,  Newcastle upon Tyne, UK.; Wolfson Childhood Cancer Research Centre, Translational and Clinical Research  Institute, Newcastle University Centre for Cancer, Newcastle University,  Newcastle upon Tyne, UK.; Wolfson Childhood Cancer Research Centre, Translational and Clinical Research  Institute, Newcastle University Centre for Cancer, Newcastle University,  Newcastle upon Tyne, UK; Division of Molecular Pathology, Institute of Cancer  Research, London, UK.; Wolfson Childhood Cancer Research Centre, Translational and Clinical Research  Institute, Newcastle University Centre for Cancer, Newcastle University,  Newcastle upon Tyne, UK.; Institute of Translational Research, University of Liverpool, Liverpool, UK.; Sheffield Institute for Translational Neuroscience, University of Sheffield,  Sheffield, UK.; Developmental Biology and Cancer Programme, UCL GOS Institute of Child Health,  London, and Department of Histopathology, Great Ormond Street Hospital for  Children NHS Foundation Trust, London, UK.; Department of Neuropathology, Royal Victoria Infirmary (RVI), Newcastle  University Teaching Hospitals NHS Foundation Trust, Newcastle upon Tyne, UK.; Wolfson Childhood Cancer Research Centre, Translational and Clinical Research  Institute, Newcastle University Centre for Cancer, Newcastle University,  Newcastle upon Tyne, UK.; Wolfson Childhood Cancer Research Centre, Translational and Clinical Research  Institute, Newcastle University Centre for Cancer, Newcastle University,  Newcastle upon Tyne, UK. Electronic address: steve.clifford@newcastle.ac.uk.&lt;/_author_adr&gt;&lt;_collection_scope&gt;SCIE&lt;/_collection_scope&gt;&lt;_created&gt;65816053&lt;/_created&gt;&lt;_date&gt;2022-08-02&lt;/_date&gt;&lt;_date_display&gt;2022 Aug 2&lt;/_date_display&gt;&lt;_db_updated&gt;PubMed&lt;/_db_updated&gt;&lt;_doi&gt;10.1016/j.celrep.2022.111162&lt;/_doi&gt;&lt;_impact_factor&gt;   9.423&lt;/_impact_factor&gt;&lt;_isbn&gt;2211-1247 (Electronic)&lt;/_isbn&gt;&lt;_issue&gt;5&lt;/_issue&gt;&lt;_journal&gt;Cell Rep&lt;/_journal&gt;&lt;_keywords&gt;CP: cancer; development; genomics; medulloblastoma; pediatrics&lt;/_keywords&gt;&lt;_language&gt;eng&lt;/_language&gt;&lt;_modified&gt;65884212&lt;/_modified&gt;&lt;_ori_publication&gt;Copyright (c) 2022 The Author(s). Published by Elsevier Inc. All rights reserved.&lt;/_ori_publication&gt;&lt;_pages&gt;111162&lt;/_pages&gt;&lt;_subject_headings&gt;*Cerebellar Neoplasms/genetics/pathology; DNA Methylation/genetics; Humans; *Medulloblastoma/genetics/pathology&lt;/_subject_headings&gt;&lt;_tertiary_title&gt;Cell reports&lt;/_tertiary_title&gt;&lt;_type_work&gt;Journal Article; Research Support, Non-U.S. Gov&amp;apos;t&lt;/_type_work&gt;&lt;_url&gt;http://www.ncbi.nlm.nih.gov/entrez/query.fcgi?cmd=Retrieve&amp;amp;db=pubmed&amp;amp;dopt=Abstract&amp;amp;list_uids=35926460&amp;amp;query_hl=1&lt;/_url&gt;&lt;_volume&gt;40&lt;/_volume&gt;&lt;/Details&gt;&lt;Extra&gt;&lt;DBUID&gt;{F96A950B-833F-4880-A151-76DA2D6A2879}&lt;/DBUID&gt;&lt;/Extra&gt;&lt;/Item&gt;&lt;/References&gt;&lt;/Group&gt;&lt;/Citation&gt;_x000a_"/>
    <w:docVar w:name="ne_docsoft" w:val="MSWord"/>
    <w:docVar w:name="ne_docversion" w:val="NoteExpress 2.0"/>
    <w:docVar w:name="ne_stylename" w:val="Nature Communications"/>
  </w:docVars>
  <w:rsids>
    <w:rsidRoot w:val="0032467C"/>
    <w:rsid w:val="0001225F"/>
    <w:rsid w:val="00082C32"/>
    <w:rsid w:val="00087213"/>
    <w:rsid w:val="00115128"/>
    <w:rsid w:val="0018084C"/>
    <w:rsid w:val="001B2B15"/>
    <w:rsid w:val="002076B8"/>
    <w:rsid w:val="00207957"/>
    <w:rsid w:val="0024527C"/>
    <w:rsid w:val="00262E89"/>
    <w:rsid w:val="002A6691"/>
    <w:rsid w:val="002E3031"/>
    <w:rsid w:val="0032467C"/>
    <w:rsid w:val="00332115"/>
    <w:rsid w:val="0034634C"/>
    <w:rsid w:val="00362122"/>
    <w:rsid w:val="003759C7"/>
    <w:rsid w:val="003B610F"/>
    <w:rsid w:val="003C052E"/>
    <w:rsid w:val="0041306E"/>
    <w:rsid w:val="00430B6C"/>
    <w:rsid w:val="00431762"/>
    <w:rsid w:val="00473708"/>
    <w:rsid w:val="004A2D23"/>
    <w:rsid w:val="004B0D8B"/>
    <w:rsid w:val="004C2CE3"/>
    <w:rsid w:val="004E7674"/>
    <w:rsid w:val="00520C02"/>
    <w:rsid w:val="005314F6"/>
    <w:rsid w:val="00593661"/>
    <w:rsid w:val="005F0C53"/>
    <w:rsid w:val="006120F9"/>
    <w:rsid w:val="00640123"/>
    <w:rsid w:val="0064154D"/>
    <w:rsid w:val="006475BF"/>
    <w:rsid w:val="00647F80"/>
    <w:rsid w:val="00661269"/>
    <w:rsid w:val="006775F8"/>
    <w:rsid w:val="006A298C"/>
    <w:rsid w:val="006F7597"/>
    <w:rsid w:val="007854EE"/>
    <w:rsid w:val="007874C7"/>
    <w:rsid w:val="007A1F1E"/>
    <w:rsid w:val="007B076F"/>
    <w:rsid w:val="00821363"/>
    <w:rsid w:val="00852862"/>
    <w:rsid w:val="008A75D4"/>
    <w:rsid w:val="008B2EB7"/>
    <w:rsid w:val="008C6B47"/>
    <w:rsid w:val="008D0736"/>
    <w:rsid w:val="009148B1"/>
    <w:rsid w:val="009621EF"/>
    <w:rsid w:val="009844CB"/>
    <w:rsid w:val="009C5132"/>
    <w:rsid w:val="009D2D59"/>
    <w:rsid w:val="009E53BC"/>
    <w:rsid w:val="00A001C4"/>
    <w:rsid w:val="00A331C4"/>
    <w:rsid w:val="00A617C1"/>
    <w:rsid w:val="00A632DA"/>
    <w:rsid w:val="00A849DE"/>
    <w:rsid w:val="00B00E51"/>
    <w:rsid w:val="00B02DA7"/>
    <w:rsid w:val="00B033B8"/>
    <w:rsid w:val="00B40499"/>
    <w:rsid w:val="00B53215"/>
    <w:rsid w:val="00B83AF3"/>
    <w:rsid w:val="00B85809"/>
    <w:rsid w:val="00B94EB5"/>
    <w:rsid w:val="00B95445"/>
    <w:rsid w:val="00BB53BC"/>
    <w:rsid w:val="00BC4834"/>
    <w:rsid w:val="00BD2754"/>
    <w:rsid w:val="00BD309E"/>
    <w:rsid w:val="00BF69C5"/>
    <w:rsid w:val="00C14207"/>
    <w:rsid w:val="00C51746"/>
    <w:rsid w:val="00CF0C51"/>
    <w:rsid w:val="00CF6BA9"/>
    <w:rsid w:val="00D00761"/>
    <w:rsid w:val="00D21B05"/>
    <w:rsid w:val="00D75ACE"/>
    <w:rsid w:val="00DC226B"/>
    <w:rsid w:val="00E1666D"/>
    <w:rsid w:val="00E737DA"/>
    <w:rsid w:val="00E769D7"/>
    <w:rsid w:val="00EB7460"/>
    <w:rsid w:val="00EC1448"/>
    <w:rsid w:val="00ED287E"/>
    <w:rsid w:val="00EE4DC5"/>
    <w:rsid w:val="00EF507E"/>
    <w:rsid w:val="00EF6AF3"/>
    <w:rsid w:val="00F26FB0"/>
    <w:rsid w:val="00F57AEB"/>
    <w:rsid w:val="00F87A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2CC7E"/>
  <w15:chartTrackingRefBased/>
  <w15:docId w15:val="{9E4467A8-0917-46A4-8A2F-7BF5E462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07E"/>
    <w:pPr>
      <w:spacing w:after="160" w:line="259" w:lineRule="auto"/>
    </w:pPr>
    <w:rPr>
      <w:rFonts w:eastAsia="宋体"/>
      <w:kern w:val="0"/>
      <w:sz w:val="22"/>
      <w:lang w:eastAsia="en-US"/>
    </w:rPr>
  </w:style>
  <w:style w:type="paragraph" w:styleId="1">
    <w:name w:val="heading 1"/>
    <w:basedOn w:val="a"/>
    <w:next w:val="a"/>
    <w:link w:val="10"/>
    <w:uiPriority w:val="9"/>
    <w:qFormat/>
    <w:rsid w:val="0032467C"/>
    <w:pPr>
      <w:keepNext/>
      <w:keepLines/>
      <w:widowControl w:val="0"/>
      <w:spacing w:before="480" w:after="80" w:line="240" w:lineRule="auto"/>
      <w:jc w:val="both"/>
      <w:outlineLvl w:val="0"/>
    </w:pPr>
    <w:rPr>
      <w:rFonts w:asciiTheme="majorHAnsi" w:eastAsiaTheme="majorEastAsia" w:hAnsiTheme="majorHAnsi" w:cstheme="majorBidi"/>
      <w:color w:val="0F4761" w:themeColor="accent1" w:themeShade="BF"/>
      <w:kern w:val="2"/>
      <w:sz w:val="48"/>
      <w:szCs w:val="48"/>
      <w:lang w:eastAsia="zh-CN"/>
    </w:rPr>
  </w:style>
  <w:style w:type="paragraph" w:styleId="2">
    <w:name w:val="heading 2"/>
    <w:basedOn w:val="a"/>
    <w:next w:val="a"/>
    <w:link w:val="20"/>
    <w:uiPriority w:val="9"/>
    <w:semiHidden/>
    <w:unhideWhenUsed/>
    <w:qFormat/>
    <w:rsid w:val="0032467C"/>
    <w:pPr>
      <w:keepNext/>
      <w:keepLines/>
      <w:widowControl w:val="0"/>
      <w:spacing w:before="160" w:after="80" w:line="240" w:lineRule="auto"/>
      <w:jc w:val="both"/>
      <w:outlineLvl w:val="1"/>
    </w:pPr>
    <w:rPr>
      <w:rFonts w:asciiTheme="majorHAnsi" w:eastAsiaTheme="majorEastAsia" w:hAnsiTheme="majorHAnsi" w:cstheme="majorBidi"/>
      <w:color w:val="0F4761" w:themeColor="accent1" w:themeShade="BF"/>
      <w:kern w:val="2"/>
      <w:sz w:val="40"/>
      <w:szCs w:val="40"/>
      <w:lang w:eastAsia="zh-CN"/>
    </w:rPr>
  </w:style>
  <w:style w:type="paragraph" w:styleId="3">
    <w:name w:val="heading 3"/>
    <w:basedOn w:val="a"/>
    <w:next w:val="a"/>
    <w:link w:val="30"/>
    <w:uiPriority w:val="9"/>
    <w:semiHidden/>
    <w:unhideWhenUsed/>
    <w:qFormat/>
    <w:rsid w:val="0032467C"/>
    <w:pPr>
      <w:keepNext/>
      <w:keepLines/>
      <w:widowControl w:val="0"/>
      <w:spacing w:before="160" w:after="80" w:line="240" w:lineRule="auto"/>
      <w:jc w:val="both"/>
      <w:outlineLvl w:val="2"/>
    </w:pPr>
    <w:rPr>
      <w:rFonts w:asciiTheme="majorHAnsi" w:eastAsiaTheme="majorEastAsia" w:hAnsiTheme="majorHAnsi" w:cstheme="majorBidi"/>
      <w:color w:val="0F4761" w:themeColor="accent1" w:themeShade="BF"/>
      <w:kern w:val="2"/>
      <w:sz w:val="32"/>
      <w:szCs w:val="32"/>
      <w:lang w:eastAsia="zh-CN"/>
    </w:rPr>
  </w:style>
  <w:style w:type="paragraph" w:styleId="4">
    <w:name w:val="heading 4"/>
    <w:basedOn w:val="a"/>
    <w:next w:val="a"/>
    <w:link w:val="40"/>
    <w:uiPriority w:val="9"/>
    <w:semiHidden/>
    <w:unhideWhenUsed/>
    <w:qFormat/>
    <w:rsid w:val="0032467C"/>
    <w:pPr>
      <w:keepNext/>
      <w:keepLines/>
      <w:widowControl w:val="0"/>
      <w:spacing w:before="80" w:after="40" w:line="240" w:lineRule="auto"/>
      <w:jc w:val="both"/>
      <w:outlineLvl w:val="3"/>
    </w:pPr>
    <w:rPr>
      <w:rFonts w:eastAsiaTheme="minorEastAsia" w:cstheme="majorBidi"/>
      <w:color w:val="0F4761" w:themeColor="accent1" w:themeShade="BF"/>
      <w:kern w:val="2"/>
      <w:sz w:val="28"/>
      <w:szCs w:val="28"/>
      <w:lang w:eastAsia="zh-CN"/>
    </w:rPr>
  </w:style>
  <w:style w:type="paragraph" w:styleId="5">
    <w:name w:val="heading 5"/>
    <w:basedOn w:val="a"/>
    <w:next w:val="a"/>
    <w:link w:val="50"/>
    <w:uiPriority w:val="9"/>
    <w:semiHidden/>
    <w:unhideWhenUsed/>
    <w:qFormat/>
    <w:rsid w:val="0032467C"/>
    <w:pPr>
      <w:keepNext/>
      <w:keepLines/>
      <w:widowControl w:val="0"/>
      <w:spacing w:before="80" w:after="40" w:line="240" w:lineRule="auto"/>
      <w:jc w:val="both"/>
      <w:outlineLvl w:val="4"/>
    </w:pPr>
    <w:rPr>
      <w:rFonts w:eastAsiaTheme="minorEastAsia" w:cstheme="majorBidi"/>
      <w:color w:val="0F4761" w:themeColor="accent1" w:themeShade="BF"/>
      <w:kern w:val="2"/>
      <w:sz w:val="24"/>
      <w:szCs w:val="24"/>
      <w:lang w:eastAsia="zh-CN"/>
    </w:rPr>
  </w:style>
  <w:style w:type="paragraph" w:styleId="6">
    <w:name w:val="heading 6"/>
    <w:basedOn w:val="a"/>
    <w:next w:val="a"/>
    <w:link w:val="60"/>
    <w:uiPriority w:val="9"/>
    <w:semiHidden/>
    <w:unhideWhenUsed/>
    <w:qFormat/>
    <w:rsid w:val="0032467C"/>
    <w:pPr>
      <w:keepNext/>
      <w:keepLines/>
      <w:widowControl w:val="0"/>
      <w:spacing w:before="40" w:after="0" w:line="240" w:lineRule="auto"/>
      <w:jc w:val="both"/>
      <w:outlineLvl w:val="5"/>
    </w:pPr>
    <w:rPr>
      <w:rFonts w:eastAsiaTheme="minorEastAsia" w:cstheme="majorBidi"/>
      <w:b/>
      <w:bCs/>
      <w:color w:val="0F4761" w:themeColor="accent1" w:themeShade="BF"/>
      <w:kern w:val="2"/>
      <w:sz w:val="21"/>
      <w:lang w:eastAsia="zh-CN"/>
    </w:rPr>
  </w:style>
  <w:style w:type="paragraph" w:styleId="7">
    <w:name w:val="heading 7"/>
    <w:basedOn w:val="a"/>
    <w:next w:val="a"/>
    <w:link w:val="70"/>
    <w:uiPriority w:val="9"/>
    <w:semiHidden/>
    <w:unhideWhenUsed/>
    <w:qFormat/>
    <w:rsid w:val="0032467C"/>
    <w:pPr>
      <w:keepNext/>
      <w:keepLines/>
      <w:widowControl w:val="0"/>
      <w:spacing w:before="40" w:after="0" w:line="240" w:lineRule="auto"/>
      <w:jc w:val="both"/>
      <w:outlineLvl w:val="6"/>
    </w:pPr>
    <w:rPr>
      <w:rFonts w:eastAsiaTheme="minorEastAsia" w:cstheme="majorBidi"/>
      <w:b/>
      <w:bCs/>
      <w:color w:val="595959" w:themeColor="text1" w:themeTint="A6"/>
      <w:kern w:val="2"/>
      <w:sz w:val="21"/>
      <w:lang w:eastAsia="zh-CN"/>
    </w:rPr>
  </w:style>
  <w:style w:type="paragraph" w:styleId="8">
    <w:name w:val="heading 8"/>
    <w:basedOn w:val="a"/>
    <w:next w:val="a"/>
    <w:link w:val="80"/>
    <w:uiPriority w:val="9"/>
    <w:semiHidden/>
    <w:unhideWhenUsed/>
    <w:qFormat/>
    <w:rsid w:val="0032467C"/>
    <w:pPr>
      <w:keepNext/>
      <w:keepLines/>
      <w:widowControl w:val="0"/>
      <w:spacing w:after="0" w:line="240" w:lineRule="auto"/>
      <w:jc w:val="both"/>
      <w:outlineLvl w:val="7"/>
    </w:pPr>
    <w:rPr>
      <w:rFonts w:eastAsiaTheme="minorEastAsia" w:cstheme="majorBidi"/>
      <w:color w:val="595959" w:themeColor="text1" w:themeTint="A6"/>
      <w:kern w:val="2"/>
      <w:sz w:val="21"/>
      <w:lang w:eastAsia="zh-CN"/>
    </w:rPr>
  </w:style>
  <w:style w:type="paragraph" w:styleId="9">
    <w:name w:val="heading 9"/>
    <w:basedOn w:val="a"/>
    <w:next w:val="a"/>
    <w:link w:val="90"/>
    <w:uiPriority w:val="9"/>
    <w:semiHidden/>
    <w:unhideWhenUsed/>
    <w:qFormat/>
    <w:rsid w:val="0032467C"/>
    <w:pPr>
      <w:keepNext/>
      <w:keepLines/>
      <w:widowControl w:val="0"/>
      <w:spacing w:after="0" w:line="240" w:lineRule="auto"/>
      <w:jc w:val="both"/>
      <w:outlineLvl w:val="8"/>
    </w:pPr>
    <w:rPr>
      <w:rFonts w:eastAsiaTheme="majorEastAsia" w:cstheme="majorBidi"/>
      <w:color w:val="595959" w:themeColor="text1" w:themeTint="A6"/>
      <w:kern w:val="2"/>
      <w:sz w:val="21"/>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2467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2467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2467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2467C"/>
    <w:rPr>
      <w:rFonts w:cstheme="majorBidi"/>
      <w:color w:val="0F4761" w:themeColor="accent1" w:themeShade="BF"/>
      <w:sz w:val="28"/>
      <w:szCs w:val="28"/>
    </w:rPr>
  </w:style>
  <w:style w:type="character" w:customStyle="1" w:styleId="50">
    <w:name w:val="标题 5 字符"/>
    <w:basedOn w:val="a0"/>
    <w:link w:val="5"/>
    <w:uiPriority w:val="9"/>
    <w:semiHidden/>
    <w:rsid w:val="0032467C"/>
    <w:rPr>
      <w:rFonts w:cstheme="majorBidi"/>
      <w:color w:val="0F4761" w:themeColor="accent1" w:themeShade="BF"/>
      <w:sz w:val="24"/>
      <w:szCs w:val="24"/>
    </w:rPr>
  </w:style>
  <w:style w:type="character" w:customStyle="1" w:styleId="60">
    <w:name w:val="标题 6 字符"/>
    <w:basedOn w:val="a0"/>
    <w:link w:val="6"/>
    <w:uiPriority w:val="9"/>
    <w:semiHidden/>
    <w:rsid w:val="0032467C"/>
    <w:rPr>
      <w:rFonts w:cstheme="majorBidi"/>
      <w:b/>
      <w:bCs/>
      <w:color w:val="0F4761" w:themeColor="accent1" w:themeShade="BF"/>
    </w:rPr>
  </w:style>
  <w:style w:type="character" w:customStyle="1" w:styleId="70">
    <w:name w:val="标题 7 字符"/>
    <w:basedOn w:val="a0"/>
    <w:link w:val="7"/>
    <w:uiPriority w:val="9"/>
    <w:semiHidden/>
    <w:rsid w:val="0032467C"/>
    <w:rPr>
      <w:rFonts w:cstheme="majorBidi"/>
      <w:b/>
      <w:bCs/>
      <w:color w:val="595959" w:themeColor="text1" w:themeTint="A6"/>
    </w:rPr>
  </w:style>
  <w:style w:type="character" w:customStyle="1" w:styleId="80">
    <w:name w:val="标题 8 字符"/>
    <w:basedOn w:val="a0"/>
    <w:link w:val="8"/>
    <w:uiPriority w:val="9"/>
    <w:semiHidden/>
    <w:rsid w:val="0032467C"/>
    <w:rPr>
      <w:rFonts w:cstheme="majorBidi"/>
      <w:color w:val="595959" w:themeColor="text1" w:themeTint="A6"/>
    </w:rPr>
  </w:style>
  <w:style w:type="character" w:customStyle="1" w:styleId="90">
    <w:name w:val="标题 9 字符"/>
    <w:basedOn w:val="a0"/>
    <w:link w:val="9"/>
    <w:uiPriority w:val="9"/>
    <w:semiHidden/>
    <w:rsid w:val="0032467C"/>
    <w:rPr>
      <w:rFonts w:eastAsiaTheme="majorEastAsia" w:cstheme="majorBidi"/>
      <w:color w:val="595959" w:themeColor="text1" w:themeTint="A6"/>
    </w:rPr>
  </w:style>
  <w:style w:type="paragraph" w:styleId="a3">
    <w:name w:val="Title"/>
    <w:basedOn w:val="a"/>
    <w:next w:val="a"/>
    <w:link w:val="a4"/>
    <w:uiPriority w:val="10"/>
    <w:qFormat/>
    <w:rsid w:val="0032467C"/>
    <w:pPr>
      <w:widowControl w:val="0"/>
      <w:spacing w:after="80" w:line="240" w:lineRule="auto"/>
      <w:contextualSpacing/>
      <w:jc w:val="center"/>
    </w:pPr>
    <w:rPr>
      <w:rFonts w:asciiTheme="majorHAnsi" w:eastAsiaTheme="majorEastAsia" w:hAnsiTheme="majorHAnsi" w:cstheme="majorBidi"/>
      <w:spacing w:val="-10"/>
      <w:kern w:val="28"/>
      <w:sz w:val="56"/>
      <w:szCs w:val="56"/>
      <w:lang w:eastAsia="zh-CN"/>
    </w:rPr>
  </w:style>
  <w:style w:type="character" w:customStyle="1" w:styleId="a4">
    <w:name w:val="标题 字符"/>
    <w:basedOn w:val="a0"/>
    <w:link w:val="a3"/>
    <w:uiPriority w:val="10"/>
    <w:rsid w:val="003246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2467C"/>
    <w:pPr>
      <w:widowControl w:val="0"/>
      <w:numPr>
        <w:ilvl w:val="1"/>
      </w:numPr>
      <w:spacing w:line="240" w:lineRule="auto"/>
      <w:jc w:val="center"/>
    </w:pPr>
    <w:rPr>
      <w:rFonts w:asciiTheme="majorHAnsi" w:eastAsiaTheme="majorEastAsia" w:hAnsiTheme="majorHAnsi" w:cstheme="majorBidi"/>
      <w:color w:val="595959" w:themeColor="text1" w:themeTint="A6"/>
      <w:spacing w:val="15"/>
      <w:kern w:val="2"/>
      <w:sz w:val="28"/>
      <w:szCs w:val="28"/>
      <w:lang w:eastAsia="zh-CN"/>
    </w:rPr>
  </w:style>
  <w:style w:type="character" w:customStyle="1" w:styleId="a6">
    <w:name w:val="副标题 字符"/>
    <w:basedOn w:val="a0"/>
    <w:link w:val="a5"/>
    <w:uiPriority w:val="11"/>
    <w:rsid w:val="0032467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2467C"/>
    <w:pPr>
      <w:widowControl w:val="0"/>
      <w:spacing w:before="160" w:line="240" w:lineRule="auto"/>
      <w:jc w:val="center"/>
    </w:pPr>
    <w:rPr>
      <w:rFonts w:eastAsiaTheme="minorEastAsia"/>
      <w:i/>
      <w:iCs/>
      <w:color w:val="404040" w:themeColor="text1" w:themeTint="BF"/>
      <w:kern w:val="2"/>
      <w:sz w:val="21"/>
      <w:lang w:eastAsia="zh-CN"/>
    </w:rPr>
  </w:style>
  <w:style w:type="character" w:customStyle="1" w:styleId="a8">
    <w:name w:val="引用 字符"/>
    <w:basedOn w:val="a0"/>
    <w:link w:val="a7"/>
    <w:uiPriority w:val="29"/>
    <w:rsid w:val="0032467C"/>
    <w:rPr>
      <w:i/>
      <w:iCs/>
      <w:color w:val="404040" w:themeColor="text1" w:themeTint="BF"/>
    </w:rPr>
  </w:style>
  <w:style w:type="paragraph" w:styleId="a9">
    <w:name w:val="List Paragraph"/>
    <w:basedOn w:val="a"/>
    <w:uiPriority w:val="34"/>
    <w:qFormat/>
    <w:rsid w:val="0032467C"/>
    <w:pPr>
      <w:widowControl w:val="0"/>
      <w:spacing w:after="0" w:line="240" w:lineRule="auto"/>
      <w:ind w:left="720"/>
      <w:contextualSpacing/>
      <w:jc w:val="both"/>
    </w:pPr>
    <w:rPr>
      <w:rFonts w:eastAsiaTheme="minorEastAsia"/>
      <w:kern w:val="2"/>
      <w:sz w:val="21"/>
      <w:lang w:eastAsia="zh-CN"/>
    </w:rPr>
  </w:style>
  <w:style w:type="character" w:styleId="aa">
    <w:name w:val="Intense Emphasis"/>
    <w:basedOn w:val="a0"/>
    <w:uiPriority w:val="21"/>
    <w:qFormat/>
    <w:rsid w:val="0032467C"/>
    <w:rPr>
      <w:i/>
      <w:iCs/>
      <w:color w:val="0F4761" w:themeColor="accent1" w:themeShade="BF"/>
    </w:rPr>
  </w:style>
  <w:style w:type="paragraph" w:styleId="ab">
    <w:name w:val="Intense Quote"/>
    <w:basedOn w:val="a"/>
    <w:next w:val="a"/>
    <w:link w:val="ac"/>
    <w:uiPriority w:val="30"/>
    <w:qFormat/>
    <w:rsid w:val="0032467C"/>
    <w:pPr>
      <w:widowControl w:val="0"/>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heme="minorEastAsia"/>
      <w:i/>
      <w:iCs/>
      <w:color w:val="0F4761" w:themeColor="accent1" w:themeShade="BF"/>
      <w:kern w:val="2"/>
      <w:sz w:val="21"/>
      <w:lang w:eastAsia="zh-CN"/>
    </w:rPr>
  </w:style>
  <w:style w:type="character" w:customStyle="1" w:styleId="ac">
    <w:name w:val="明显引用 字符"/>
    <w:basedOn w:val="a0"/>
    <w:link w:val="ab"/>
    <w:uiPriority w:val="30"/>
    <w:rsid w:val="0032467C"/>
    <w:rPr>
      <w:i/>
      <w:iCs/>
      <w:color w:val="0F4761" w:themeColor="accent1" w:themeShade="BF"/>
    </w:rPr>
  </w:style>
  <w:style w:type="character" w:styleId="ad">
    <w:name w:val="Intense Reference"/>
    <w:basedOn w:val="a0"/>
    <w:uiPriority w:val="32"/>
    <w:qFormat/>
    <w:rsid w:val="0032467C"/>
    <w:rPr>
      <w:b/>
      <w:bCs/>
      <w:smallCaps/>
      <w:color w:val="0F4761" w:themeColor="accent1" w:themeShade="BF"/>
      <w:spacing w:val="5"/>
    </w:rPr>
  </w:style>
  <w:style w:type="paragraph" w:styleId="ae">
    <w:name w:val="header"/>
    <w:basedOn w:val="a"/>
    <w:link w:val="af"/>
    <w:uiPriority w:val="99"/>
    <w:unhideWhenUsed/>
    <w:rsid w:val="00431762"/>
    <w:pPr>
      <w:widowControl w:val="0"/>
      <w:tabs>
        <w:tab w:val="center" w:pos="4153"/>
        <w:tab w:val="right" w:pos="8306"/>
      </w:tabs>
      <w:snapToGrid w:val="0"/>
      <w:spacing w:after="0" w:line="240" w:lineRule="auto"/>
      <w:jc w:val="center"/>
    </w:pPr>
    <w:rPr>
      <w:rFonts w:eastAsiaTheme="minorEastAsia"/>
      <w:kern w:val="2"/>
      <w:sz w:val="18"/>
      <w:szCs w:val="18"/>
      <w:lang w:eastAsia="zh-CN"/>
    </w:rPr>
  </w:style>
  <w:style w:type="character" w:customStyle="1" w:styleId="af">
    <w:name w:val="页眉 字符"/>
    <w:basedOn w:val="a0"/>
    <w:link w:val="ae"/>
    <w:uiPriority w:val="99"/>
    <w:rsid w:val="00431762"/>
    <w:rPr>
      <w:sz w:val="18"/>
      <w:szCs w:val="18"/>
    </w:rPr>
  </w:style>
  <w:style w:type="paragraph" w:styleId="af0">
    <w:name w:val="footer"/>
    <w:basedOn w:val="a"/>
    <w:link w:val="af1"/>
    <w:uiPriority w:val="99"/>
    <w:unhideWhenUsed/>
    <w:rsid w:val="00431762"/>
    <w:pPr>
      <w:widowControl w:val="0"/>
      <w:tabs>
        <w:tab w:val="center" w:pos="4153"/>
        <w:tab w:val="right" w:pos="8306"/>
      </w:tabs>
      <w:snapToGrid w:val="0"/>
      <w:spacing w:after="0" w:line="240" w:lineRule="auto"/>
    </w:pPr>
    <w:rPr>
      <w:rFonts w:eastAsiaTheme="minorEastAsia"/>
      <w:kern w:val="2"/>
      <w:sz w:val="18"/>
      <w:szCs w:val="18"/>
      <w:lang w:eastAsia="zh-CN"/>
    </w:rPr>
  </w:style>
  <w:style w:type="character" w:customStyle="1" w:styleId="af1">
    <w:name w:val="页脚 字符"/>
    <w:basedOn w:val="a0"/>
    <w:link w:val="af0"/>
    <w:uiPriority w:val="99"/>
    <w:rsid w:val="00431762"/>
    <w:rPr>
      <w:sz w:val="18"/>
      <w:szCs w:val="18"/>
    </w:rPr>
  </w:style>
  <w:style w:type="character" w:styleId="af2">
    <w:name w:val="Strong"/>
    <w:basedOn w:val="a0"/>
    <w:uiPriority w:val="22"/>
    <w:qFormat/>
    <w:rsid w:val="005F0C53"/>
    <w:rPr>
      <w:b/>
      <w:bCs/>
    </w:rPr>
  </w:style>
  <w:style w:type="table" w:styleId="af3">
    <w:name w:val="Table Grid"/>
    <w:basedOn w:val="a1"/>
    <w:uiPriority w:val="39"/>
    <w:rsid w:val="00914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line number"/>
    <w:basedOn w:val="a0"/>
    <w:uiPriority w:val="99"/>
    <w:semiHidden/>
    <w:unhideWhenUsed/>
    <w:rsid w:val="00245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D4649-4803-4815-8E7C-9DFB7504F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15</Pages>
  <Words>2936</Words>
  <Characters>16740</Characters>
  <Application>Microsoft Office Word</Application>
  <DocSecurity>0</DocSecurity>
  <Lines>139</Lines>
  <Paragraphs>39</Paragraphs>
  <ScaleCrop>false</ScaleCrop>
  <Company/>
  <LinksUpToDate>false</LinksUpToDate>
  <CharactersWithSpaces>19637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帅帅 薛</dc:creator>
  <cp:keywords/>
  <dc:description>NE.Ref</dc:description>
  <cp:lastModifiedBy>帅帅 薛</cp:lastModifiedBy>
  <cp:revision>42</cp:revision>
  <dcterms:created xsi:type="dcterms:W3CDTF">2025-04-10T03:01:00Z</dcterms:created>
  <dcterms:modified xsi:type="dcterms:W3CDTF">2026-03-30T10:17:00Z</dcterms:modified>
</cp:coreProperties>
</file>