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0ED1D" w14:textId="1FB6897D" w:rsidR="00F95A06" w:rsidRDefault="00F95A06" w:rsidP="00F95A06">
      <w:pPr>
        <w:jc w:val="center"/>
        <w:rPr>
          <w:rFonts w:ascii="Times New Roman" w:eastAsia="Times New Roman" w:hAnsi="Times New Roman" w:cs="Times New Roman"/>
          <w:b/>
          <w:bCs/>
          <w:noProof/>
          <w:lang w:val="en-US"/>
        </w:rPr>
      </w:pPr>
      <w:r w:rsidRPr="00F95A06">
        <w:rPr>
          <w:rFonts w:ascii="Times New Roman" w:hAnsi="Times New Roman" w:cs="Times New Roman"/>
          <w:b/>
          <w:bCs/>
          <w:lang w:val="en-US"/>
        </w:rPr>
        <w:t>Supplementary</w:t>
      </w:r>
      <w:r w:rsidRPr="00F95A06">
        <w:rPr>
          <w:rFonts w:ascii="Times New Roman" w:eastAsia="Times New Roman" w:hAnsi="Times New Roman" w:cs="Times New Roman"/>
          <w:b/>
          <w:bCs/>
          <w:noProof/>
          <w:lang w:val="en-US"/>
        </w:rPr>
        <w:t xml:space="preserve"> Matherial</w:t>
      </w:r>
    </w:p>
    <w:p w14:paraId="31051C02" w14:textId="4A7FD72E" w:rsidR="00CF1CF8" w:rsidRPr="00CF1CF8" w:rsidRDefault="00FB7B77" w:rsidP="00F107CF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B7B77">
        <w:rPr>
          <w:rFonts w:ascii="Times New Roman" w:eastAsia="Times New Roman" w:hAnsi="Times New Roman" w:cs="Times New Roman"/>
          <w:sz w:val="20"/>
          <w:szCs w:val="20"/>
          <w:lang w:val="en-US"/>
        </w:rPr>
        <w:t>Material</w:t>
      </w:r>
      <w:r w:rsidR="00F107CF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F6C2136" wp14:editId="4F3FB64B">
            <wp:extent cx="4635500" cy="1422400"/>
            <wp:effectExtent l="0" t="0" r="0" b="0"/>
            <wp:docPr id="471661999" name="Immagine 1" descr="Immagine che contiene schermata, bibita analcol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61999" name="Immagine 1" descr="Immagine che contiene schermata, bibita analcolica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CB78C" w14:textId="00A5AFAF" w:rsidR="0080728B" w:rsidRPr="00FB7B77" w:rsidRDefault="0080728B" w:rsidP="0080728B">
      <w:pPr>
        <w:rPr>
          <w:lang w:val="en-US"/>
        </w:rPr>
      </w:pPr>
      <w:r w:rsidRPr="00CF1CF8">
        <w:rPr>
          <w:rFonts w:ascii="Times New Roman" w:hAnsi="Times New Roman" w:cs="Times New Roman"/>
          <w:sz w:val="20"/>
          <w:szCs w:val="20"/>
          <w:lang w:val="en-US"/>
        </w:rPr>
        <w:t>Supplementary Figure 2. Effects</w:t>
      </w:r>
      <w:r w:rsidRPr="00C33F81">
        <w:rPr>
          <w:rFonts w:ascii="Times New Roman" w:hAnsi="Times New Roman" w:cs="Times New Roman"/>
          <w:sz w:val="20"/>
          <w:szCs w:val="20"/>
          <w:lang w:val="en-US"/>
        </w:rPr>
        <w:t xml:space="preserve"> of PGRN deficiency on dopaminergic markers in the striatum. (A) Representative Western blot images of dopamine transporter (DAT) and tyrosine hydroxylase (TH) in total homogenates from the striatum of </w:t>
      </w:r>
      <w:r w:rsidRPr="00C33F81">
        <w:rPr>
          <w:rFonts w:ascii="Times New Roman" w:hAnsi="Times New Roman" w:cs="Times New Roman"/>
          <w:i/>
          <w:iCs/>
          <w:sz w:val="20"/>
          <w:szCs w:val="20"/>
          <w:lang w:val="en-US"/>
        </w:rPr>
        <w:t>Grn</w:t>
      </w:r>
      <w:r w:rsidRPr="00C33F8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+/+</w:t>
      </w:r>
      <w:r w:rsidRPr="00C33F8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C33F81">
        <w:rPr>
          <w:rFonts w:ascii="Times New Roman" w:hAnsi="Times New Roman" w:cs="Times New Roman"/>
          <w:i/>
          <w:iCs/>
          <w:sz w:val="20"/>
          <w:szCs w:val="20"/>
          <w:lang w:val="en-US"/>
        </w:rPr>
        <w:t>Grn</w:t>
      </w:r>
      <w:r w:rsidRPr="00C33F8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+/−</w:t>
      </w:r>
      <w:r w:rsidRPr="00C33F81"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Pr="00C33F81">
        <w:rPr>
          <w:rFonts w:ascii="Times New Roman" w:hAnsi="Times New Roman" w:cs="Times New Roman"/>
          <w:i/>
          <w:iCs/>
          <w:sz w:val="20"/>
          <w:szCs w:val="20"/>
          <w:lang w:val="en-US"/>
        </w:rPr>
        <w:t>Grn</w:t>
      </w:r>
      <w:r w:rsidRPr="00C33F8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−/−</w:t>
      </w:r>
      <w:r w:rsidRPr="00C33F81">
        <w:rPr>
          <w:rFonts w:ascii="Times New Roman" w:hAnsi="Times New Roman" w:cs="Times New Roman"/>
          <w:sz w:val="20"/>
          <w:szCs w:val="20"/>
          <w:lang w:val="en-US"/>
        </w:rPr>
        <w:t xml:space="preserve"> mice. Bar graphs showing densitometric</w:t>
      </w:r>
      <w:r w:rsidRPr="00B857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33F81">
        <w:rPr>
          <w:rFonts w:ascii="Times New Roman" w:hAnsi="Times New Roman" w:cs="Times New Roman"/>
          <w:sz w:val="20"/>
          <w:szCs w:val="20"/>
          <w:lang w:val="en-US"/>
        </w:rPr>
        <w:t>quantification of (B) DAT and (C) TH levels.</w:t>
      </w:r>
      <w:r w:rsidRPr="00B85739">
        <w:rPr>
          <w:rFonts w:ascii="Times New Roman" w:hAnsi="Times New Roman" w:cs="Times New Roman"/>
          <w:sz w:val="20"/>
          <w:szCs w:val="20"/>
          <w:lang w:val="en-US"/>
        </w:rPr>
        <w:t xml:space="preserve"> Data are expressed as percentage of </w:t>
      </w:r>
      <w:r w:rsidRPr="00C33F81">
        <w:rPr>
          <w:rFonts w:ascii="Times New Roman" w:hAnsi="Times New Roman" w:cs="Times New Roman"/>
          <w:i/>
          <w:iCs/>
          <w:sz w:val="20"/>
          <w:szCs w:val="20"/>
          <w:lang w:val="en-US"/>
        </w:rPr>
        <w:t>Grn</w:t>
      </w:r>
      <w:r w:rsidRPr="00B8573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+/+</w:t>
      </w:r>
      <w:r w:rsidRPr="00B85739">
        <w:rPr>
          <w:rFonts w:ascii="Times New Roman" w:hAnsi="Times New Roman" w:cs="Times New Roman"/>
          <w:sz w:val="20"/>
          <w:szCs w:val="20"/>
          <w:lang w:val="en-US"/>
        </w:rPr>
        <w:t xml:space="preserve"> controls (set as 100) and reported as mean ± SEM. Statistical analysis was performed using one-way ANOVA followed by Tukey’s multiple comparisons test or Kruskal–Wallis test with Dunn’s multiple comparisons test, as appropriate. n = 7–9 mice per genotype.</w:t>
      </w:r>
    </w:p>
    <w:p w14:paraId="090086BE" w14:textId="1930152A" w:rsidR="0080728B" w:rsidRPr="00FB7B77" w:rsidRDefault="0080728B">
      <w:pPr>
        <w:rPr>
          <w:lang w:val="en-US"/>
        </w:rPr>
      </w:pPr>
    </w:p>
    <w:p w14:paraId="06ABD2E1" w14:textId="12B6CBFB" w:rsidR="0080728B" w:rsidRPr="00FB7B77" w:rsidRDefault="0080728B">
      <w:pPr>
        <w:rPr>
          <w:lang w:val="en-US"/>
        </w:rPr>
      </w:pPr>
    </w:p>
    <w:p w14:paraId="2E560912" w14:textId="541954B5" w:rsidR="00374500" w:rsidRPr="00FB7B77" w:rsidRDefault="00374500">
      <w:pPr>
        <w:rPr>
          <w:lang w:val="en-US"/>
        </w:rPr>
      </w:pPr>
    </w:p>
    <w:sectPr w:rsidR="00374500" w:rsidRPr="00FB7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1"/>
    <w:rsid w:val="000D2C45"/>
    <w:rsid w:val="001C03B4"/>
    <w:rsid w:val="002C23F0"/>
    <w:rsid w:val="00374500"/>
    <w:rsid w:val="003C2411"/>
    <w:rsid w:val="004B11A9"/>
    <w:rsid w:val="007A0D92"/>
    <w:rsid w:val="0080728B"/>
    <w:rsid w:val="008542F8"/>
    <w:rsid w:val="00B34D49"/>
    <w:rsid w:val="00CF1CF8"/>
    <w:rsid w:val="00E70340"/>
    <w:rsid w:val="00E76A03"/>
    <w:rsid w:val="00F107CF"/>
    <w:rsid w:val="00F95A06"/>
    <w:rsid w:val="00FB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B93E"/>
  <w15:chartTrackingRefBased/>
  <w15:docId w15:val="{64B48229-7494-6C4B-A95C-13A92B68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4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Bertasini</dc:creator>
  <cp:keywords/>
  <dc:description/>
  <cp:lastModifiedBy>Giovanna Paolone</cp:lastModifiedBy>
  <cp:revision>2</cp:revision>
  <dcterms:created xsi:type="dcterms:W3CDTF">2026-07-30T07:26:00Z</dcterms:created>
  <dcterms:modified xsi:type="dcterms:W3CDTF">2026-07-30T07:26:00Z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769271a1-9b19-416e-bfee-3e19250c4acb</vt:lpwstr>
  </property>
</Properties>
</file>