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5441" w:type="dxa"/>
        <w:tblLook w:val="0420" w:firstRow="1" w:lastRow="0" w:firstColumn="0" w:lastColumn="0" w:noHBand="0" w:noVBand="1"/>
      </w:tblPr>
      <w:tblGrid>
        <w:gridCol w:w="3539"/>
        <w:gridCol w:w="11902"/>
      </w:tblGrid>
      <w:tr w:rsidR="009E5393" w:rsidRPr="009E5393" w14:paraId="64804CD0" w14:textId="77777777" w:rsidTr="00CD7F90">
        <w:trPr>
          <w:trHeight w:val="57"/>
        </w:trPr>
        <w:tc>
          <w:tcPr>
            <w:tcW w:w="3539" w:type="dxa"/>
            <w:hideMark/>
          </w:tcPr>
          <w:p w14:paraId="611A824D" w14:textId="77777777" w:rsidR="009E5393" w:rsidRPr="009E5393" w:rsidRDefault="009E5393" w:rsidP="00CD7F90">
            <w:pPr>
              <w:spacing w:line="278" w:lineRule="auto"/>
              <w:rPr>
                <w:rFonts w:ascii="Gill Sans MT" w:hAnsi="Gill Sans MT" w:cs="Times New Roman"/>
                <w:b/>
                <w:bCs/>
              </w:rPr>
            </w:pPr>
            <w:r w:rsidRPr="009E5393">
              <w:rPr>
                <w:rFonts w:ascii="Gill Sans MT" w:hAnsi="Gill Sans MT" w:cs="Times New Roman"/>
                <w:b/>
                <w:bCs/>
              </w:rPr>
              <w:t xml:space="preserve">Pathway / programme </w:t>
            </w:r>
          </w:p>
        </w:tc>
        <w:tc>
          <w:tcPr>
            <w:tcW w:w="11902" w:type="dxa"/>
            <w:hideMark/>
          </w:tcPr>
          <w:p w14:paraId="5105BF14" w14:textId="77777777" w:rsidR="009E5393" w:rsidRPr="009E5393" w:rsidRDefault="009E5393" w:rsidP="00CD7F90">
            <w:pPr>
              <w:spacing w:line="278" w:lineRule="auto"/>
              <w:rPr>
                <w:rFonts w:ascii="Gill Sans MT" w:hAnsi="Gill Sans MT" w:cs="Times New Roman"/>
                <w:b/>
                <w:bCs/>
              </w:rPr>
            </w:pPr>
            <w:r w:rsidRPr="009E5393">
              <w:rPr>
                <w:rFonts w:ascii="Gill Sans MT" w:hAnsi="Gill Sans MT" w:cs="Times New Roman"/>
                <w:b/>
                <w:bCs/>
              </w:rPr>
              <w:t>Associated genes</w:t>
            </w:r>
          </w:p>
        </w:tc>
      </w:tr>
      <w:tr w:rsidR="009E5393" w:rsidRPr="009E5393" w14:paraId="295E5D59" w14:textId="77777777" w:rsidTr="00CD7F90">
        <w:trPr>
          <w:trHeight w:val="57"/>
        </w:trPr>
        <w:tc>
          <w:tcPr>
            <w:tcW w:w="3539" w:type="dxa"/>
            <w:hideMark/>
          </w:tcPr>
          <w:p w14:paraId="290FACA4"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Mitochondrial gene expression</w:t>
            </w:r>
          </w:p>
        </w:tc>
        <w:tc>
          <w:tcPr>
            <w:tcW w:w="11902" w:type="dxa"/>
            <w:hideMark/>
          </w:tcPr>
          <w:p w14:paraId="595EEAB1"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TFAM, POLRMT, TFB1M, TFB2M, LRPPRC, PNPT1, SUPV3L1, FASTKD2, FASTKD5, GRSF1, MRPL12, MRPL11, MRPL18, MRPS22, MRPS27, DAP3, TUFM, TSFM, GFM1, GFM2, MTERF1, MTERF3, NRF1, GABPA, GABPB1, PPARGC1A, SIRT3, HSPD1, HSPE1, LONP1</w:t>
            </w:r>
          </w:p>
        </w:tc>
      </w:tr>
      <w:tr w:rsidR="009E5393" w:rsidRPr="009E5393" w14:paraId="22493954" w14:textId="77777777" w:rsidTr="00CD7F90">
        <w:trPr>
          <w:trHeight w:val="57"/>
        </w:trPr>
        <w:tc>
          <w:tcPr>
            <w:tcW w:w="3539" w:type="dxa"/>
            <w:hideMark/>
          </w:tcPr>
          <w:p w14:paraId="242FD907"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Mitochondrion organisation</w:t>
            </w:r>
          </w:p>
        </w:tc>
        <w:tc>
          <w:tcPr>
            <w:tcW w:w="11902" w:type="dxa"/>
            <w:hideMark/>
          </w:tcPr>
          <w:p w14:paraId="5AA5B623"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TOMM20, TOMM40, TOMM22, TIMM23, TIMM44, TIMM8B, TIMM17A, TIMM50, SAMM50, CHCHD3, CHCHD6, OPA1, MFN1, MFN2, DNM1L, FIS1, MFF, MID49, MID51, YME1L1, OMA1, IMMT, ATG32, PINK1, PRKN, BNIP3, BNIP3L, PHB1, PHB2, SLC25A4, SLC25A5</w:t>
            </w:r>
          </w:p>
        </w:tc>
      </w:tr>
      <w:tr w:rsidR="009E5393" w:rsidRPr="009E5393" w14:paraId="4D4BD406" w14:textId="77777777" w:rsidTr="00CD7F90">
        <w:trPr>
          <w:trHeight w:val="57"/>
        </w:trPr>
        <w:tc>
          <w:tcPr>
            <w:tcW w:w="3539" w:type="dxa"/>
            <w:hideMark/>
          </w:tcPr>
          <w:p w14:paraId="6E291278"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Cellular redox homeostasis</w:t>
            </w:r>
          </w:p>
        </w:tc>
        <w:tc>
          <w:tcPr>
            <w:tcW w:w="11902" w:type="dxa"/>
            <w:hideMark/>
          </w:tcPr>
          <w:p w14:paraId="38B68652"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PRDX1, PRDX3, PRDX5, SOD1, SOD2, CAT, TXN, TXN2, TXNRD1, TXNRD2, GPX1, GPX4, GLRX, GLRX2, GSR, NQO1, HMOX1</w:t>
            </w:r>
          </w:p>
        </w:tc>
      </w:tr>
      <w:tr w:rsidR="009E5393" w:rsidRPr="009E5393" w14:paraId="51AB224F" w14:textId="77777777" w:rsidTr="00CD7F90">
        <w:trPr>
          <w:trHeight w:val="57"/>
        </w:trPr>
        <w:tc>
          <w:tcPr>
            <w:tcW w:w="3539" w:type="dxa"/>
            <w:hideMark/>
          </w:tcPr>
          <w:p w14:paraId="7111DB05" w14:textId="043AAF21" w:rsidR="009E5393" w:rsidRPr="009E5393" w:rsidRDefault="00BA6D56" w:rsidP="00CD7F90">
            <w:pPr>
              <w:spacing w:line="278" w:lineRule="auto"/>
              <w:rPr>
                <w:rFonts w:ascii="Gill Sans MT Condensed" w:hAnsi="Gill Sans MT Condensed" w:cs="Times New Roman"/>
                <w:sz w:val="22"/>
                <w:szCs w:val="22"/>
              </w:rPr>
            </w:pPr>
            <w:r>
              <w:rPr>
                <w:rFonts w:ascii="Gill Sans MT Condensed" w:hAnsi="Gill Sans MT Condensed" w:cs="Times New Roman"/>
                <w:sz w:val="22"/>
                <w:szCs w:val="22"/>
              </w:rPr>
              <w:t xml:space="preserve">Pro-apoptotic </w:t>
            </w:r>
            <w:proofErr w:type="spellStart"/>
            <w:r>
              <w:rPr>
                <w:rFonts w:ascii="Gill Sans MT Condensed" w:hAnsi="Gill Sans MT Condensed" w:cs="Times New Roman"/>
                <w:sz w:val="22"/>
                <w:szCs w:val="22"/>
              </w:rPr>
              <w:t>signaling</w:t>
            </w:r>
            <w:proofErr w:type="spellEnd"/>
            <w:r w:rsidR="009E5393" w:rsidRPr="009E5393">
              <w:rPr>
                <w:rFonts w:ascii="Gill Sans MT Condensed" w:hAnsi="Gill Sans MT Condensed" w:cs="Times New Roman"/>
                <w:sz w:val="22"/>
                <w:szCs w:val="22"/>
              </w:rPr>
              <w:t xml:space="preserve"> </w:t>
            </w:r>
          </w:p>
        </w:tc>
        <w:tc>
          <w:tcPr>
            <w:tcW w:w="11902" w:type="dxa"/>
            <w:hideMark/>
          </w:tcPr>
          <w:p w14:paraId="550C3DC9"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TP53, BBC3, PMAIP1, BAX, BAK1, BID, BCL2L11, APAF1, CASP9, CASP3, CYCS, DIABLO, AIFM1, ENDOG, JUN, FOS, DDIT3, ATF4, EGR1, GADD45A, GADD45B</w:t>
            </w:r>
          </w:p>
        </w:tc>
      </w:tr>
      <w:tr w:rsidR="009E5393" w:rsidRPr="009E5393" w14:paraId="6D16A61C" w14:textId="77777777" w:rsidTr="00CD7F90">
        <w:trPr>
          <w:trHeight w:val="57"/>
        </w:trPr>
        <w:tc>
          <w:tcPr>
            <w:tcW w:w="3539" w:type="dxa"/>
            <w:hideMark/>
          </w:tcPr>
          <w:p w14:paraId="2D5005D2"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Muscle structure development</w:t>
            </w:r>
          </w:p>
        </w:tc>
        <w:tc>
          <w:tcPr>
            <w:tcW w:w="11902" w:type="dxa"/>
            <w:hideMark/>
          </w:tcPr>
          <w:p w14:paraId="71FC09F3"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ACTC1, ATF3, FOS, IGF2, MEF2C, MYH9, NOS1, PAX6, PTK2, SNAI2, SOX2, VCL</w:t>
            </w:r>
          </w:p>
        </w:tc>
      </w:tr>
      <w:tr w:rsidR="009E5393" w:rsidRPr="009E5393" w14:paraId="57644B4F" w14:textId="77777777" w:rsidTr="00CD7F90">
        <w:trPr>
          <w:trHeight w:val="57"/>
        </w:trPr>
        <w:tc>
          <w:tcPr>
            <w:tcW w:w="3539" w:type="dxa"/>
            <w:hideMark/>
          </w:tcPr>
          <w:p w14:paraId="18EF83AC"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Vasculature development</w:t>
            </w:r>
          </w:p>
        </w:tc>
        <w:tc>
          <w:tcPr>
            <w:tcW w:w="11902" w:type="dxa"/>
            <w:hideMark/>
          </w:tcPr>
          <w:p w14:paraId="379B2EEF"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ANXA2, CCN2, EPHB1, CCN1, MEF2C, MYH9, PAX6, PTK2, RGMA, ROBO4, SOX2, THY1, VCL</w:t>
            </w:r>
          </w:p>
        </w:tc>
      </w:tr>
      <w:tr w:rsidR="009E5393" w:rsidRPr="009E5393" w14:paraId="6ED0A521" w14:textId="77777777" w:rsidTr="00CD7F90">
        <w:trPr>
          <w:trHeight w:val="57"/>
        </w:trPr>
        <w:tc>
          <w:tcPr>
            <w:tcW w:w="3539" w:type="dxa"/>
            <w:hideMark/>
          </w:tcPr>
          <w:p w14:paraId="3DA9F04A"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 xml:space="preserve">Extracellular matrix (ECM), core set </w:t>
            </w:r>
          </w:p>
        </w:tc>
        <w:tc>
          <w:tcPr>
            <w:tcW w:w="11902" w:type="dxa"/>
            <w:hideMark/>
          </w:tcPr>
          <w:p w14:paraId="3B741183"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lang w:val="it-IT"/>
              </w:rPr>
              <w:t>BGN, COL15A1, COL4A1, COL4A2, COL6A1, COL6A2, COL6A3, DCN, FN1, HSPG2, LAMA2, LAMB1, LAMB2, LAMC1, LUM, NID1, NID2, SDC4, SPARC</w:t>
            </w:r>
          </w:p>
        </w:tc>
      </w:tr>
      <w:tr w:rsidR="009E5393" w:rsidRPr="009E5393" w14:paraId="6D686C91" w14:textId="77777777" w:rsidTr="00CD7F90">
        <w:trPr>
          <w:trHeight w:val="57"/>
        </w:trPr>
        <w:tc>
          <w:tcPr>
            <w:tcW w:w="3539" w:type="dxa"/>
            <w:hideMark/>
          </w:tcPr>
          <w:p w14:paraId="555BDB52" w14:textId="36272A9C"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 xml:space="preserve">ECM </w:t>
            </w:r>
            <w:r w:rsidR="00CD7F90" w:rsidRPr="00CD7F90">
              <w:rPr>
                <w:rFonts w:ascii="Gill Sans MT Condensed" w:hAnsi="Gill Sans MT Condensed" w:cs="Times New Roman"/>
                <w:sz w:val="22"/>
                <w:szCs w:val="22"/>
              </w:rPr>
              <w:t xml:space="preserve">- </w:t>
            </w:r>
            <w:r w:rsidRPr="009E5393">
              <w:rPr>
                <w:rFonts w:ascii="Gill Sans MT Condensed" w:hAnsi="Gill Sans MT Condensed" w:cs="Times New Roman"/>
                <w:sz w:val="22"/>
                <w:szCs w:val="22"/>
              </w:rPr>
              <w:t>basement membrane</w:t>
            </w:r>
          </w:p>
        </w:tc>
        <w:tc>
          <w:tcPr>
            <w:tcW w:w="11902" w:type="dxa"/>
            <w:hideMark/>
          </w:tcPr>
          <w:p w14:paraId="3FF9CE34"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lang w:val="it-IT"/>
              </w:rPr>
              <w:t>LAMC1, DAG1, COL4A3, LAMB2, COL4A5, LAMA4, HSPG2, COL4A1, COL4A2, LAMA2</w:t>
            </w:r>
          </w:p>
        </w:tc>
      </w:tr>
      <w:tr w:rsidR="009E5393" w:rsidRPr="009E5393" w14:paraId="15E662CE" w14:textId="77777777" w:rsidTr="00CD7F90">
        <w:trPr>
          <w:trHeight w:val="57"/>
        </w:trPr>
        <w:tc>
          <w:tcPr>
            <w:tcW w:w="3539" w:type="dxa"/>
            <w:hideMark/>
          </w:tcPr>
          <w:p w14:paraId="5A19E20C" w14:textId="71A030A5"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 xml:space="preserve">ECM </w:t>
            </w:r>
            <w:r w:rsidR="00CD7F90" w:rsidRPr="00CD7F90">
              <w:rPr>
                <w:rFonts w:ascii="Gill Sans MT Condensed" w:hAnsi="Gill Sans MT Condensed" w:cs="Times New Roman"/>
                <w:sz w:val="22"/>
                <w:szCs w:val="22"/>
              </w:rPr>
              <w:t>-</w:t>
            </w:r>
            <w:r w:rsidRPr="009E5393">
              <w:rPr>
                <w:rFonts w:ascii="Gill Sans MT Condensed" w:hAnsi="Gill Sans MT Condensed" w:cs="Times New Roman"/>
                <w:sz w:val="22"/>
                <w:szCs w:val="22"/>
              </w:rPr>
              <w:t xml:space="preserve"> fibrillar collagens </w:t>
            </w:r>
          </w:p>
        </w:tc>
        <w:tc>
          <w:tcPr>
            <w:tcW w:w="11902" w:type="dxa"/>
            <w:hideMark/>
          </w:tcPr>
          <w:p w14:paraId="2E01CB70"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lang w:val="it-IT"/>
              </w:rPr>
              <w:t>COL1A2, COL14A1, COL3A1, COL1A1, COL5A1, COL12A1, COL15A1</w:t>
            </w:r>
          </w:p>
        </w:tc>
      </w:tr>
      <w:tr w:rsidR="009E5393" w:rsidRPr="009E5393" w14:paraId="2E34EEAF" w14:textId="77777777" w:rsidTr="00CD7F90">
        <w:trPr>
          <w:trHeight w:val="57"/>
        </w:trPr>
        <w:tc>
          <w:tcPr>
            <w:tcW w:w="3539" w:type="dxa"/>
            <w:hideMark/>
          </w:tcPr>
          <w:p w14:paraId="42692784" w14:textId="58B8C04B"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 xml:space="preserve">ECM </w:t>
            </w:r>
            <w:r w:rsidR="00CD7F90" w:rsidRPr="00CD7F90">
              <w:rPr>
                <w:rFonts w:ascii="Gill Sans MT Condensed" w:hAnsi="Gill Sans MT Condensed" w:cs="Times New Roman"/>
                <w:sz w:val="22"/>
                <w:szCs w:val="22"/>
              </w:rPr>
              <w:t>-</w:t>
            </w:r>
            <w:r w:rsidRPr="009E5393">
              <w:rPr>
                <w:rFonts w:ascii="Gill Sans MT Condensed" w:hAnsi="Gill Sans MT Condensed" w:cs="Times New Roman"/>
                <w:sz w:val="22"/>
                <w:szCs w:val="22"/>
              </w:rPr>
              <w:t xml:space="preserve"> collagen VI / </w:t>
            </w:r>
            <w:proofErr w:type="spellStart"/>
            <w:r w:rsidRPr="009E5393">
              <w:rPr>
                <w:rFonts w:ascii="Gill Sans MT Condensed" w:hAnsi="Gill Sans MT Condensed" w:cs="Times New Roman"/>
                <w:sz w:val="22"/>
                <w:szCs w:val="22"/>
              </w:rPr>
              <w:t>myomatrix</w:t>
            </w:r>
            <w:proofErr w:type="spellEnd"/>
          </w:p>
        </w:tc>
        <w:tc>
          <w:tcPr>
            <w:tcW w:w="11902" w:type="dxa"/>
            <w:hideMark/>
          </w:tcPr>
          <w:p w14:paraId="571DD303" w14:textId="77777777" w:rsidR="009E5393" w:rsidRPr="009E5393" w:rsidRDefault="009E5393" w:rsidP="00CD7F90">
            <w:pPr>
              <w:spacing w:line="278" w:lineRule="auto"/>
              <w:rPr>
                <w:rFonts w:ascii="Gill Sans MT Condensed" w:hAnsi="Gill Sans MT Condensed" w:cs="Times New Roman"/>
                <w:sz w:val="22"/>
                <w:szCs w:val="22"/>
              </w:rPr>
            </w:pPr>
            <w:r w:rsidRPr="009E5393">
              <w:rPr>
                <w:rFonts w:ascii="Gill Sans MT Condensed" w:hAnsi="Gill Sans MT Condensed" w:cs="Times New Roman"/>
                <w:sz w:val="22"/>
                <w:szCs w:val="22"/>
              </w:rPr>
              <w:t>COL6A2, COL6A1, COL6A3</w:t>
            </w:r>
          </w:p>
        </w:tc>
      </w:tr>
      <w:tr w:rsidR="009E5393" w:rsidRPr="009E5393" w14:paraId="6A14010D" w14:textId="77777777" w:rsidTr="00CD7F90">
        <w:trPr>
          <w:trHeight w:val="57"/>
        </w:trPr>
        <w:tc>
          <w:tcPr>
            <w:tcW w:w="3539" w:type="dxa"/>
            <w:hideMark/>
          </w:tcPr>
          <w:p w14:paraId="3FB58C30" w14:textId="58E32C4E" w:rsidR="009E5393" w:rsidRPr="009E5393" w:rsidRDefault="009E5393"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 xml:space="preserve">ECM </w:t>
            </w:r>
            <w:r w:rsidR="00CD7F90" w:rsidRPr="00CD7F90">
              <w:rPr>
                <w:rFonts w:ascii="Gill Sans MT Condensed" w:hAnsi="Gill Sans MT Condensed" w:cs="Times New Roman"/>
                <w:sz w:val="22"/>
                <w:szCs w:val="22"/>
              </w:rPr>
              <w:t>-</w:t>
            </w:r>
            <w:r w:rsidRPr="00CD7F90">
              <w:rPr>
                <w:rFonts w:ascii="Gill Sans MT Condensed" w:hAnsi="Gill Sans MT Condensed" w:cs="Times New Roman"/>
                <w:sz w:val="22"/>
                <w:szCs w:val="22"/>
              </w:rPr>
              <w:t xml:space="preserve"> proteoglycans</w:t>
            </w:r>
          </w:p>
        </w:tc>
        <w:tc>
          <w:tcPr>
            <w:tcW w:w="11902" w:type="dxa"/>
            <w:hideMark/>
          </w:tcPr>
          <w:p w14:paraId="32CFD465" w14:textId="1CD2D623" w:rsidR="009E5393" w:rsidRPr="009E5393" w:rsidRDefault="009E5393"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GPC1, BGN, SDC3, HSPG2, SDC4, DCN</w:t>
            </w:r>
          </w:p>
        </w:tc>
      </w:tr>
      <w:tr w:rsidR="009E5393" w:rsidRPr="009E5393" w14:paraId="7029AFAC" w14:textId="77777777" w:rsidTr="00CD7F90">
        <w:trPr>
          <w:trHeight w:val="57"/>
        </w:trPr>
        <w:tc>
          <w:tcPr>
            <w:tcW w:w="3539" w:type="dxa"/>
            <w:hideMark/>
          </w:tcPr>
          <w:p w14:paraId="1C79522D" w14:textId="6E251494" w:rsidR="009E5393" w:rsidRPr="009E5393" w:rsidRDefault="009E5393"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 xml:space="preserve">ECM </w:t>
            </w:r>
            <w:r w:rsidR="00CD7F90" w:rsidRPr="00CD7F90">
              <w:rPr>
                <w:rFonts w:ascii="Gill Sans MT Condensed" w:hAnsi="Gill Sans MT Condensed" w:cs="Times New Roman"/>
                <w:sz w:val="22"/>
                <w:szCs w:val="22"/>
              </w:rPr>
              <w:t>-</w:t>
            </w:r>
            <w:r w:rsidRPr="00CD7F90">
              <w:rPr>
                <w:rFonts w:ascii="Gill Sans MT Condensed" w:hAnsi="Gill Sans MT Condensed" w:cs="Times New Roman"/>
                <w:sz w:val="22"/>
                <w:szCs w:val="22"/>
              </w:rPr>
              <w:t xml:space="preserve"> glycoproteins / </w:t>
            </w:r>
            <w:proofErr w:type="spellStart"/>
            <w:r w:rsidRPr="00CD7F90">
              <w:rPr>
                <w:rFonts w:ascii="Gill Sans MT Condensed" w:hAnsi="Gill Sans MT Condensed" w:cs="Times New Roman"/>
                <w:sz w:val="22"/>
                <w:szCs w:val="22"/>
              </w:rPr>
              <w:t>matrisome</w:t>
            </w:r>
            <w:proofErr w:type="spellEnd"/>
          </w:p>
        </w:tc>
        <w:tc>
          <w:tcPr>
            <w:tcW w:w="11902" w:type="dxa"/>
            <w:hideMark/>
          </w:tcPr>
          <w:p w14:paraId="755244E3" w14:textId="13D911FB" w:rsidR="009E5393" w:rsidRPr="009E5393" w:rsidRDefault="009E5393"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VWF, EMILIN1, FBLN1, SPARC, POSTN, FN1, TNC, FBLN2, FBLN5</w:t>
            </w:r>
          </w:p>
        </w:tc>
      </w:tr>
      <w:tr w:rsidR="009E5393" w:rsidRPr="009E5393" w14:paraId="3AB8205F" w14:textId="77777777" w:rsidTr="00CD7F90">
        <w:trPr>
          <w:trHeight w:val="57"/>
        </w:trPr>
        <w:tc>
          <w:tcPr>
            <w:tcW w:w="3539" w:type="dxa"/>
            <w:hideMark/>
          </w:tcPr>
          <w:p w14:paraId="0A455964" w14:textId="719FE16E" w:rsidR="009E5393" w:rsidRPr="009E5393" w:rsidRDefault="009E5393"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 xml:space="preserve">ECM </w:t>
            </w:r>
            <w:r w:rsidR="00CD7F90" w:rsidRPr="00CD7F90">
              <w:rPr>
                <w:rFonts w:ascii="Gill Sans MT Condensed" w:hAnsi="Gill Sans MT Condensed" w:cs="Times New Roman"/>
                <w:sz w:val="22"/>
                <w:szCs w:val="22"/>
              </w:rPr>
              <w:t>-</w:t>
            </w:r>
            <w:r w:rsidRPr="00CD7F90">
              <w:rPr>
                <w:rFonts w:ascii="Gill Sans MT Condensed" w:hAnsi="Gill Sans MT Condensed" w:cs="Times New Roman"/>
                <w:sz w:val="22"/>
                <w:szCs w:val="22"/>
              </w:rPr>
              <w:t xml:space="preserve"> fibronectin matrix / wound healing</w:t>
            </w:r>
          </w:p>
        </w:tc>
        <w:tc>
          <w:tcPr>
            <w:tcW w:w="11902" w:type="dxa"/>
            <w:hideMark/>
          </w:tcPr>
          <w:p w14:paraId="21830734" w14:textId="06625EB7" w:rsidR="009E5393" w:rsidRPr="009E5393" w:rsidRDefault="009E5393"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CCN2, POSTN, FN1, TIMP1, TNC, SERPINH1, MMP2</w:t>
            </w:r>
          </w:p>
        </w:tc>
      </w:tr>
      <w:tr w:rsidR="009E5393" w:rsidRPr="009E5393" w14:paraId="581508AF" w14:textId="77777777" w:rsidTr="00CD7F90">
        <w:trPr>
          <w:trHeight w:val="57"/>
        </w:trPr>
        <w:tc>
          <w:tcPr>
            <w:tcW w:w="3539" w:type="dxa"/>
            <w:hideMark/>
          </w:tcPr>
          <w:p w14:paraId="44BEA51E" w14:textId="6FC820C3" w:rsidR="009E5393" w:rsidRPr="009E5393" w:rsidRDefault="009E5393"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 xml:space="preserve">ECM </w:t>
            </w:r>
            <w:r w:rsidR="00CD7F90" w:rsidRPr="00CD7F90">
              <w:rPr>
                <w:rFonts w:ascii="Gill Sans MT Condensed" w:hAnsi="Gill Sans MT Condensed" w:cs="Times New Roman"/>
                <w:sz w:val="22"/>
                <w:szCs w:val="22"/>
              </w:rPr>
              <w:t>-</w:t>
            </w:r>
            <w:r w:rsidRPr="00CD7F90">
              <w:rPr>
                <w:rFonts w:ascii="Gill Sans MT Condensed" w:hAnsi="Gill Sans MT Condensed" w:cs="Times New Roman"/>
                <w:sz w:val="22"/>
                <w:szCs w:val="22"/>
              </w:rPr>
              <w:t>remodelling enzymes</w:t>
            </w:r>
          </w:p>
        </w:tc>
        <w:tc>
          <w:tcPr>
            <w:tcW w:w="11902" w:type="dxa"/>
            <w:hideMark/>
          </w:tcPr>
          <w:p w14:paraId="45DF5C1D" w14:textId="071CDC97" w:rsidR="009E5393" w:rsidRPr="00CD7F90" w:rsidRDefault="009E5393"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ADAMTS1, P4HA1, PLOD1, TIMP1, TIMP2, SERPINH1, MMP2, TIMP3</w:t>
            </w:r>
          </w:p>
          <w:p w14:paraId="60D14A1C" w14:textId="77777777" w:rsidR="009E5393" w:rsidRPr="009E5393" w:rsidRDefault="009E5393" w:rsidP="00CD7F90">
            <w:pPr>
              <w:rPr>
                <w:rFonts w:ascii="Gill Sans MT Condensed" w:hAnsi="Gill Sans MT Condensed" w:cs="Times New Roman"/>
                <w:sz w:val="22"/>
                <w:szCs w:val="22"/>
              </w:rPr>
            </w:pPr>
          </w:p>
        </w:tc>
      </w:tr>
      <w:tr w:rsidR="009E5393" w:rsidRPr="009E5393" w14:paraId="576F9BAE" w14:textId="77777777" w:rsidTr="00CD7F90">
        <w:trPr>
          <w:trHeight w:val="57"/>
        </w:trPr>
        <w:tc>
          <w:tcPr>
            <w:tcW w:w="3539" w:type="dxa"/>
          </w:tcPr>
          <w:p w14:paraId="79780D4F" w14:textId="00D82678" w:rsidR="009E5393" w:rsidRPr="00CD7F90" w:rsidRDefault="009E5393"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 xml:space="preserve">ECM </w:t>
            </w:r>
            <w:r w:rsidR="003A21A4">
              <w:rPr>
                <w:rFonts w:ascii="Gill Sans MT Condensed" w:hAnsi="Gill Sans MT Condensed" w:cs="Times New Roman"/>
                <w:sz w:val="22"/>
                <w:szCs w:val="22"/>
              </w:rPr>
              <w:t>–</w:t>
            </w:r>
            <w:r w:rsidRPr="00CD7F90">
              <w:rPr>
                <w:rFonts w:ascii="Gill Sans MT Condensed" w:hAnsi="Gill Sans MT Condensed" w:cs="Times New Roman"/>
                <w:sz w:val="22"/>
                <w:szCs w:val="22"/>
              </w:rPr>
              <w:t xml:space="preserve"> cell</w:t>
            </w:r>
            <w:r w:rsidR="003A21A4">
              <w:rPr>
                <w:rFonts w:ascii="Gill Sans MT Condensed" w:hAnsi="Gill Sans MT Condensed" w:cs="Times New Roman"/>
                <w:sz w:val="22"/>
                <w:szCs w:val="22"/>
              </w:rPr>
              <w:t>-</w:t>
            </w:r>
            <w:r w:rsidRPr="00CD7F90">
              <w:rPr>
                <w:rFonts w:ascii="Gill Sans MT Condensed" w:hAnsi="Gill Sans MT Condensed" w:cs="Times New Roman"/>
                <w:sz w:val="22"/>
                <w:szCs w:val="22"/>
              </w:rPr>
              <w:t>matrix adhesion receptors</w:t>
            </w:r>
          </w:p>
        </w:tc>
        <w:tc>
          <w:tcPr>
            <w:tcW w:w="11902" w:type="dxa"/>
          </w:tcPr>
          <w:p w14:paraId="0DA393F3" w14:textId="7919A8CA" w:rsidR="009E5393" w:rsidRPr="00CD7F90" w:rsidRDefault="009E5393"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ITGA6, ITGAV, DAG1, ITGA7, ITGA5, CD44, ITGB1, SDC4</w:t>
            </w:r>
          </w:p>
        </w:tc>
      </w:tr>
      <w:tr w:rsidR="003326A1" w:rsidRPr="009E5393" w14:paraId="77767AE4" w14:textId="77777777" w:rsidTr="00CD7F90">
        <w:trPr>
          <w:trHeight w:val="57"/>
        </w:trPr>
        <w:tc>
          <w:tcPr>
            <w:tcW w:w="3539" w:type="dxa"/>
          </w:tcPr>
          <w:p w14:paraId="6EBFE7E4" w14:textId="003AAC61"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Neuromuscular junction development</w:t>
            </w:r>
          </w:p>
        </w:tc>
        <w:tc>
          <w:tcPr>
            <w:tcW w:w="11902" w:type="dxa"/>
          </w:tcPr>
          <w:p w14:paraId="53301A86" w14:textId="4F3EF5F8"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ACHE, CHRNA1, CHRNB1, CHRND, CHRNG, COLQ, DOK7, LRP4, MUSK, RAPSN, AGRN</w:t>
            </w:r>
          </w:p>
        </w:tc>
      </w:tr>
      <w:tr w:rsidR="003326A1" w:rsidRPr="009E5393" w14:paraId="2B183F62" w14:textId="77777777" w:rsidTr="00CD7F90">
        <w:trPr>
          <w:trHeight w:val="57"/>
        </w:trPr>
        <w:tc>
          <w:tcPr>
            <w:tcW w:w="3539" w:type="dxa"/>
          </w:tcPr>
          <w:p w14:paraId="7B6EBF06" w14:textId="65E6A476"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Regulation of MAPK cascade</w:t>
            </w:r>
          </w:p>
        </w:tc>
        <w:tc>
          <w:tcPr>
            <w:tcW w:w="11902" w:type="dxa"/>
          </w:tcPr>
          <w:p w14:paraId="62A33AEB" w14:textId="25FE365F"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MAPK1, MAPK3, MAPK8, MAPK9, MAPK14, MAP2K1, MAP2K2, MAP2K3, MAP2K4, MAP2K6, MAP2K7, RAF1, BRAF, KRAS, HRAS, NRAS, FGFR1, EGFR, PDGFRA, PDGFRB, GRB2, SOS1, DUSP1, DUSP5, DUSP6, SPRY2, SPRY4, EGR1, EGR2, EGR3, FOS, JUN, MYC</w:t>
            </w:r>
          </w:p>
        </w:tc>
      </w:tr>
      <w:tr w:rsidR="003326A1" w:rsidRPr="009E5393" w14:paraId="4F20C1D8" w14:textId="77777777" w:rsidTr="00CD7F90">
        <w:trPr>
          <w:trHeight w:val="57"/>
        </w:trPr>
        <w:tc>
          <w:tcPr>
            <w:tcW w:w="3539" w:type="dxa"/>
            <w:hideMark/>
          </w:tcPr>
          <w:p w14:paraId="39FB0CB9" w14:textId="4310D05F" w:rsidR="003326A1" w:rsidRPr="009E5393" w:rsidRDefault="003326A1"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ERK core/upstream</w:t>
            </w:r>
          </w:p>
        </w:tc>
        <w:tc>
          <w:tcPr>
            <w:tcW w:w="11902" w:type="dxa"/>
            <w:hideMark/>
          </w:tcPr>
          <w:p w14:paraId="6F23E54E" w14:textId="3A746251" w:rsidR="003326A1" w:rsidRPr="009E5393" w:rsidRDefault="003326A1" w:rsidP="00CD7F90">
            <w:pPr>
              <w:spacing w:line="278" w:lineRule="auto"/>
              <w:rPr>
                <w:rFonts w:ascii="Gill Sans MT Condensed" w:hAnsi="Gill Sans MT Condensed" w:cs="Times New Roman"/>
                <w:sz w:val="22"/>
                <w:szCs w:val="22"/>
              </w:rPr>
            </w:pPr>
            <w:r w:rsidRPr="00CD7F90">
              <w:rPr>
                <w:rFonts w:ascii="Gill Sans MT Condensed" w:hAnsi="Gill Sans MT Condensed" w:cs="Times New Roman"/>
                <w:sz w:val="22"/>
                <w:szCs w:val="22"/>
              </w:rPr>
              <w:t>FGFR1, PDGFRA, PDGFRB, GRB2, RAF1, BRAF, MAP2K1, MAP2K2, MAPK1, EGR1, EGR3, FOS, JUN, JUNB, MYC, DUSP6</w:t>
            </w:r>
          </w:p>
        </w:tc>
      </w:tr>
      <w:tr w:rsidR="003326A1" w:rsidRPr="009E5393" w14:paraId="61812A0D" w14:textId="77777777" w:rsidTr="00CD7F90">
        <w:trPr>
          <w:trHeight w:val="57"/>
        </w:trPr>
        <w:tc>
          <w:tcPr>
            <w:tcW w:w="3539" w:type="dxa"/>
          </w:tcPr>
          <w:p w14:paraId="6361E9EF" w14:textId="180C6209"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p38 stress/inflammatory</w:t>
            </w:r>
          </w:p>
        </w:tc>
        <w:tc>
          <w:tcPr>
            <w:tcW w:w="11902" w:type="dxa"/>
          </w:tcPr>
          <w:p w14:paraId="3E586E02" w14:textId="284A08A1"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MAP3K7, MAP2K3, MAPK14, MAPK12, MAPKAPK2, MAPKAPK3, ATF3, DDIT3, GADD45A, GADD45B, GADD45G, HSPB1, MEF2C, MEF2D, DUSP1</w:t>
            </w:r>
          </w:p>
        </w:tc>
      </w:tr>
      <w:tr w:rsidR="003326A1" w:rsidRPr="009E5393" w14:paraId="15EB1A4A" w14:textId="77777777" w:rsidTr="00CD7F90">
        <w:trPr>
          <w:trHeight w:val="57"/>
        </w:trPr>
        <w:tc>
          <w:tcPr>
            <w:tcW w:w="3539" w:type="dxa"/>
          </w:tcPr>
          <w:p w14:paraId="4F12A739" w14:textId="36508654"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JNK/AP-1</w:t>
            </w:r>
          </w:p>
        </w:tc>
        <w:tc>
          <w:tcPr>
            <w:tcW w:w="11902" w:type="dxa"/>
          </w:tcPr>
          <w:p w14:paraId="19A62521" w14:textId="48D240C1"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MAP2K7, JUN, JUNB, JUND, FOS, ATF3, EGR1, DDIT3, GADD45B, GADD45G</w:t>
            </w:r>
          </w:p>
        </w:tc>
      </w:tr>
      <w:tr w:rsidR="003326A1" w:rsidRPr="009E5393" w14:paraId="1652EE68" w14:textId="77777777" w:rsidTr="00CD7F90">
        <w:trPr>
          <w:trHeight w:val="57"/>
        </w:trPr>
        <w:tc>
          <w:tcPr>
            <w:tcW w:w="3539" w:type="dxa"/>
          </w:tcPr>
          <w:p w14:paraId="452F76EE" w14:textId="5077CFC3"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Cytokine production</w:t>
            </w:r>
          </w:p>
        </w:tc>
        <w:tc>
          <w:tcPr>
            <w:tcW w:w="11902" w:type="dxa"/>
          </w:tcPr>
          <w:p w14:paraId="48F2667F" w14:textId="4E920CC2"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CCL3, IL6R, IL6ST, TNFRSF1A, IFNGR1, IFNGR2, TICAM1, TLR2, TLR4, MYD88, IRAK1, TRAF6, NFKB1, RELA, STAT1, STAT3, IRF1, IRF7, CXCL8, IL1B, TNF, CEBPB, CEBPD, PTGS2</w:t>
            </w:r>
          </w:p>
        </w:tc>
      </w:tr>
      <w:tr w:rsidR="003326A1" w:rsidRPr="009E5393" w14:paraId="6B0092AA" w14:textId="77777777" w:rsidTr="00CD7F90">
        <w:trPr>
          <w:trHeight w:val="57"/>
        </w:trPr>
        <w:tc>
          <w:tcPr>
            <w:tcW w:w="3539" w:type="dxa"/>
          </w:tcPr>
          <w:p w14:paraId="1860A59C" w14:textId="28E6287B"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Tissue injury / inflammatory remodelling signalling</w:t>
            </w:r>
          </w:p>
        </w:tc>
        <w:tc>
          <w:tcPr>
            <w:tcW w:w="11902" w:type="dxa"/>
          </w:tcPr>
          <w:p w14:paraId="4EBE0632" w14:textId="77355B56" w:rsidR="003326A1" w:rsidRPr="00CD7F90" w:rsidRDefault="003326A1" w:rsidP="00CD7F90">
            <w:pPr>
              <w:rPr>
                <w:rFonts w:ascii="Gill Sans MT Condensed" w:hAnsi="Gill Sans MT Condensed" w:cs="Times New Roman"/>
                <w:sz w:val="22"/>
                <w:szCs w:val="22"/>
              </w:rPr>
            </w:pPr>
            <w:r w:rsidRPr="00CD7F90">
              <w:rPr>
                <w:rFonts w:ascii="Gill Sans MT Condensed" w:hAnsi="Gill Sans MT Condensed" w:cs="Times New Roman"/>
                <w:sz w:val="22"/>
                <w:szCs w:val="22"/>
              </w:rPr>
              <w:t>ATF3, FOS, JUN, HSPB1, STAT3, CEBPB, CEBPD, DDIT3, GADD45B, GADD45G, IL6ST, TNFRSF1A, NFKB1, RELA, PTGS2</w:t>
            </w:r>
          </w:p>
        </w:tc>
      </w:tr>
    </w:tbl>
    <w:p w14:paraId="62AF3264" w14:textId="4E2CC22D" w:rsidR="00CD7F90" w:rsidRDefault="00CD7F90" w:rsidP="00721430">
      <w:pPr>
        <w:spacing w:before="240"/>
        <w:rPr>
          <w:rFonts w:ascii="Times New Roman" w:hAnsi="Times New Roman" w:cs="Times New Roman"/>
          <w:sz w:val="20"/>
          <w:szCs w:val="20"/>
        </w:rPr>
      </w:pPr>
      <w:r w:rsidRPr="00CD7F90">
        <w:rPr>
          <w:rFonts w:ascii="Times New Roman" w:hAnsi="Times New Roman" w:cs="Times New Roman"/>
          <w:b/>
          <w:bCs/>
          <w:sz w:val="20"/>
          <w:szCs w:val="20"/>
        </w:rPr>
        <w:t xml:space="preserve">Supplementary </w:t>
      </w:r>
      <w:r w:rsidRPr="00CD7F90">
        <w:rPr>
          <w:rFonts w:ascii="Times New Roman" w:hAnsi="Times New Roman" w:cs="Times New Roman"/>
          <w:b/>
          <w:bCs/>
          <w:sz w:val="20"/>
          <w:szCs w:val="20"/>
        </w:rPr>
        <w:t xml:space="preserve">Material 1: </w:t>
      </w:r>
      <w:r w:rsidRPr="00CD7F90">
        <w:rPr>
          <w:rFonts w:ascii="Times New Roman" w:hAnsi="Times New Roman" w:cs="Times New Roman"/>
          <w:b/>
          <w:bCs/>
          <w:sz w:val="20"/>
          <w:szCs w:val="20"/>
        </w:rPr>
        <w:t xml:space="preserve"> Curated pathway gene sets used for AOI-level pathway scoring</w:t>
      </w:r>
      <w:r w:rsidRPr="00CD7F90">
        <w:rPr>
          <w:rFonts w:ascii="Times New Roman" w:hAnsi="Times New Roman" w:cs="Times New Roman"/>
          <w:b/>
          <w:bCs/>
          <w:sz w:val="20"/>
          <w:szCs w:val="20"/>
        </w:rPr>
        <w:t>.</w:t>
      </w:r>
      <w:r w:rsidRPr="00CD7F90">
        <w:rPr>
          <w:rFonts w:ascii="Times New Roman" w:hAnsi="Times New Roman" w:cs="Times New Roman"/>
          <w:sz w:val="20"/>
          <w:szCs w:val="20"/>
        </w:rPr>
        <w:t xml:space="preserve"> </w:t>
      </w:r>
      <w:r w:rsidRPr="00CD7F90">
        <w:rPr>
          <w:rFonts w:ascii="Times New Roman" w:hAnsi="Times New Roman" w:cs="Times New Roman"/>
          <w:sz w:val="20"/>
          <w:szCs w:val="20"/>
        </w:rPr>
        <w:t>Curated gene sets used to calculate AOI-level pathway scores in the spatial transcriptomic analysis. Pathways were selected from Gene Ontology (GO) Biological Process terms or from closely related biologically curated programmes relevant to LOPD pathology. AOI-level pathway scores were calculated as the mean log2 expression of the genes included in each set. The full list of pathways and associated genes is provided below. Definitions of GO-derived pathways should be referred to the Gene Ontology (GO) Biological Process resource.</w:t>
      </w:r>
    </w:p>
    <w:p w14:paraId="74DB39B0" w14:textId="77777777" w:rsidR="00C76E42" w:rsidRDefault="00C76E42" w:rsidP="00721430">
      <w:pPr>
        <w:spacing w:before="240"/>
        <w:rPr>
          <w:rFonts w:ascii="Times New Roman" w:hAnsi="Times New Roman" w:cs="Times New Roman"/>
          <w:sz w:val="20"/>
          <w:szCs w:val="20"/>
        </w:rPr>
      </w:pPr>
    </w:p>
    <w:p w14:paraId="6D9BDCDD" w14:textId="77777777" w:rsidR="00C76E42" w:rsidRDefault="00C76E42" w:rsidP="00721430">
      <w:pPr>
        <w:spacing w:before="240"/>
        <w:rPr>
          <w:rFonts w:ascii="Times New Roman" w:hAnsi="Times New Roman" w:cs="Times New Roman"/>
          <w:sz w:val="20"/>
          <w:szCs w:val="20"/>
        </w:rPr>
      </w:pPr>
    </w:p>
    <w:p w14:paraId="5E20E9FC" w14:textId="77777777" w:rsidR="006E5EDC" w:rsidRDefault="006E5EDC" w:rsidP="00721430">
      <w:pPr>
        <w:spacing w:before="240"/>
        <w:rPr>
          <w:rFonts w:ascii="Times New Roman" w:hAnsi="Times New Roman" w:cs="Times New Roman"/>
          <w:sz w:val="20"/>
          <w:szCs w:val="20"/>
        </w:rPr>
        <w:sectPr w:rsidR="006E5EDC" w:rsidSect="00CD7F90">
          <w:pgSz w:w="16838" w:h="11906" w:orient="landscape"/>
          <w:pgMar w:top="720" w:right="720" w:bottom="720" w:left="720" w:header="708" w:footer="708" w:gutter="0"/>
          <w:cols w:space="708"/>
          <w:docGrid w:linePitch="360"/>
        </w:sectPr>
      </w:pPr>
    </w:p>
    <w:p w14:paraId="1714DB43" w14:textId="28C70349" w:rsidR="00C76E42" w:rsidRDefault="006E1059" w:rsidP="006E1059">
      <w:pPr>
        <w:spacing w:before="240"/>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22882E91" wp14:editId="21BE9E2E">
            <wp:extent cx="4993005" cy="7035165"/>
            <wp:effectExtent l="0" t="0" r="0" b="0"/>
            <wp:docPr id="5977960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93005" cy="7035165"/>
                    </a:xfrm>
                    <a:prstGeom prst="rect">
                      <a:avLst/>
                    </a:prstGeom>
                    <a:noFill/>
                  </pic:spPr>
                </pic:pic>
              </a:graphicData>
            </a:graphic>
          </wp:inline>
        </w:drawing>
      </w:r>
    </w:p>
    <w:p w14:paraId="6DC059F5" w14:textId="77777777" w:rsidR="00233884" w:rsidRDefault="00233884" w:rsidP="00233884">
      <w:pPr>
        <w:spacing w:before="240"/>
        <w:jc w:val="both"/>
        <w:rPr>
          <w:rFonts w:ascii="Times New Roman" w:hAnsi="Times New Roman" w:cs="Times New Roman"/>
          <w:sz w:val="20"/>
          <w:szCs w:val="20"/>
        </w:rPr>
      </w:pPr>
      <w:r w:rsidRPr="00233884">
        <w:rPr>
          <w:rFonts w:ascii="Times New Roman" w:hAnsi="Times New Roman" w:cs="Times New Roman"/>
          <w:b/>
          <w:bCs/>
          <w:sz w:val="20"/>
          <w:szCs w:val="20"/>
        </w:rPr>
        <w:t>Supplemental Figure S1: Selection of region of interest (ROI) vacuolated or not in Pompe skeletal muscle tissue.</w:t>
      </w:r>
      <w:r w:rsidRPr="00233884">
        <w:rPr>
          <w:rFonts w:ascii="Times New Roman" w:hAnsi="Times New Roman" w:cs="Times New Roman"/>
          <w:sz w:val="20"/>
          <w:szCs w:val="20"/>
        </w:rPr>
        <w:t xml:space="preserve">  </w:t>
      </w:r>
      <w:r w:rsidRPr="00233884">
        <w:rPr>
          <w:rFonts w:ascii="Times New Roman" w:hAnsi="Times New Roman" w:cs="Times New Roman"/>
          <w:b/>
          <w:bCs/>
          <w:sz w:val="20"/>
          <w:szCs w:val="20"/>
        </w:rPr>
        <w:t xml:space="preserve">(a) </w:t>
      </w:r>
      <w:r w:rsidRPr="00233884">
        <w:rPr>
          <w:rFonts w:ascii="Times New Roman" w:hAnsi="Times New Roman" w:cs="Times New Roman"/>
          <w:sz w:val="20"/>
          <w:szCs w:val="20"/>
        </w:rPr>
        <w:t xml:space="preserve">Representative image of Pompe muscle tissue and ROIs selected with </w:t>
      </w:r>
      <w:proofErr w:type="spellStart"/>
      <w:r w:rsidRPr="00233884">
        <w:rPr>
          <w:rFonts w:ascii="Times New Roman" w:hAnsi="Times New Roman" w:cs="Times New Roman"/>
          <w:sz w:val="20"/>
          <w:szCs w:val="20"/>
        </w:rPr>
        <w:t>GeoMx</w:t>
      </w:r>
      <w:proofErr w:type="spellEnd"/>
      <w:r w:rsidRPr="00233884">
        <w:rPr>
          <w:rFonts w:ascii="Times New Roman" w:hAnsi="Times New Roman" w:cs="Times New Roman"/>
          <w:sz w:val="20"/>
          <w:szCs w:val="20"/>
        </w:rPr>
        <w:t xml:space="preserve"> DSP. Cross-section were stained with laminin (green) and LC3 (red) antibodies to visualize fibre contours and autophagic vacuoles respectively. Muscle </w:t>
      </w:r>
      <w:proofErr w:type="gramStart"/>
      <w:r w:rsidRPr="00233884">
        <w:rPr>
          <w:rFonts w:ascii="Times New Roman" w:hAnsi="Times New Roman" w:cs="Times New Roman"/>
          <w:sz w:val="20"/>
          <w:szCs w:val="20"/>
        </w:rPr>
        <w:t>scale :</w:t>
      </w:r>
      <w:proofErr w:type="gramEnd"/>
      <w:r w:rsidRPr="00233884">
        <w:rPr>
          <w:rFonts w:ascii="Times New Roman" w:hAnsi="Times New Roman" w:cs="Times New Roman"/>
          <w:sz w:val="20"/>
          <w:szCs w:val="20"/>
        </w:rPr>
        <w:t xml:space="preserve"> 500</w:t>
      </w:r>
      <w:r w:rsidRPr="00233884">
        <w:rPr>
          <w:rFonts w:ascii="Times New Roman" w:hAnsi="Times New Roman" w:cs="Times New Roman"/>
          <w:sz w:val="20"/>
          <w:szCs w:val="20"/>
          <w:lang w:val="el-GR"/>
        </w:rPr>
        <w:t>μ</w:t>
      </w:r>
      <w:r w:rsidRPr="00233884">
        <w:rPr>
          <w:rFonts w:ascii="Times New Roman" w:hAnsi="Times New Roman" w:cs="Times New Roman"/>
          <w:sz w:val="20"/>
          <w:szCs w:val="20"/>
        </w:rPr>
        <w:t>m. ROI scale: 50</w:t>
      </w:r>
      <w:r w:rsidRPr="00233884">
        <w:rPr>
          <w:rFonts w:ascii="Times New Roman" w:hAnsi="Times New Roman" w:cs="Times New Roman"/>
          <w:sz w:val="20"/>
          <w:szCs w:val="20"/>
          <w:lang w:val="el-GR"/>
        </w:rPr>
        <w:t>μ</w:t>
      </w:r>
      <w:r w:rsidRPr="00233884">
        <w:rPr>
          <w:rFonts w:ascii="Times New Roman" w:hAnsi="Times New Roman" w:cs="Times New Roman"/>
          <w:sz w:val="20"/>
          <w:szCs w:val="20"/>
        </w:rPr>
        <w:t xml:space="preserve">m.  </w:t>
      </w:r>
      <w:r w:rsidRPr="00233884">
        <w:rPr>
          <w:rFonts w:ascii="Times New Roman" w:hAnsi="Times New Roman" w:cs="Times New Roman"/>
          <w:b/>
          <w:bCs/>
          <w:sz w:val="20"/>
          <w:szCs w:val="20"/>
        </w:rPr>
        <w:t xml:space="preserve">(b) </w:t>
      </w:r>
      <w:r w:rsidRPr="00233884">
        <w:rPr>
          <w:rFonts w:ascii="Times New Roman" w:hAnsi="Times New Roman" w:cs="Times New Roman"/>
          <w:sz w:val="20"/>
          <w:szCs w:val="20"/>
        </w:rPr>
        <w:t xml:space="preserve">Haematoxylin and eosin (H&amp;E) image of cross section used with </w:t>
      </w:r>
      <w:proofErr w:type="spellStart"/>
      <w:r w:rsidRPr="00233884">
        <w:rPr>
          <w:rFonts w:ascii="Times New Roman" w:hAnsi="Times New Roman" w:cs="Times New Roman"/>
          <w:sz w:val="20"/>
          <w:szCs w:val="20"/>
        </w:rPr>
        <w:t>GeoMx</w:t>
      </w:r>
      <w:proofErr w:type="spellEnd"/>
      <w:r w:rsidRPr="00233884">
        <w:rPr>
          <w:rFonts w:ascii="Times New Roman" w:hAnsi="Times New Roman" w:cs="Times New Roman"/>
          <w:sz w:val="20"/>
          <w:szCs w:val="20"/>
        </w:rPr>
        <w:t xml:space="preserve"> DSP.  </w:t>
      </w:r>
      <w:r w:rsidRPr="00233884">
        <w:rPr>
          <w:rFonts w:ascii="Times New Roman" w:hAnsi="Times New Roman" w:cs="Times New Roman"/>
          <w:b/>
          <w:bCs/>
          <w:sz w:val="20"/>
          <w:szCs w:val="20"/>
        </w:rPr>
        <w:t xml:space="preserve">(c) </w:t>
      </w:r>
      <w:r w:rsidRPr="00233884">
        <w:rPr>
          <w:rFonts w:ascii="Times New Roman" w:hAnsi="Times New Roman" w:cs="Times New Roman"/>
          <w:sz w:val="20"/>
          <w:szCs w:val="20"/>
        </w:rPr>
        <w:t>Percentage of LC3B staining in Pompe biopsies. 3 muscles B107, B599, B417 were not analysed because of varying quality staining across the section.  (d) Samples classification ≤10</w:t>
      </w:r>
      <w:proofErr w:type="gramStart"/>
      <w:r w:rsidRPr="00233884">
        <w:rPr>
          <w:rFonts w:ascii="Times New Roman" w:hAnsi="Times New Roman" w:cs="Times New Roman"/>
          <w:sz w:val="20"/>
          <w:szCs w:val="20"/>
        </w:rPr>
        <w:t>% ;</w:t>
      </w:r>
      <w:proofErr w:type="gramEnd"/>
      <w:r w:rsidRPr="00233884">
        <w:rPr>
          <w:rFonts w:ascii="Times New Roman" w:hAnsi="Times New Roman" w:cs="Times New Roman"/>
          <w:sz w:val="20"/>
          <w:szCs w:val="20"/>
        </w:rPr>
        <w:t xml:space="preserve"> Moderate between 10%-30</w:t>
      </w:r>
      <w:proofErr w:type="gramStart"/>
      <w:r w:rsidRPr="00233884">
        <w:rPr>
          <w:rFonts w:ascii="Times New Roman" w:hAnsi="Times New Roman" w:cs="Times New Roman"/>
          <w:sz w:val="20"/>
          <w:szCs w:val="20"/>
        </w:rPr>
        <w:t>% ;</w:t>
      </w:r>
      <w:proofErr w:type="gramEnd"/>
      <w:r w:rsidRPr="00233884">
        <w:rPr>
          <w:rFonts w:ascii="Times New Roman" w:hAnsi="Times New Roman" w:cs="Times New Roman"/>
          <w:sz w:val="20"/>
          <w:szCs w:val="20"/>
        </w:rPr>
        <w:t xml:space="preserve"> Severe ≥30%, † evaluated by eyes with Haematoxylin and Eosin staining. </w:t>
      </w:r>
    </w:p>
    <w:p w14:paraId="196555E6" w14:textId="77777777" w:rsidR="00233884" w:rsidRDefault="00233884" w:rsidP="00233884">
      <w:pPr>
        <w:spacing w:before="240"/>
        <w:jc w:val="both"/>
        <w:rPr>
          <w:rFonts w:ascii="Times New Roman" w:hAnsi="Times New Roman" w:cs="Times New Roman"/>
          <w:sz w:val="20"/>
          <w:szCs w:val="20"/>
        </w:rPr>
      </w:pPr>
    </w:p>
    <w:p w14:paraId="2A8F564A" w14:textId="77777777" w:rsidR="00233884" w:rsidRDefault="00233884" w:rsidP="00233884">
      <w:pPr>
        <w:spacing w:before="240"/>
        <w:jc w:val="both"/>
        <w:rPr>
          <w:rFonts w:ascii="Times New Roman" w:hAnsi="Times New Roman" w:cs="Times New Roman"/>
          <w:sz w:val="20"/>
          <w:szCs w:val="20"/>
        </w:rPr>
      </w:pPr>
    </w:p>
    <w:p w14:paraId="66B72A0F" w14:textId="77777777" w:rsidR="00233884" w:rsidRDefault="00233884" w:rsidP="00233884">
      <w:pPr>
        <w:spacing w:before="240"/>
        <w:jc w:val="both"/>
        <w:rPr>
          <w:rFonts w:ascii="Times New Roman" w:hAnsi="Times New Roman" w:cs="Times New Roman"/>
          <w:sz w:val="20"/>
          <w:szCs w:val="20"/>
        </w:rPr>
      </w:pPr>
    </w:p>
    <w:p w14:paraId="66A56ED1" w14:textId="77777777" w:rsidR="00233884" w:rsidRDefault="00233884" w:rsidP="00233884">
      <w:pPr>
        <w:spacing w:before="240"/>
        <w:jc w:val="both"/>
        <w:rPr>
          <w:rFonts w:ascii="Times New Roman" w:hAnsi="Times New Roman" w:cs="Times New Roman"/>
          <w:sz w:val="20"/>
          <w:szCs w:val="20"/>
        </w:rPr>
      </w:pPr>
    </w:p>
    <w:p w14:paraId="558E83EA" w14:textId="594A5AFC" w:rsidR="00233884" w:rsidRPr="00233884" w:rsidRDefault="00233884" w:rsidP="00233884">
      <w:pPr>
        <w:spacing w:before="240"/>
        <w:jc w:val="both"/>
        <w:rPr>
          <w:rFonts w:ascii="Times New Roman" w:hAnsi="Times New Roman" w:cs="Times New Roman"/>
          <w:sz w:val="20"/>
          <w:szCs w:val="20"/>
        </w:rPr>
      </w:pPr>
    </w:p>
    <w:p w14:paraId="243FB121" w14:textId="6BE4DAAD" w:rsidR="006E1059" w:rsidRDefault="00187E39" w:rsidP="006E1059">
      <w:pPr>
        <w:spacing w:before="24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C7D3D09" wp14:editId="549ED1D6">
            <wp:extent cx="6139180" cy="4542155"/>
            <wp:effectExtent l="0" t="0" r="0" b="0"/>
            <wp:docPr id="5205030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39180" cy="4542155"/>
                    </a:xfrm>
                    <a:prstGeom prst="rect">
                      <a:avLst/>
                    </a:prstGeom>
                    <a:noFill/>
                  </pic:spPr>
                </pic:pic>
              </a:graphicData>
            </a:graphic>
          </wp:inline>
        </w:drawing>
      </w:r>
    </w:p>
    <w:p w14:paraId="7193FD23" w14:textId="5C44DBC5" w:rsidR="00187E39" w:rsidRDefault="00187E39" w:rsidP="00187E39">
      <w:pPr>
        <w:spacing w:before="240"/>
        <w:jc w:val="both"/>
        <w:rPr>
          <w:rFonts w:ascii="Times New Roman" w:hAnsi="Times New Roman" w:cs="Times New Roman"/>
          <w:sz w:val="20"/>
          <w:szCs w:val="20"/>
        </w:rPr>
      </w:pPr>
      <w:r w:rsidRPr="00187E39">
        <w:rPr>
          <w:rFonts w:ascii="Times New Roman" w:hAnsi="Times New Roman" w:cs="Times New Roman"/>
          <w:b/>
          <w:bCs/>
          <w:sz w:val="20"/>
          <w:szCs w:val="20"/>
        </w:rPr>
        <w:t xml:space="preserve">Supplemental Figure S2: Branch-specific MAPK pathway scores in control and Pompe muscle. </w:t>
      </w:r>
      <w:r w:rsidRPr="00187E39">
        <w:rPr>
          <w:rFonts w:ascii="Times New Roman" w:hAnsi="Times New Roman" w:cs="Times New Roman"/>
          <w:sz w:val="20"/>
          <w:szCs w:val="20"/>
        </w:rPr>
        <w:t xml:space="preserve">Pathway scores for </w:t>
      </w:r>
      <w:r w:rsidRPr="00187E39">
        <w:rPr>
          <w:rFonts w:ascii="Times New Roman" w:hAnsi="Times New Roman" w:cs="Times New Roman"/>
          <w:b/>
          <w:bCs/>
          <w:sz w:val="20"/>
          <w:szCs w:val="20"/>
        </w:rPr>
        <w:t xml:space="preserve">(a) </w:t>
      </w:r>
      <w:r w:rsidRPr="00187E39">
        <w:rPr>
          <w:rFonts w:ascii="Times New Roman" w:hAnsi="Times New Roman" w:cs="Times New Roman"/>
          <w:sz w:val="20"/>
          <w:szCs w:val="20"/>
        </w:rPr>
        <w:t xml:space="preserve">ERK-related programmes, including ERK core upstream and ERK output genes (left and right panels), </w:t>
      </w:r>
      <w:r w:rsidRPr="00187E39">
        <w:rPr>
          <w:rFonts w:ascii="Times New Roman" w:hAnsi="Times New Roman" w:cs="Times New Roman"/>
          <w:b/>
          <w:bCs/>
          <w:sz w:val="20"/>
          <w:szCs w:val="20"/>
        </w:rPr>
        <w:t xml:space="preserve">(b) </w:t>
      </w:r>
      <w:r w:rsidRPr="00187E39">
        <w:rPr>
          <w:rFonts w:ascii="Times New Roman" w:hAnsi="Times New Roman" w:cs="Times New Roman"/>
          <w:sz w:val="20"/>
          <w:szCs w:val="20"/>
        </w:rPr>
        <w:t xml:space="preserve">p38-related programmes, including p38 core upstream and p38 output genes, and </w:t>
      </w:r>
      <w:r w:rsidRPr="00187E39">
        <w:rPr>
          <w:rFonts w:ascii="Times New Roman" w:hAnsi="Times New Roman" w:cs="Times New Roman"/>
          <w:b/>
          <w:bCs/>
          <w:sz w:val="20"/>
          <w:szCs w:val="20"/>
        </w:rPr>
        <w:t xml:space="preserve">(c) </w:t>
      </w:r>
      <w:r w:rsidRPr="00187E39">
        <w:rPr>
          <w:rFonts w:ascii="Times New Roman" w:hAnsi="Times New Roman" w:cs="Times New Roman"/>
          <w:sz w:val="20"/>
          <w:szCs w:val="20"/>
        </w:rPr>
        <w:t>JNK output genes across Control, Pompe-NV and Pompe-V samples across Control, Pompe non-vacuolated (Pompe-NV) and Pompe vacuolated (Pompe-V) samples. Each dot represents one sample; boxplots show median and interquartile range. FDR-adjusted P values for pairwise group comparisons are shown above brackets. A JNK core upstream score is not shown because only one corresponding gene was detected in the dataset.</w:t>
      </w:r>
    </w:p>
    <w:p w14:paraId="58B003AF" w14:textId="77777777" w:rsidR="00187E39" w:rsidRDefault="00187E39">
      <w:pPr>
        <w:rPr>
          <w:rFonts w:ascii="Times New Roman" w:hAnsi="Times New Roman" w:cs="Times New Roman"/>
          <w:sz w:val="20"/>
          <w:szCs w:val="20"/>
        </w:rPr>
      </w:pPr>
      <w:r>
        <w:rPr>
          <w:rFonts w:ascii="Times New Roman" w:hAnsi="Times New Roman" w:cs="Times New Roman"/>
          <w:sz w:val="20"/>
          <w:szCs w:val="20"/>
        </w:rPr>
        <w:br w:type="page"/>
      </w:r>
    </w:p>
    <w:p w14:paraId="07CE2DE3" w14:textId="7EA028C8" w:rsidR="00F85DBA" w:rsidRPr="00187E39" w:rsidRDefault="00F85DBA" w:rsidP="00F85DBA">
      <w:pPr>
        <w:spacing w:before="240"/>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0800D87" wp14:editId="5E2A16BA">
            <wp:extent cx="6120765" cy="2688590"/>
            <wp:effectExtent l="0" t="0" r="0" b="0"/>
            <wp:docPr id="50898341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765" cy="2688590"/>
                    </a:xfrm>
                    <a:prstGeom prst="rect">
                      <a:avLst/>
                    </a:prstGeom>
                    <a:noFill/>
                  </pic:spPr>
                </pic:pic>
              </a:graphicData>
            </a:graphic>
          </wp:inline>
        </w:drawing>
      </w:r>
    </w:p>
    <w:p w14:paraId="0BC304A8" w14:textId="418AFB8F" w:rsidR="000C0F24" w:rsidRDefault="00F85DBA" w:rsidP="00F85DBA">
      <w:pPr>
        <w:spacing w:before="240"/>
        <w:jc w:val="both"/>
        <w:rPr>
          <w:rFonts w:ascii="Times New Roman" w:hAnsi="Times New Roman" w:cs="Times New Roman"/>
          <w:sz w:val="20"/>
          <w:szCs w:val="20"/>
        </w:rPr>
      </w:pPr>
      <w:r w:rsidRPr="00F85DBA">
        <w:rPr>
          <w:rFonts w:ascii="Times New Roman" w:hAnsi="Times New Roman" w:cs="Times New Roman"/>
          <w:b/>
          <w:bCs/>
          <w:sz w:val="20"/>
          <w:szCs w:val="20"/>
        </w:rPr>
        <w:t xml:space="preserve">Supplemental Figure S3: Gene-level changes in cytokine production and tissue injury / inflammatory remodelling programmes across LC3-defined severity groups. </w:t>
      </w:r>
      <w:r w:rsidRPr="00F85DBA">
        <w:rPr>
          <w:rFonts w:ascii="Times New Roman" w:hAnsi="Times New Roman" w:cs="Times New Roman"/>
          <w:sz w:val="20"/>
          <w:szCs w:val="20"/>
        </w:rPr>
        <w:t xml:space="preserve">Dot heatmaps showing differential expression of genes associated with cytokine production and tissue injury / inflammatory remodelling signalling in low, moderate, and severe samples, each compared with Control. Dot colour indicates </w:t>
      </w:r>
      <w:proofErr w:type="spellStart"/>
      <w:r w:rsidRPr="00F85DBA">
        <w:rPr>
          <w:rFonts w:ascii="Times New Roman" w:hAnsi="Times New Roman" w:cs="Times New Roman"/>
          <w:sz w:val="20"/>
          <w:szCs w:val="20"/>
        </w:rPr>
        <w:t>logFC</w:t>
      </w:r>
      <w:proofErr w:type="spellEnd"/>
      <w:r w:rsidRPr="00F85DBA">
        <w:rPr>
          <w:rFonts w:ascii="Times New Roman" w:hAnsi="Times New Roman" w:cs="Times New Roman"/>
          <w:sz w:val="20"/>
          <w:szCs w:val="20"/>
        </w:rPr>
        <w:t>, dot size indicates −log10(FDR), and black outlines mark genes with FDR &lt; 0.10.</w:t>
      </w:r>
    </w:p>
    <w:p w14:paraId="0BE17B10" w14:textId="77777777" w:rsidR="000C0F24" w:rsidRDefault="000C0F24">
      <w:pPr>
        <w:rPr>
          <w:rFonts w:ascii="Times New Roman" w:hAnsi="Times New Roman" w:cs="Times New Roman"/>
          <w:sz w:val="20"/>
          <w:szCs w:val="20"/>
        </w:rPr>
      </w:pPr>
      <w:r>
        <w:rPr>
          <w:rFonts w:ascii="Times New Roman" w:hAnsi="Times New Roman" w:cs="Times New Roman"/>
          <w:sz w:val="20"/>
          <w:szCs w:val="20"/>
        </w:rPr>
        <w:br w:type="page"/>
      </w:r>
    </w:p>
    <w:p w14:paraId="51BC580E" w14:textId="77777777" w:rsidR="00F85DBA" w:rsidRDefault="00F85DBA" w:rsidP="00F85DBA">
      <w:pPr>
        <w:spacing w:before="240"/>
        <w:jc w:val="both"/>
        <w:rPr>
          <w:rFonts w:ascii="Times New Roman" w:hAnsi="Times New Roman" w:cs="Times New Roman"/>
          <w:sz w:val="20"/>
          <w:szCs w:val="20"/>
        </w:rPr>
      </w:pPr>
    </w:p>
    <w:p w14:paraId="5DB8B475" w14:textId="77777777" w:rsidR="00F85DBA" w:rsidRPr="00F85DBA" w:rsidRDefault="00F85DBA" w:rsidP="00F85DBA">
      <w:pPr>
        <w:spacing w:before="240"/>
        <w:jc w:val="both"/>
        <w:rPr>
          <w:rFonts w:ascii="Times New Roman" w:hAnsi="Times New Roman" w:cs="Times New Roman"/>
          <w:sz w:val="20"/>
          <w:szCs w:val="20"/>
        </w:rPr>
      </w:pPr>
    </w:p>
    <w:p w14:paraId="5B3B2A2F" w14:textId="47489059" w:rsidR="00F85DBA" w:rsidRDefault="000C0F24" w:rsidP="006E1059">
      <w:pPr>
        <w:spacing w:before="24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F07DACC" wp14:editId="1657BF63">
            <wp:extent cx="6139180" cy="6584315"/>
            <wp:effectExtent l="0" t="0" r="0" b="6985"/>
            <wp:docPr id="4468150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9180" cy="6584315"/>
                    </a:xfrm>
                    <a:prstGeom prst="rect">
                      <a:avLst/>
                    </a:prstGeom>
                    <a:noFill/>
                  </pic:spPr>
                </pic:pic>
              </a:graphicData>
            </a:graphic>
          </wp:inline>
        </w:drawing>
      </w:r>
    </w:p>
    <w:p w14:paraId="1ED50DC2" w14:textId="4317CBE2" w:rsidR="003A5F74" w:rsidRDefault="003A5F74" w:rsidP="003A5F74">
      <w:pPr>
        <w:spacing w:before="240"/>
        <w:jc w:val="both"/>
        <w:rPr>
          <w:rFonts w:ascii="Times New Roman" w:hAnsi="Times New Roman" w:cs="Times New Roman"/>
          <w:sz w:val="20"/>
          <w:szCs w:val="20"/>
        </w:rPr>
      </w:pPr>
      <w:r w:rsidRPr="003A5F74">
        <w:rPr>
          <w:rFonts w:ascii="Times New Roman" w:hAnsi="Times New Roman" w:cs="Times New Roman"/>
          <w:b/>
          <w:bCs/>
          <w:sz w:val="20"/>
          <w:szCs w:val="20"/>
        </w:rPr>
        <w:t>Supplementary Fig. S4: Gene-level changes in structural, vascular, and extracellular matrix programmes across LC3-defined severity groups.</w:t>
      </w:r>
      <w:r w:rsidRPr="003A5F74">
        <w:rPr>
          <w:rFonts w:ascii="Times New Roman" w:hAnsi="Times New Roman" w:cs="Times New Roman"/>
          <w:sz w:val="20"/>
          <w:szCs w:val="20"/>
        </w:rPr>
        <w:t xml:space="preserve"> Dot heatmaps showing differential expression of genes associated with muscle structure development, vasculature development, ECM structural scaffold, and ECM remodelling in low, moderate, and severe samples, each compared with Control. Analyses were performed on </w:t>
      </w:r>
      <w:proofErr w:type="spellStart"/>
      <w:r w:rsidRPr="003A5F74">
        <w:rPr>
          <w:rFonts w:ascii="Times New Roman" w:hAnsi="Times New Roman" w:cs="Times New Roman"/>
          <w:sz w:val="20"/>
          <w:szCs w:val="20"/>
        </w:rPr>
        <w:t>GeoMx</w:t>
      </w:r>
      <w:proofErr w:type="spellEnd"/>
      <w:r w:rsidRPr="003A5F74">
        <w:rPr>
          <w:rFonts w:ascii="Times New Roman" w:hAnsi="Times New Roman" w:cs="Times New Roman"/>
          <w:sz w:val="20"/>
          <w:szCs w:val="20"/>
        </w:rPr>
        <w:t xml:space="preserve"> Whole Transcriptome Atlas AOIs using </w:t>
      </w:r>
      <w:proofErr w:type="spellStart"/>
      <w:r w:rsidRPr="003A5F74">
        <w:rPr>
          <w:rFonts w:ascii="Times New Roman" w:hAnsi="Times New Roman" w:cs="Times New Roman"/>
          <w:sz w:val="20"/>
          <w:szCs w:val="20"/>
        </w:rPr>
        <w:t>limma</w:t>
      </w:r>
      <w:proofErr w:type="spellEnd"/>
      <w:r w:rsidRPr="003A5F74">
        <w:rPr>
          <w:rFonts w:ascii="Times New Roman" w:hAnsi="Times New Roman" w:cs="Times New Roman"/>
          <w:sz w:val="20"/>
          <w:szCs w:val="20"/>
        </w:rPr>
        <w:t xml:space="preserve"> with </w:t>
      </w:r>
      <w:proofErr w:type="spellStart"/>
      <w:r w:rsidRPr="003A5F74">
        <w:rPr>
          <w:rFonts w:ascii="Times New Roman" w:hAnsi="Times New Roman" w:cs="Times New Roman"/>
          <w:sz w:val="20"/>
          <w:szCs w:val="20"/>
        </w:rPr>
        <w:t>duplicateCorrelation</w:t>
      </w:r>
      <w:proofErr w:type="spellEnd"/>
      <w:r w:rsidRPr="003A5F74">
        <w:rPr>
          <w:rFonts w:ascii="Times New Roman" w:hAnsi="Times New Roman" w:cs="Times New Roman"/>
          <w:sz w:val="20"/>
          <w:szCs w:val="20"/>
        </w:rPr>
        <w:t xml:space="preserve"> to account for multiple AOIs from the same patient. Dot colour indicates </w:t>
      </w:r>
      <w:proofErr w:type="spellStart"/>
      <w:r w:rsidRPr="003A5F74">
        <w:rPr>
          <w:rFonts w:ascii="Times New Roman" w:hAnsi="Times New Roman" w:cs="Times New Roman"/>
          <w:sz w:val="20"/>
          <w:szCs w:val="20"/>
        </w:rPr>
        <w:t>logFC</w:t>
      </w:r>
      <w:proofErr w:type="spellEnd"/>
      <w:r w:rsidRPr="003A5F74">
        <w:rPr>
          <w:rFonts w:ascii="Times New Roman" w:hAnsi="Times New Roman" w:cs="Times New Roman"/>
          <w:sz w:val="20"/>
          <w:szCs w:val="20"/>
        </w:rPr>
        <w:t>, dot size indicates −log10(FDR), and black outlines mark genes with FDR &lt; 0.10.</w:t>
      </w:r>
    </w:p>
    <w:p w14:paraId="02F5875B" w14:textId="77777777" w:rsidR="003A5F74" w:rsidRDefault="003A5F74">
      <w:pPr>
        <w:rPr>
          <w:rFonts w:ascii="Times New Roman" w:hAnsi="Times New Roman" w:cs="Times New Roman"/>
          <w:sz w:val="20"/>
          <w:szCs w:val="20"/>
        </w:rPr>
      </w:pPr>
      <w:r>
        <w:rPr>
          <w:rFonts w:ascii="Times New Roman" w:hAnsi="Times New Roman" w:cs="Times New Roman"/>
          <w:sz w:val="20"/>
          <w:szCs w:val="20"/>
        </w:rPr>
        <w:br w:type="page"/>
      </w:r>
    </w:p>
    <w:p w14:paraId="1FD4D5B9" w14:textId="77777777" w:rsidR="003A5F74" w:rsidRPr="003A5F74" w:rsidRDefault="003A5F74" w:rsidP="003A5F74">
      <w:pPr>
        <w:spacing w:before="240"/>
        <w:jc w:val="both"/>
        <w:rPr>
          <w:rFonts w:ascii="Times New Roman" w:hAnsi="Times New Roman" w:cs="Times New Roman"/>
          <w:sz w:val="20"/>
          <w:szCs w:val="20"/>
        </w:rPr>
      </w:pPr>
    </w:p>
    <w:p w14:paraId="08625672" w14:textId="473D6531" w:rsidR="000C0F24" w:rsidRDefault="003A5F74" w:rsidP="006E1059">
      <w:pPr>
        <w:spacing w:before="24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A6A7328" wp14:editId="672666AA">
            <wp:extent cx="5121275" cy="6767195"/>
            <wp:effectExtent l="0" t="0" r="3175" b="0"/>
            <wp:docPr id="79977277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1275" cy="6767195"/>
                    </a:xfrm>
                    <a:prstGeom prst="rect">
                      <a:avLst/>
                    </a:prstGeom>
                    <a:noFill/>
                  </pic:spPr>
                </pic:pic>
              </a:graphicData>
            </a:graphic>
          </wp:inline>
        </w:drawing>
      </w:r>
    </w:p>
    <w:p w14:paraId="5606C0BE" w14:textId="77777777" w:rsidR="00B208DA" w:rsidRPr="00B208DA" w:rsidRDefault="00B208DA" w:rsidP="00B208DA">
      <w:pPr>
        <w:spacing w:before="240"/>
        <w:jc w:val="both"/>
        <w:rPr>
          <w:rFonts w:ascii="Times New Roman" w:hAnsi="Times New Roman" w:cs="Times New Roman"/>
          <w:sz w:val="20"/>
          <w:szCs w:val="20"/>
        </w:rPr>
      </w:pPr>
      <w:r w:rsidRPr="00B208DA">
        <w:rPr>
          <w:rFonts w:ascii="Times New Roman" w:hAnsi="Times New Roman" w:cs="Times New Roman"/>
          <w:b/>
          <w:bCs/>
          <w:sz w:val="20"/>
          <w:szCs w:val="20"/>
        </w:rPr>
        <w:t>Supplementary Fig. S5:  Gene-level changes in nitric oxide, matrix remodelling, and satellite cell-associated markers across disease progression.</w:t>
      </w:r>
      <w:r w:rsidRPr="00B208DA">
        <w:rPr>
          <w:rFonts w:ascii="Times New Roman" w:hAnsi="Times New Roman" w:cs="Times New Roman"/>
          <w:sz w:val="20"/>
          <w:szCs w:val="20"/>
        </w:rPr>
        <w:t xml:space="preserve"> Dot heatmaps showing differential expression of satellite cell activation-associated markers, across </w:t>
      </w:r>
      <w:r w:rsidRPr="00B208DA">
        <w:rPr>
          <w:rFonts w:ascii="Times New Roman" w:hAnsi="Times New Roman" w:cs="Times New Roman"/>
          <w:b/>
          <w:bCs/>
          <w:sz w:val="20"/>
          <w:szCs w:val="20"/>
        </w:rPr>
        <w:t xml:space="preserve">(a) </w:t>
      </w:r>
      <w:r w:rsidRPr="00B208DA">
        <w:rPr>
          <w:rFonts w:ascii="Times New Roman" w:hAnsi="Times New Roman" w:cs="Times New Roman"/>
          <w:sz w:val="20"/>
          <w:szCs w:val="20"/>
        </w:rPr>
        <w:t xml:space="preserve">LC3-defined severity groups (low, moderate, and severe, each compared with Control) and </w:t>
      </w:r>
      <w:r w:rsidRPr="00B208DA">
        <w:rPr>
          <w:rFonts w:ascii="Times New Roman" w:hAnsi="Times New Roman" w:cs="Times New Roman"/>
          <w:b/>
          <w:bCs/>
          <w:sz w:val="20"/>
          <w:szCs w:val="20"/>
        </w:rPr>
        <w:t xml:space="preserve">(b) </w:t>
      </w:r>
      <w:r w:rsidRPr="00B208DA">
        <w:rPr>
          <w:rFonts w:ascii="Times New Roman" w:hAnsi="Times New Roman" w:cs="Times New Roman"/>
          <w:sz w:val="20"/>
          <w:szCs w:val="20"/>
        </w:rPr>
        <w:t xml:space="preserve">across histological groups (Control, Pompe-NV and Pompe-V). Dot colour indicates </w:t>
      </w:r>
      <w:proofErr w:type="spellStart"/>
      <w:r w:rsidRPr="00B208DA">
        <w:rPr>
          <w:rFonts w:ascii="Times New Roman" w:hAnsi="Times New Roman" w:cs="Times New Roman"/>
          <w:sz w:val="20"/>
          <w:szCs w:val="20"/>
        </w:rPr>
        <w:t>logFC</w:t>
      </w:r>
      <w:proofErr w:type="spellEnd"/>
      <w:r w:rsidRPr="00B208DA">
        <w:rPr>
          <w:rFonts w:ascii="Times New Roman" w:hAnsi="Times New Roman" w:cs="Times New Roman"/>
          <w:sz w:val="20"/>
          <w:szCs w:val="20"/>
        </w:rPr>
        <w:t>, dot size indicates −log10(FDR), and black outlines mark genes with FDR &lt; 0.10.</w:t>
      </w:r>
    </w:p>
    <w:p w14:paraId="116EFDC2" w14:textId="1FE20C8F" w:rsidR="00B208DA" w:rsidRDefault="00B208DA">
      <w:pPr>
        <w:rPr>
          <w:rFonts w:ascii="Times New Roman" w:hAnsi="Times New Roman" w:cs="Times New Roman"/>
          <w:sz w:val="20"/>
          <w:szCs w:val="20"/>
        </w:rPr>
      </w:pPr>
      <w:r>
        <w:rPr>
          <w:rFonts w:ascii="Times New Roman" w:hAnsi="Times New Roman" w:cs="Times New Roman"/>
          <w:sz w:val="20"/>
          <w:szCs w:val="20"/>
        </w:rPr>
        <w:br w:type="page"/>
      </w:r>
    </w:p>
    <w:p w14:paraId="71DF462C" w14:textId="77777777" w:rsidR="00B208DA" w:rsidRDefault="00B208DA" w:rsidP="003A5F74">
      <w:pPr>
        <w:spacing w:before="240"/>
        <w:jc w:val="both"/>
        <w:rPr>
          <w:rFonts w:ascii="Times New Roman" w:hAnsi="Times New Roman" w:cs="Times New Roman"/>
          <w:noProof/>
          <w:sz w:val="20"/>
          <w:szCs w:val="20"/>
        </w:rPr>
      </w:pPr>
    </w:p>
    <w:p w14:paraId="3E08903B" w14:textId="5CA6462E" w:rsidR="003A5F74" w:rsidRDefault="00B208DA" w:rsidP="003A5F74">
      <w:pPr>
        <w:spacing w:before="240"/>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3755304" wp14:editId="5D262069">
            <wp:extent cx="5742940" cy="4664075"/>
            <wp:effectExtent l="0" t="0" r="0" b="3175"/>
            <wp:docPr id="13262404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2940" cy="4664075"/>
                    </a:xfrm>
                    <a:prstGeom prst="rect">
                      <a:avLst/>
                    </a:prstGeom>
                    <a:noFill/>
                  </pic:spPr>
                </pic:pic>
              </a:graphicData>
            </a:graphic>
          </wp:inline>
        </w:drawing>
      </w:r>
    </w:p>
    <w:p w14:paraId="052FA984" w14:textId="77777777" w:rsidR="002331E1" w:rsidRPr="002331E1" w:rsidRDefault="002331E1" w:rsidP="002331E1">
      <w:pPr>
        <w:spacing w:before="240"/>
        <w:jc w:val="both"/>
        <w:rPr>
          <w:rFonts w:ascii="Times New Roman" w:hAnsi="Times New Roman" w:cs="Times New Roman"/>
          <w:sz w:val="20"/>
          <w:szCs w:val="20"/>
        </w:rPr>
      </w:pPr>
      <w:r w:rsidRPr="002331E1">
        <w:rPr>
          <w:rFonts w:ascii="Times New Roman" w:hAnsi="Times New Roman" w:cs="Times New Roman"/>
          <w:b/>
          <w:bCs/>
          <w:sz w:val="20"/>
          <w:szCs w:val="20"/>
        </w:rPr>
        <w:t xml:space="preserve">Supplemental Figure S6: Directional score based on the </w:t>
      </w:r>
      <w:proofErr w:type="gramStart"/>
      <w:r w:rsidRPr="002331E1">
        <w:rPr>
          <w:rFonts w:ascii="Times New Roman" w:hAnsi="Times New Roman" w:cs="Times New Roman"/>
          <w:b/>
          <w:bCs/>
          <w:sz w:val="20"/>
          <w:szCs w:val="20"/>
        </w:rPr>
        <w:t>TOP-100</w:t>
      </w:r>
      <w:proofErr w:type="gramEnd"/>
      <w:r w:rsidRPr="002331E1">
        <w:rPr>
          <w:rFonts w:ascii="Times New Roman" w:hAnsi="Times New Roman" w:cs="Times New Roman"/>
          <w:b/>
          <w:bCs/>
          <w:sz w:val="20"/>
          <w:szCs w:val="20"/>
        </w:rPr>
        <w:t xml:space="preserve"> Pompe-upregulated genes and principal component driver genes.  (a) </w:t>
      </w:r>
      <w:r w:rsidRPr="002331E1">
        <w:rPr>
          <w:rFonts w:ascii="Times New Roman" w:hAnsi="Times New Roman" w:cs="Times New Roman"/>
          <w:sz w:val="20"/>
          <w:szCs w:val="20"/>
        </w:rPr>
        <w:t xml:space="preserve">Directional score computed per patient from the </w:t>
      </w:r>
      <w:proofErr w:type="gramStart"/>
      <w:r w:rsidRPr="002331E1">
        <w:rPr>
          <w:rFonts w:ascii="Times New Roman" w:hAnsi="Times New Roman" w:cs="Times New Roman"/>
          <w:sz w:val="20"/>
          <w:szCs w:val="20"/>
        </w:rPr>
        <w:t>TOP-100</w:t>
      </w:r>
      <w:proofErr w:type="gramEnd"/>
      <w:r w:rsidRPr="002331E1">
        <w:rPr>
          <w:rFonts w:ascii="Times New Roman" w:hAnsi="Times New Roman" w:cs="Times New Roman"/>
          <w:sz w:val="20"/>
          <w:szCs w:val="20"/>
        </w:rPr>
        <w:t xml:space="preserve"> genes upregulated in Pompe versus Control. Each point represents one patient (mean expression across AOIs</w:t>
      </w:r>
      <w:proofErr w:type="gramStart"/>
      <w:r w:rsidRPr="002331E1">
        <w:rPr>
          <w:rFonts w:ascii="Times New Roman" w:hAnsi="Times New Roman" w:cs="Times New Roman"/>
          <w:sz w:val="20"/>
          <w:szCs w:val="20"/>
        </w:rPr>
        <w:t>)</w:t>
      </w:r>
      <w:proofErr w:type="gramEnd"/>
      <w:r w:rsidRPr="002331E1">
        <w:rPr>
          <w:rFonts w:ascii="Times New Roman" w:hAnsi="Times New Roman" w:cs="Times New Roman"/>
          <w:sz w:val="20"/>
          <w:szCs w:val="20"/>
        </w:rPr>
        <w:t xml:space="preserve"> and the boxplot summarises group distributions (Control vs Pompe); higher scores indicate stronger concordance with the Pompe-upregulated signature. Patient identifiers are shown. </w:t>
      </w:r>
      <w:r w:rsidRPr="002331E1">
        <w:rPr>
          <w:rFonts w:ascii="Times New Roman" w:hAnsi="Times New Roman" w:cs="Times New Roman"/>
          <w:b/>
          <w:bCs/>
          <w:sz w:val="20"/>
          <w:szCs w:val="20"/>
        </w:rPr>
        <w:t xml:space="preserve">(b) </w:t>
      </w:r>
      <w:r w:rsidRPr="002331E1">
        <w:rPr>
          <w:rFonts w:ascii="Times New Roman" w:hAnsi="Times New Roman" w:cs="Times New Roman"/>
          <w:sz w:val="20"/>
          <w:szCs w:val="20"/>
        </w:rPr>
        <w:t xml:space="preserve">Top driver genes for PC1 from the patient-level PCA performed on the </w:t>
      </w:r>
      <w:proofErr w:type="gramStart"/>
      <w:r w:rsidRPr="002331E1">
        <w:rPr>
          <w:rFonts w:ascii="Times New Roman" w:hAnsi="Times New Roman" w:cs="Times New Roman"/>
          <w:sz w:val="20"/>
          <w:szCs w:val="20"/>
        </w:rPr>
        <w:t>TOP-100</w:t>
      </w:r>
      <w:proofErr w:type="gramEnd"/>
      <w:r w:rsidRPr="002331E1">
        <w:rPr>
          <w:rFonts w:ascii="Times New Roman" w:hAnsi="Times New Roman" w:cs="Times New Roman"/>
          <w:sz w:val="20"/>
          <w:szCs w:val="20"/>
        </w:rPr>
        <w:t xml:space="preserve"> Pompe-upregulated genes. Genes are ranked by loading magnitude and plotted as PC1 loadings (subset shown; loadings computed on all </w:t>
      </w:r>
      <w:proofErr w:type="gramStart"/>
      <w:r w:rsidRPr="002331E1">
        <w:rPr>
          <w:rFonts w:ascii="Times New Roman" w:hAnsi="Times New Roman" w:cs="Times New Roman"/>
          <w:sz w:val="20"/>
          <w:szCs w:val="20"/>
        </w:rPr>
        <w:t>TOP-100</w:t>
      </w:r>
      <w:proofErr w:type="gramEnd"/>
      <w:r w:rsidRPr="002331E1">
        <w:rPr>
          <w:rFonts w:ascii="Times New Roman" w:hAnsi="Times New Roman" w:cs="Times New Roman"/>
          <w:sz w:val="20"/>
          <w:szCs w:val="20"/>
        </w:rPr>
        <w:t xml:space="preserve"> genes). The dashed vertical line indicates zero loading. </w:t>
      </w:r>
      <w:r w:rsidRPr="002331E1">
        <w:rPr>
          <w:rFonts w:ascii="Times New Roman" w:hAnsi="Times New Roman" w:cs="Times New Roman"/>
          <w:b/>
          <w:bCs/>
          <w:sz w:val="20"/>
          <w:szCs w:val="20"/>
        </w:rPr>
        <w:t xml:space="preserve">(c) </w:t>
      </w:r>
      <w:r w:rsidRPr="002331E1">
        <w:rPr>
          <w:rFonts w:ascii="Times New Roman" w:hAnsi="Times New Roman" w:cs="Times New Roman"/>
          <w:sz w:val="20"/>
          <w:szCs w:val="20"/>
        </w:rPr>
        <w:t>Top driver genes for PC2 shown as PC2 loadings using the same PCA and ranking approach as in (b). Positive and negative loadings indicate opposing contributions to PC2; the dashed vertical line indicates zero loading.</w:t>
      </w:r>
    </w:p>
    <w:p w14:paraId="160E5493" w14:textId="7DEDF2BC" w:rsidR="002331E1" w:rsidRDefault="002331E1">
      <w:pPr>
        <w:rPr>
          <w:rFonts w:ascii="Times New Roman" w:hAnsi="Times New Roman" w:cs="Times New Roman"/>
          <w:sz w:val="20"/>
          <w:szCs w:val="20"/>
        </w:rPr>
      </w:pPr>
      <w:r>
        <w:rPr>
          <w:rFonts w:ascii="Times New Roman" w:hAnsi="Times New Roman" w:cs="Times New Roman"/>
          <w:sz w:val="20"/>
          <w:szCs w:val="20"/>
        </w:rPr>
        <w:br w:type="page"/>
      </w:r>
    </w:p>
    <w:p w14:paraId="2C86075D" w14:textId="5B82B73E" w:rsidR="002331E1" w:rsidRDefault="00607854" w:rsidP="003A5F74">
      <w:pPr>
        <w:spacing w:before="240"/>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59D44AF" wp14:editId="4FB7DC13">
            <wp:extent cx="6096635" cy="5474970"/>
            <wp:effectExtent l="0" t="0" r="0" b="0"/>
            <wp:docPr id="130446175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635" cy="5474970"/>
                    </a:xfrm>
                    <a:prstGeom prst="rect">
                      <a:avLst/>
                    </a:prstGeom>
                    <a:noFill/>
                  </pic:spPr>
                </pic:pic>
              </a:graphicData>
            </a:graphic>
          </wp:inline>
        </w:drawing>
      </w:r>
    </w:p>
    <w:p w14:paraId="6792D6E8" w14:textId="77777777" w:rsidR="00607854" w:rsidRPr="00607854" w:rsidRDefault="00607854" w:rsidP="00607854">
      <w:pPr>
        <w:spacing w:before="240"/>
        <w:jc w:val="both"/>
        <w:rPr>
          <w:rFonts w:ascii="Times New Roman" w:hAnsi="Times New Roman" w:cs="Times New Roman"/>
          <w:sz w:val="20"/>
          <w:szCs w:val="20"/>
        </w:rPr>
      </w:pPr>
      <w:r w:rsidRPr="00607854">
        <w:rPr>
          <w:rFonts w:ascii="Times New Roman" w:hAnsi="Times New Roman" w:cs="Times New Roman"/>
          <w:b/>
          <w:bCs/>
          <w:sz w:val="20"/>
          <w:szCs w:val="20"/>
        </w:rPr>
        <w:t xml:space="preserve">Supplementary Figure S7: </w:t>
      </w:r>
      <w:r w:rsidRPr="00607854">
        <w:rPr>
          <w:rFonts w:ascii="Times New Roman" w:hAnsi="Times New Roman" w:cs="Times New Roman"/>
          <w:sz w:val="20"/>
          <w:szCs w:val="20"/>
        </w:rPr>
        <w:t xml:space="preserve">Functional enrichment of dynamic gene programmes along the PC1-based </w:t>
      </w:r>
      <w:proofErr w:type="spellStart"/>
      <w:r w:rsidRPr="00607854">
        <w:rPr>
          <w:rFonts w:ascii="Times New Roman" w:hAnsi="Times New Roman" w:cs="Times New Roman"/>
          <w:sz w:val="20"/>
          <w:szCs w:val="20"/>
        </w:rPr>
        <w:t>pseudotime</w:t>
      </w:r>
      <w:proofErr w:type="spellEnd"/>
      <w:r w:rsidRPr="00607854">
        <w:rPr>
          <w:rFonts w:ascii="Times New Roman" w:hAnsi="Times New Roman" w:cs="Times New Roman"/>
          <w:sz w:val="20"/>
          <w:szCs w:val="20"/>
        </w:rPr>
        <w:t xml:space="preserve"> trajectory. Gene expression was modelled along the patient-level </w:t>
      </w:r>
      <w:proofErr w:type="spellStart"/>
      <w:r w:rsidRPr="00607854">
        <w:rPr>
          <w:rFonts w:ascii="Times New Roman" w:hAnsi="Times New Roman" w:cs="Times New Roman"/>
          <w:sz w:val="20"/>
          <w:szCs w:val="20"/>
        </w:rPr>
        <w:t>pseudotime</w:t>
      </w:r>
      <w:proofErr w:type="spellEnd"/>
      <w:r w:rsidRPr="00607854">
        <w:rPr>
          <w:rFonts w:ascii="Times New Roman" w:hAnsi="Times New Roman" w:cs="Times New Roman"/>
          <w:sz w:val="20"/>
          <w:szCs w:val="20"/>
        </w:rPr>
        <w:t xml:space="preserve"> trajectory using a generalized additive mixed model, and dynamic genes were assigned to Early/Mid-shift or Late-shift groups according to the </w:t>
      </w:r>
      <w:proofErr w:type="spellStart"/>
      <w:r w:rsidRPr="00607854">
        <w:rPr>
          <w:rFonts w:ascii="Times New Roman" w:hAnsi="Times New Roman" w:cs="Times New Roman"/>
          <w:sz w:val="20"/>
          <w:szCs w:val="20"/>
        </w:rPr>
        <w:t>pseudotime</w:t>
      </w:r>
      <w:proofErr w:type="spellEnd"/>
      <w:r w:rsidRPr="00607854">
        <w:rPr>
          <w:rFonts w:ascii="Times New Roman" w:hAnsi="Times New Roman" w:cs="Times New Roman"/>
          <w:sz w:val="20"/>
          <w:szCs w:val="20"/>
        </w:rPr>
        <w:t xml:space="preserve"> position of their maximal rate of change.</w:t>
      </w:r>
    </w:p>
    <w:p w14:paraId="2048B84D" w14:textId="757EB063" w:rsidR="00607854" w:rsidRDefault="00607854">
      <w:pPr>
        <w:rPr>
          <w:rFonts w:ascii="Times New Roman" w:hAnsi="Times New Roman" w:cs="Times New Roman"/>
          <w:sz w:val="20"/>
          <w:szCs w:val="20"/>
        </w:rPr>
      </w:pPr>
      <w:r>
        <w:rPr>
          <w:rFonts w:ascii="Times New Roman" w:hAnsi="Times New Roman" w:cs="Times New Roman"/>
          <w:sz w:val="20"/>
          <w:szCs w:val="20"/>
        </w:rPr>
        <w:br w:type="page"/>
      </w:r>
    </w:p>
    <w:p w14:paraId="1841CA84" w14:textId="4107E046" w:rsidR="00607854" w:rsidRDefault="00607854" w:rsidP="003A5F74">
      <w:pPr>
        <w:spacing w:before="240"/>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DD2C12B" wp14:editId="715ABCBF">
            <wp:extent cx="6145530" cy="6370955"/>
            <wp:effectExtent l="0" t="0" r="0" b="0"/>
            <wp:docPr id="90175497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45530" cy="6370955"/>
                    </a:xfrm>
                    <a:prstGeom prst="rect">
                      <a:avLst/>
                    </a:prstGeom>
                    <a:noFill/>
                  </pic:spPr>
                </pic:pic>
              </a:graphicData>
            </a:graphic>
          </wp:inline>
        </w:drawing>
      </w:r>
    </w:p>
    <w:p w14:paraId="4C3DEE7D" w14:textId="77777777" w:rsidR="004108FB" w:rsidRPr="004108FB" w:rsidRDefault="004108FB" w:rsidP="004108FB">
      <w:pPr>
        <w:spacing w:before="240"/>
        <w:jc w:val="both"/>
        <w:rPr>
          <w:rFonts w:ascii="Times New Roman" w:hAnsi="Times New Roman" w:cs="Times New Roman"/>
          <w:sz w:val="20"/>
          <w:szCs w:val="20"/>
        </w:rPr>
      </w:pPr>
      <w:r w:rsidRPr="004108FB">
        <w:rPr>
          <w:rFonts w:ascii="Times New Roman" w:hAnsi="Times New Roman" w:cs="Times New Roman"/>
          <w:b/>
          <w:bCs/>
          <w:sz w:val="20"/>
          <w:szCs w:val="20"/>
        </w:rPr>
        <w:t xml:space="preserve">Supplemental Figure S8: PCA of Pompe-downregulated genes highlights metabolic and muscle-identity programs contributing to patient separation. (a) </w:t>
      </w:r>
      <w:r w:rsidRPr="004108FB">
        <w:rPr>
          <w:rFonts w:ascii="Times New Roman" w:hAnsi="Times New Roman" w:cs="Times New Roman"/>
          <w:sz w:val="20"/>
          <w:szCs w:val="20"/>
        </w:rPr>
        <w:t xml:space="preserve">Patient-level PCA performed on the </w:t>
      </w:r>
      <w:proofErr w:type="gramStart"/>
      <w:r w:rsidRPr="004108FB">
        <w:rPr>
          <w:rFonts w:ascii="Times New Roman" w:hAnsi="Times New Roman" w:cs="Times New Roman"/>
          <w:sz w:val="20"/>
          <w:szCs w:val="20"/>
        </w:rPr>
        <w:t>TOP-100</w:t>
      </w:r>
      <w:proofErr w:type="gramEnd"/>
      <w:r w:rsidRPr="004108FB">
        <w:rPr>
          <w:rFonts w:ascii="Times New Roman" w:hAnsi="Times New Roman" w:cs="Times New Roman"/>
          <w:sz w:val="20"/>
          <w:szCs w:val="20"/>
        </w:rPr>
        <w:t xml:space="preserve"> genes downregulated in Pompe versus Control. Each point represents one patient (mean expression across AOIs); gene expression was z-scored across patients before PCA. Patient identifiers are shown, and axes indicate the percentage variance explained by PC1 and PC2. </w:t>
      </w:r>
      <w:r w:rsidRPr="004108FB">
        <w:rPr>
          <w:rFonts w:ascii="Times New Roman" w:hAnsi="Times New Roman" w:cs="Times New Roman"/>
          <w:b/>
          <w:bCs/>
          <w:sz w:val="20"/>
          <w:szCs w:val="20"/>
        </w:rPr>
        <w:t xml:space="preserve">(b) </w:t>
      </w:r>
      <w:r w:rsidRPr="004108FB">
        <w:rPr>
          <w:rFonts w:ascii="Times New Roman" w:hAnsi="Times New Roman" w:cs="Times New Roman"/>
          <w:sz w:val="20"/>
          <w:szCs w:val="20"/>
        </w:rPr>
        <w:t xml:space="preserve">Top driver genes for PC2 from the </w:t>
      </w:r>
      <w:proofErr w:type="gramStart"/>
      <w:r w:rsidRPr="004108FB">
        <w:rPr>
          <w:rFonts w:ascii="Times New Roman" w:hAnsi="Times New Roman" w:cs="Times New Roman"/>
          <w:sz w:val="20"/>
          <w:szCs w:val="20"/>
        </w:rPr>
        <w:t>TOP-100</w:t>
      </w:r>
      <w:proofErr w:type="gramEnd"/>
      <w:r w:rsidRPr="004108FB">
        <w:rPr>
          <w:rFonts w:ascii="Times New Roman" w:hAnsi="Times New Roman" w:cs="Times New Roman"/>
          <w:sz w:val="20"/>
          <w:szCs w:val="20"/>
        </w:rPr>
        <w:t xml:space="preserve"> DOWN PCA. Genes are ranked by loading magnitude and plotted as PC2 loadings (top 20 shown; loadings computed using all 100 genes). The dashed vertical line indicates zero loading. </w:t>
      </w:r>
      <w:r w:rsidRPr="004108FB">
        <w:rPr>
          <w:rFonts w:ascii="Times New Roman" w:hAnsi="Times New Roman" w:cs="Times New Roman"/>
          <w:b/>
          <w:bCs/>
          <w:sz w:val="20"/>
          <w:szCs w:val="20"/>
        </w:rPr>
        <w:t xml:space="preserve">(c) </w:t>
      </w:r>
      <w:r w:rsidRPr="004108FB">
        <w:rPr>
          <w:rFonts w:ascii="Times New Roman" w:hAnsi="Times New Roman" w:cs="Times New Roman"/>
          <w:sz w:val="20"/>
          <w:szCs w:val="20"/>
        </w:rPr>
        <w:t xml:space="preserve">Top driver genes for PC1 shown as PC1 loadings using the same approach as in (b). </w:t>
      </w:r>
      <w:r w:rsidRPr="004108FB">
        <w:rPr>
          <w:rFonts w:ascii="Times New Roman" w:hAnsi="Times New Roman" w:cs="Times New Roman"/>
          <w:b/>
          <w:bCs/>
          <w:sz w:val="20"/>
          <w:szCs w:val="20"/>
        </w:rPr>
        <w:t xml:space="preserve">(d) </w:t>
      </w:r>
      <w:r w:rsidRPr="004108FB">
        <w:rPr>
          <w:rFonts w:ascii="Times New Roman" w:hAnsi="Times New Roman" w:cs="Times New Roman"/>
          <w:sz w:val="20"/>
          <w:szCs w:val="20"/>
        </w:rPr>
        <w:t xml:space="preserve">Gene Ontology biological process enrichment of PC2-directional gene sets derived from PCA loading signs (PC2+ and PC2−). Bars represent enriched terms ranked by significance. </w:t>
      </w:r>
      <w:r w:rsidRPr="004108FB">
        <w:rPr>
          <w:rFonts w:ascii="Times New Roman" w:hAnsi="Times New Roman" w:cs="Times New Roman"/>
          <w:b/>
          <w:bCs/>
          <w:sz w:val="20"/>
          <w:szCs w:val="20"/>
        </w:rPr>
        <w:t xml:space="preserve">(e) </w:t>
      </w:r>
      <w:r w:rsidRPr="004108FB">
        <w:rPr>
          <w:rFonts w:ascii="Times New Roman" w:hAnsi="Times New Roman" w:cs="Times New Roman"/>
          <w:sz w:val="20"/>
          <w:szCs w:val="20"/>
        </w:rPr>
        <w:t>Gene Ontology biological process enrichment of PC1-directional gene sets derived from PCA loading signs (PC1+ shown). Bars represent enriched terms ranked by significance.</w:t>
      </w:r>
    </w:p>
    <w:p w14:paraId="54B2D515" w14:textId="73491F61" w:rsidR="004108FB" w:rsidRPr="00CD7F90" w:rsidRDefault="004108FB" w:rsidP="004108FB">
      <w:pPr>
        <w:rPr>
          <w:rFonts w:ascii="Times New Roman" w:hAnsi="Times New Roman" w:cs="Times New Roman"/>
          <w:sz w:val="20"/>
          <w:szCs w:val="20"/>
        </w:rPr>
      </w:pPr>
    </w:p>
    <w:sectPr w:rsidR="004108FB" w:rsidRPr="00CD7F90" w:rsidSect="006E5EDC">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Gill Sans MT Condensed">
    <w:panose1 w:val="020B0506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93"/>
    <w:rsid w:val="00036F5C"/>
    <w:rsid w:val="000C0F24"/>
    <w:rsid w:val="00187E39"/>
    <w:rsid w:val="002331E1"/>
    <w:rsid w:val="00233884"/>
    <w:rsid w:val="003326A1"/>
    <w:rsid w:val="003A21A4"/>
    <w:rsid w:val="003A5F74"/>
    <w:rsid w:val="003B3A90"/>
    <w:rsid w:val="004108FB"/>
    <w:rsid w:val="00606FE7"/>
    <w:rsid w:val="00607854"/>
    <w:rsid w:val="006E1059"/>
    <w:rsid w:val="006E5EDC"/>
    <w:rsid w:val="00721430"/>
    <w:rsid w:val="00814C22"/>
    <w:rsid w:val="009129A4"/>
    <w:rsid w:val="00955968"/>
    <w:rsid w:val="009E5393"/>
    <w:rsid w:val="00A020E5"/>
    <w:rsid w:val="00B208DA"/>
    <w:rsid w:val="00BA6D56"/>
    <w:rsid w:val="00C76E42"/>
    <w:rsid w:val="00CD7F90"/>
    <w:rsid w:val="00F85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9818"/>
  <w15:chartTrackingRefBased/>
  <w15:docId w15:val="{DE1AF19A-BBB8-4F84-8EAA-83F6FCD8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E5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E5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E539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E539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E539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E539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E539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E539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E539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E539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E539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E539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E539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E539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E539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E539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E539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E5393"/>
    <w:rPr>
      <w:rFonts w:eastAsiaTheme="majorEastAsia" w:cstheme="majorBidi"/>
      <w:color w:val="272727" w:themeColor="text1" w:themeTint="D8"/>
    </w:rPr>
  </w:style>
  <w:style w:type="paragraph" w:styleId="Titre">
    <w:name w:val="Title"/>
    <w:basedOn w:val="Normal"/>
    <w:next w:val="Normal"/>
    <w:link w:val="TitreCar"/>
    <w:uiPriority w:val="10"/>
    <w:qFormat/>
    <w:rsid w:val="009E5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E539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E539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E539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E5393"/>
    <w:pPr>
      <w:spacing w:before="160"/>
      <w:jc w:val="center"/>
    </w:pPr>
    <w:rPr>
      <w:i/>
      <w:iCs/>
      <w:color w:val="404040" w:themeColor="text1" w:themeTint="BF"/>
    </w:rPr>
  </w:style>
  <w:style w:type="character" w:customStyle="1" w:styleId="CitationCar">
    <w:name w:val="Citation Car"/>
    <w:basedOn w:val="Policepardfaut"/>
    <w:link w:val="Citation"/>
    <w:uiPriority w:val="29"/>
    <w:rsid w:val="009E5393"/>
    <w:rPr>
      <w:i/>
      <w:iCs/>
      <w:color w:val="404040" w:themeColor="text1" w:themeTint="BF"/>
    </w:rPr>
  </w:style>
  <w:style w:type="paragraph" w:styleId="Paragraphedeliste">
    <w:name w:val="List Paragraph"/>
    <w:basedOn w:val="Normal"/>
    <w:uiPriority w:val="34"/>
    <w:qFormat/>
    <w:rsid w:val="009E5393"/>
    <w:pPr>
      <w:ind w:left="720"/>
      <w:contextualSpacing/>
    </w:pPr>
  </w:style>
  <w:style w:type="character" w:styleId="Accentuationintense">
    <w:name w:val="Intense Emphasis"/>
    <w:basedOn w:val="Policepardfaut"/>
    <w:uiPriority w:val="21"/>
    <w:qFormat/>
    <w:rsid w:val="009E5393"/>
    <w:rPr>
      <w:i/>
      <w:iCs/>
      <w:color w:val="0F4761" w:themeColor="accent1" w:themeShade="BF"/>
    </w:rPr>
  </w:style>
  <w:style w:type="paragraph" w:styleId="Citationintense">
    <w:name w:val="Intense Quote"/>
    <w:basedOn w:val="Normal"/>
    <w:next w:val="Normal"/>
    <w:link w:val="CitationintenseCar"/>
    <w:uiPriority w:val="30"/>
    <w:qFormat/>
    <w:rsid w:val="009E5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E5393"/>
    <w:rPr>
      <w:i/>
      <w:iCs/>
      <w:color w:val="0F4761" w:themeColor="accent1" w:themeShade="BF"/>
    </w:rPr>
  </w:style>
  <w:style w:type="character" w:styleId="Rfrenceintense">
    <w:name w:val="Intense Reference"/>
    <w:basedOn w:val="Policepardfaut"/>
    <w:uiPriority w:val="32"/>
    <w:qFormat/>
    <w:rsid w:val="009E5393"/>
    <w:rPr>
      <w:b/>
      <w:bCs/>
      <w:smallCaps/>
      <w:color w:val="0F4761" w:themeColor="accent1" w:themeShade="BF"/>
      <w:spacing w:val="5"/>
    </w:rPr>
  </w:style>
  <w:style w:type="table" w:styleId="Grilledutableau">
    <w:name w:val="Table Grid"/>
    <w:basedOn w:val="TableauNormal"/>
    <w:uiPriority w:val="39"/>
    <w:rsid w:val="009E5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9</Pages>
  <Words>1359</Words>
  <Characters>7752</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Monceau</dc:creator>
  <cp:keywords/>
  <dc:description/>
  <cp:lastModifiedBy>Alexandra Monceau</cp:lastModifiedBy>
  <cp:revision>20</cp:revision>
  <dcterms:created xsi:type="dcterms:W3CDTF">2026-03-24T11:46:00Z</dcterms:created>
  <dcterms:modified xsi:type="dcterms:W3CDTF">2026-03-25T15:09:00Z</dcterms:modified>
</cp:coreProperties>
</file>