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45E" w:rsidRDefault="00BB4CC7" w:rsidP="00BB4CC7">
      <w:pPr>
        <w:jc w:val="center"/>
      </w:pPr>
      <w:r>
        <w:t xml:space="preserve">Supplementary material </w:t>
      </w:r>
    </w:p>
    <w:p w:rsidR="00BB4CC7" w:rsidRPr="00BB4CC7" w:rsidRDefault="00BB4CC7" w:rsidP="00BB4CC7">
      <w:pPr>
        <w:spacing w:line="480" w:lineRule="auto"/>
        <w:rPr>
          <w:rFonts w:ascii="Times New Roman" w:hAnsi="Times New Roman" w:cs="Times New Roman"/>
        </w:rPr>
      </w:pPr>
    </w:p>
    <w:p w:rsidR="00BB4CC7" w:rsidRPr="00BB4CC7" w:rsidRDefault="00BB4CC7" w:rsidP="00BB4CC7">
      <w:pPr>
        <w:spacing w:line="480" w:lineRule="auto"/>
        <w:rPr>
          <w:rFonts w:ascii="Times New Roman" w:hAnsi="Times New Roman" w:cs="Times New Roman"/>
          <w:b/>
        </w:rPr>
      </w:pPr>
      <w:r w:rsidRPr="00BB4CC7">
        <w:rPr>
          <w:rFonts w:ascii="Times New Roman" w:hAnsi="Times New Roman" w:cs="Times New Roman"/>
          <w:b/>
        </w:rPr>
        <w:t xml:space="preserve">Results – three-way secure vs. dismissing vs. preoccupied classification </w:t>
      </w:r>
    </w:p>
    <w:p w:rsidR="00BB4CC7" w:rsidRPr="00BB4CC7" w:rsidRDefault="00BB4CC7" w:rsidP="00BB4CC7">
      <w:pPr>
        <w:spacing w:line="480" w:lineRule="auto"/>
        <w:ind w:firstLine="720"/>
        <w:rPr>
          <w:rFonts w:ascii="Times New Roman" w:hAnsi="Times New Roman" w:cs="Times New Roman"/>
        </w:rPr>
      </w:pPr>
      <w:r w:rsidRPr="00BB4CC7">
        <w:rPr>
          <w:rFonts w:ascii="Times New Roman" w:hAnsi="Times New Roman" w:cs="Times New Roman"/>
        </w:rPr>
        <w:t>A multinomial logistic regression revealed that maternal IIP scores were also significantly associated with the adolescent three-way attachment classification (</w:t>
      </w:r>
      <w:r w:rsidRPr="00BB4CC7">
        <w:rPr>
          <w:rFonts w:ascii="Times New Roman" w:hAnsi="Times New Roman" w:cs="Times New Roman"/>
          <w:i/>
        </w:rPr>
        <w:t>x</w:t>
      </w:r>
      <w:r w:rsidRPr="00BB4CC7">
        <w:rPr>
          <w:rFonts w:ascii="Times New Roman" w:hAnsi="Times New Roman" w:cs="Times New Roman"/>
          <w:i/>
          <w:vertAlign w:val="superscript"/>
        </w:rPr>
        <w:t xml:space="preserve">2 </w:t>
      </w:r>
      <w:r w:rsidRPr="00BB4CC7">
        <w:rPr>
          <w:rFonts w:ascii="Times New Roman" w:hAnsi="Times New Roman" w:cs="Times New Roman"/>
        </w:rPr>
        <w:t xml:space="preserve">= 8.90, </w:t>
      </w:r>
      <w:r w:rsidRPr="00BB4CC7">
        <w:rPr>
          <w:rFonts w:ascii="Times New Roman" w:hAnsi="Times New Roman" w:cs="Times New Roman"/>
          <w:i/>
          <w:iCs/>
        </w:rPr>
        <w:t>p</w:t>
      </w:r>
      <w:r w:rsidRPr="00BB4CC7">
        <w:rPr>
          <w:rFonts w:ascii="Times New Roman" w:hAnsi="Times New Roman" w:cs="Times New Roman"/>
        </w:rPr>
        <w:t xml:space="preserve"> &lt; .05). Using secure attachment as the reference category, higher maternal IIP scores were significantly associated with greater likelihood of dismissing (</w:t>
      </w:r>
      <w:r w:rsidRPr="00BB4CC7">
        <w:rPr>
          <w:rFonts w:ascii="Times New Roman" w:hAnsi="Times New Roman" w:cs="Times New Roman"/>
          <w:i/>
        </w:rPr>
        <w:t xml:space="preserve">b </w:t>
      </w:r>
      <w:r w:rsidRPr="00BB4CC7">
        <w:rPr>
          <w:rFonts w:ascii="Times New Roman" w:hAnsi="Times New Roman" w:cs="Times New Roman"/>
        </w:rPr>
        <w:t xml:space="preserve">= .03, </w:t>
      </w:r>
      <w:r w:rsidRPr="00BB4CC7">
        <w:rPr>
          <w:rFonts w:ascii="Times New Roman" w:hAnsi="Times New Roman" w:cs="Times New Roman"/>
          <w:i/>
        </w:rPr>
        <w:t xml:space="preserve">SE </w:t>
      </w:r>
      <w:r w:rsidRPr="00BB4CC7">
        <w:rPr>
          <w:rFonts w:ascii="Times New Roman" w:hAnsi="Times New Roman" w:cs="Times New Roman"/>
        </w:rPr>
        <w:t xml:space="preserve">= .02, </w:t>
      </w:r>
      <w:r w:rsidRPr="00BB4CC7">
        <w:rPr>
          <w:rFonts w:ascii="Times New Roman" w:hAnsi="Times New Roman" w:cs="Times New Roman"/>
          <w:i/>
          <w:iCs/>
        </w:rPr>
        <w:t>OR</w:t>
      </w:r>
      <w:r w:rsidRPr="00BB4CC7">
        <w:rPr>
          <w:rFonts w:ascii="Times New Roman" w:hAnsi="Times New Roman" w:cs="Times New Roman"/>
        </w:rPr>
        <w:t xml:space="preserve"> = 1.03, </w:t>
      </w:r>
      <w:r w:rsidRPr="00BB4CC7">
        <w:rPr>
          <w:rFonts w:ascii="Times New Roman" w:hAnsi="Times New Roman" w:cs="Times New Roman"/>
          <w:i/>
        </w:rPr>
        <w:t xml:space="preserve">p </w:t>
      </w:r>
      <w:r w:rsidRPr="00BB4CC7">
        <w:rPr>
          <w:rFonts w:ascii="Times New Roman" w:hAnsi="Times New Roman" w:cs="Times New Roman"/>
        </w:rPr>
        <w:t>&lt; .05) and preoccupied classifications (</w:t>
      </w:r>
      <w:r w:rsidRPr="00BB4CC7">
        <w:rPr>
          <w:rFonts w:ascii="Times New Roman" w:hAnsi="Times New Roman" w:cs="Times New Roman"/>
          <w:i/>
        </w:rPr>
        <w:t xml:space="preserve">b </w:t>
      </w:r>
      <w:r w:rsidRPr="00BB4CC7">
        <w:rPr>
          <w:rFonts w:ascii="Times New Roman" w:hAnsi="Times New Roman" w:cs="Times New Roman"/>
        </w:rPr>
        <w:t xml:space="preserve">= .05, </w:t>
      </w:r>
      <w:r w:rsidRPr="00BB4CC7">
        <w:rPr>
          <w:rFonts w:ascii="Times New Roman" w:hAnsi="Times New Roman" w:cs="Times New Roman"/>
          <w:i/>
        </w:rPr>
        <w:t xml:space="preserve">SE </w:t>
      </w:r>
      <w:r w:rsidRPr="00BB4CC7">
        <w:rPr>
          <w:rFonts w:ascii="Times New Roman" w:hAnsi="Times New Roman" w:cs="Times New Roman"/>
        </w:rPr>
        <w:t xml:space="preserve">= .02, </w:t>
      </w:r>
      <w:r w:rsidRPr="00BB4CC7">
        <w:rPr>
          <w:rFonts w:ascii="Times New Roman" w:hAnsi="Times New Roman" w:cs="Times New Roman"/>
          <w:i/>
          <w:iCs/>
        </w:rPr>
        <w:t>OR</w:t>
      </w:r>
      <w:r w:rsidRPr="00BB4CC7">
        <w:rPr>
          <w:rFonts w:ascii="Times New Roman" w:hAnsi="Times New Roman" w:cs="Times New Roman"/>
        </w:rPr>
        <w:t xml:space="preserve"> = 1.05, </w:t>
      </w:r>
      <w:r w:rsidRPr="00BB4CC7">
        <w:rPr>
          <w:rFonts w:ascii="Times New Roman" w:hAnsi="Times New Roman" w:cs="Times New Roman"/>
          <w:i/>
        </w:rPr>
        <w:t xml:space="preserve">p </w:t>
      </w:r>
      <w:r w:rsidRPr="00BB4CC7">
        <w:rPr>
          <w:rFonts w:ascii="Times New Roman" w:hAnsi="Times New Roman" w:cs="Times New Roman"/>
        </w:rPr>
        <w:t>&lt; .01).</w:t>
      </w:r>
    </w:p>
    <w:p w:rsidR="00BB4CC7" w:rsidRPr="00BB4CC7" w:rsidRDefault="00BB4CC7" w:rsidP="00BB4CC7">
      <w:pPr>
        <w:spacing w:line="480" w:lineRule="auto"/>
        <w:ind w:firstLine="720"/>
        <w:rPr>
          <w:rFonts w:ascii="Times New Roman" w:hAnsi="Times New Roman" w:cs="Times New Roman"/>
        </w:rPr>
      </w:pPr>
      <w:bookmarkStart w:id="0" w:name="_GoBack"/>
      <w:bookmarkEnd w:id="0"/>
      <w:r w:rsidRPr="00BB4CC7">
        <w:rPr>
          <w:rFonts w:ascii="Times New Roman" w:hAnsi="Times New Roman" w:cs="Times New Roman"/>
        </w:rPr>
        <w:t>The three-way attachment classification groups also differed on recalled maternal care (</w:t>
      </w:r>
      <w:proofErr w:type="gramStart"/>
      <w:r w:rsidRPr="00BB4CC7">
        <w:rPr>
          <w:rFonts w:ascii="Times New Roman" w:hAnsi="Times New Roman" w:cs="Times New Roman"/>
          <w:i/>
          <w:iCs/>
        </w:rPr>
        <w:t>F</w:t>
      </w:r>
      <w:r w:rsidRPr="00BB4CC7">
        <w:rPr>
          <w:rFonts w:ascii="Times New Roman" w:hAnsi="Times New Roman" w:cs="Times New Roman"/>
        </w:rPr>
        <w:t>(</w:t>
      </w:r>
      <w:proofErr w:type="gramEnd"/>
      <w:r w:rsidRPr="00BB4CC7">
        <w:rPr>
          <w:rFonts w:ascii="Times New Roman" w:hAnsi="Times New Roman" w:cs="Times New Roman"/>
        </w:rPr>
        <w:t xml:space="preserve">2, 186) = 3.84, </w:t>
      </w:r>
      <w:r w:rsidRPr="00BB4CC7">
        <w:rPr>
          <w:rFonts w:ascii="Times New Roman" w:hAnsi="Times New Roman" w:cs="Times New Roman"/>
          <w:i/>
          <w:iCs/>
        </w:rPr>
        <w:t>p</w:t>
      </w:r>
      <w:r w:rsidRPr="00BB4CC7">
        <w:rPr>
          <w:rFonts w:ascii="Times New Roman" w:hAnsi="Times New Roman" w:cs="Times New Roman"/>
        </w:rPr>
        <w:t xml:space="preserve"> &lt; .05). Tukey’s HSD tests revealed that mothers of secure adolescents reported significantly higher recalled maternal care than dismissing adolescents (p &lt; .05), but no differences between mothers of secure vs. preoccupied or dismissing vs. preoccupied adolescents. The three groups did not differ on recalled maternal overprotection.</w:t>
      </w:r>
    </w:p>
    <w:sectPr w:rsidR="00BB4CC7" w:rsidRPr="00BB4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CC7"/>
    <w:rsid w:val="005157FC"/>
    <w:rsid w:val="00661D7D"/>
    <w:rsid w:val="00BB4CC7"/>
    <w:rsid w:val="00D1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EEEB4"/>
  <w15:chartTrackingRefBased/>
  <w15:docId w15:val="{0F52AEEC-4999-4A6B-8AB0-BAF344D7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Kerr</dc:creator>
  <cp:keywords/>
  <dc:description/>
  <cp:lastModifiedBy>Sophie Kerr</cp:lastModifiedBy>
  <cp:revision>1</cp:revision>
  <dcterms:created xsi:type="dcterms:W3CDTF">2022-04-18T19:11:00Z</dcterms:created>
  <dcterms:modified xsi:type="dcterms:W3CDTF">2022-04-18T20:18:00Z</dcterms:modified>
</cp:coreProperties>
</file>