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EA457A" w14:textId="5D76408E" w:rsidR="00553285" w:rsidRPr="0091067C" w:rsidRDefault="00785AA0" w:rsidP="008A6589">
      <w:pPr>
        <w:keepNext/>
        <w:keepLines/>
        <w:spacing w:after="0" w:line="480" w:lineRule="auto"/>
        <w:rPr>
          <w:rFonts w:ascii="Cambria" w:eastAsia="Cambria" w:hAnsi="Cambria" w:cs="Cambria"/>
          <w:b/>
          <w:color w:val="000000"/>
          <w:sz w:val="24"/>
          <w:szCs w:val="24"/>
        </w:rPr>
      </w:pPr>
      <w:r w:rsidRPr="00785AA0">
        <w:rPr>
          <w:rFonts w:ascii="Cambria" w:eastAsia="Cambria" w:hAnsi="Cambria" w:cs="Cambria"/>
          <w:b/>
          <w:color w:val="000000"/>
          <w:sz w:val="24"/>
          <w:szCs w:val="24"/>
        </w:rPr>
        <w:t>Supplementary Information</w:t>
      </w:r>
      <w:r>
        <w:rPr>
          <w:rFonts w:ascii="Cambria" w:eastAsia="Cambria" w:hAnsi="Cambria" w:cs="Cambria"/>
          <w:b/>
          <w:color w:val="000000"/>
          <w:sz w:val="24"/>
          <w:szCs w:val="24"/>
        </w:rPr>
        <w:t xml:space="preserve"> for “</w:t>
      </w:r>
      <w:r w:rsidRPr="00785AA0">
        <w:rPr>
          <w:rFonts w:ascii="Cambria" w:eastAsia="Cambria" w:hAnsi="Cambria" w:cs="Cambria"/>
          <w:b/>
          <w:color w:val="000000"/>
          <w:sz w:val="24"/>
          <w:szCs w:val="24"/>
        </w:rPr>
        <w:t>Oxidative degradation of archaeological wood and the effect of alum, iron and calcium salts</w:t>
      </w:r>
      <w:r>
        <w:rPr>
          <w:rFonts w:ascii="Cambria" w:eastAsia="Cambria" w:hAnsi="Cambria" w:cs="Cambria"/>
          <w:b/>
          <w:color w:val="000000"/>
          <w:sz w:val="24"/>
          <w:szCs w:val="24"/>
        </w:rPr>
        <w:t>”</w:t>
      </w:r>
    </w:p>
    <w:p w14:paraId="6A255891" w14:textId="68EFB4BA" w:rsidR="000D5AAA" w:rsidRDefault="00785AA0" w:rsidP="008A6589">
      <w:pPr>
        <w:keepNext/>
        <w:keepLines/>
        <w:spacing w:after="0" w:line="480" w:lineRule="auto"/>
        <w:rPr>
          <w:rFonts w:ascii="Cambria" w:eastAsia="Cambria" w:hAnsi="Cambria" w:cs="Cambria"/>
          <w:bCs/>
          <w:lang w:val="sl-SI"/>
        </w:rPr>
      </w:pPr>
      <w:r w:rsidRPr="00785AA0">
        <w:rPr>
          <w:rFonts w:ascii="Cambria" w:eastAsia="Cambria" w:hAnsi="Cambria" w:cs="Cambria"/>
          <w:bCs/>
          <w:lang w:val="sl-SI"/>
        </w:rPr>
        <w:t>Caitlin M. A. McQueen,</w:t>
      </w:r>
      <w:r w:rsidR="000E02C8">
        <w:rPr>
          <w:rFonts w:ascii="Cambria" w:eastAsia="Cambria" w:hAnsi="Cambria" w:cs="Cambria"/>
          <w:bCs/>
          <w:lang w:val="sl-SI"/>
        </w:rPr>
        <w:t xml:space="preserve"> Martin N. Mortensen, Francesco</w:t>
      </w:r>
      <w:r w:rsidRPr="00785AA0">
        <w:rPr>
          <w:rFonts w:ascii="Cambria" w:eastAsia="Cambria" w:hAnsi="Cambria" w:cs="Cambria"/>
          <w:bCs/>
          <w:lang w:val="sl-SI"/>
        </w:rPr>
        <w:t xml:space="preserve"> Caruso, Sara Mantellato, Susan Braovac</w:t>
      </w:r>
    </w:p>
    <w:p w14:paraId="5B9CD2C6" w14:textId="77777777" w:rsidR="00553285" w:rsidRDefault="00553285" w:rsidP="008A6589">
      <w:pPr>
        <w:keepNext/>
        <w:keepLines/>
        <w:spacing w:after="0" w:line="480" w:lineRule="auto"/>
        <w:rPr>
          <w:rFonts w:ascii="Cambria" w:eastAsia="Cambria" w:hAnsi="Cambria" w:cs="Cambria"/>
          <w:bCs/>
          <w:lang w:val="sl-SI"/>
        </w:rPr>
      </w:pPr>
    </w:p>
    <w:p w14:paraId="75EB286F" w14:textId="483A3FCE" w:rsidR="00553285" w:rsidRDefault="00031EED" w:rsidP="008A6589">
      <w:pPr>
        <w:keepNext/>
        <w:keepLines/>
        <w:spacing w:after="0" w:line="480" w:lineRule="auto"/>
        <w:rPr>
          <w:rFonts w:ascii="Cambria" w:eastAsia="Cambria" w:hAnsi="Cambria" w:cs="Cambria"/>
          <w:b/>
          <w:bCs/>
          <w:lang w:val="sl-SI"/>
        </w:rPr>
      </w:pPr>
      <w:r>
        <w:rPr>
          <w:rFonts w:ascii="Cambria" w:eastAsia="Cambria" w:hAnsi="Cambria" w:cs="Cambria"/>
          <w:b/>
          <w:bCs/>
          <w:lang w:val="sl-SI"/>
        </w:rPr>
        <w:t>SEM-EDS of salt-impregnated wood pieces</w:t>
      </w:r>
    </w:p>
    <w:p w14:paraId="0BD080BB" w14:textId="5284C160" w:rsidR="00553285" w:rsidRDefault="00155BF9" w:rsidP="008A6589">
      <w:pPr>
        <w:keepNext/>
        <w:keepLines/>
        <w:spacing w:after="0" w:line="480" w:lineRule="auto"/>
        <w:rPr>
          <w:rFonts w:ascii="Cambria" w:eastAsia="Cambria" w:hAnsi="Cambria" w:cs="Cambria"/>
          <w:b/>
          <w:bCs/>
          <w:lang w:val="sl-SI"/>
        </w:rPr>
      </w:pPr>
      <w:r>
        <w:rPr>
          <w:rFonts w:asciiTheme="minorHAnsi" w:hAnsiTheme="minorHAnsi"/>
          <w:szCs w:val="24"/>
        </w:rPr>
        <w:t>SEM-EDS a</w:t>
      </w:r>
      <w:r w:rsidRPr="00155BF9">
        <w:rPr>
          <w:rFonts w:asciiTheme="minorHAnsi" w:hAnsiTheme="minorHAnsi"/>
          <w:szCs w:val="24"/>
        </w:rPr>
        <w:t>nalyses were performed using a</w:t>
      </w:r>
      <w:r w:rsidR="00553285">
        <w:rPr>
          <w:rFonts w:asciiTheme="minorHAnsi" w:hAnsiTheme="minorHAnsi"/>
          <w:szCs w:val="24"/>
        </w:rPr>
        <w:t>n</w:t>
      </w:r>
      <w:r w:rsidRPr="00155BF9">
        <w:rPr>
          <w:rFonts w:asciiTheme="minorHAnsi" w:hAnsiTheme="minorHAnsi"/>
          <w:szCs w:val="24"/>
        </w:rPr>
        <w:t xml:space="preserve"> FEI Quanta 450 Scanning Electron Microscope coupled with an Oxford X-</w:t>
      </w:r>
      <w:proofErr w:type="spellStart"/>
      <w:r w:rsidRPr="00155BF9">
        <w:rPr>
          <w:rFonts w:asciiTheme="minorHAnsi" w:hAnsiTheme="minorHAnsi"/>
          <w:szCs w:val="24"/>
        </w:rPr>
        <w:t>Max</w:t>
      </w:r>
      <w:r w:rsidRPr="00155BF9">
        <w:rPr>
          <w:rFonts w:asciiTheme="minorHAnsi" w:hAnsiTheme="minorHAnsi"/>
          <w:szCs w:val="24"/>
          <w:vertAlign w:val="superscript"/>
        </w:rPr>
        <w:t>N</w:t>
      </w:r>
      <w:proofErr w:type="spellEnd"/>
      <w:r w:rsidRPr="00155BF9">
        <w:rPr>
          <w:rFonts w:asciiTheme="minorHAnsi" w:hAnsiTheme="minorHAnsi"/>
          <w:szCs w:val="24"/>
        </w:rPr>
        <w:t xml:space="preserve"> 50</w:t>
      </w:r>
      <w:r w:rsidR="005B1201">
        <w:rPr>
          <w:rFonts w:asciiTheme="minorHAnsi" w:hAnsiTheme="minorHAnsi"/>
          <w:szCs w:val="24"/>
        </w:rPr>
        <w:t xml:space="preserve"> </w:t>
      </w:r>
      <w:r w:rsidRPr="00155BF9">
        <w:rPr>
          <w:rFonts w:asciiTheme="minorHAnsi" w:hAnsiTheme="minorHAnsi"/>
          <w:szCs w:val="24"/>
        </w:rPr>
        <w:t>mm</w:t>
      </w:r>
      <w:r w:rsidRPr="00155BF9">
        <w:rPr>
          <w:rFonts w:asciiTheme="minorHAnsi" w:hAnsiTheme="minorHAnsi"/>
          <w:szCs w:val="24"/>
          <w:vertAlign w:val="superscript"/>
        </w:rPr>
        <w:t>2</w:t>
      </w:r>
      <w:r w:rsidRPr="00155BF9">
        <w:rPr>
          <w:rFonts w:asciiTheme="minorHAnsi" w:hAnsiTheme="minorHAnsi"/>
          <w:szCs w:val="24"/>
        </w:rPr>
        <w:t xml:space="preserve"> detector, using low vacuum mode to avoid charging and a voltage of 20 kV. The other parameters (spot size, pressure, and working distance) were modified depending on the sample.</w:t>
      </w:r>
      <w:r w:rsidR="00553285" w:rsidRPr="00553285">
        <w:rPr>
          <w:rFonts w:asciiTheme="minorHAnsi" w:hAnsiTheme="minorHAnsi"/>
        </w:rPr>
        <w:t xml:space="preserve"> </w:t>
      </w:r>
    </w:p>
    <w:p w14:paraId="39C3209E" w14:textId="77777777" w:rsidR="00553285" w:rsidRDefault="00553285" w:rsidP="008A6589">
      <w:pPr>
        <w:keepNext/>
        <w:keepLines/>
        <w:spacing w:after="0" w:line="480" w:lineRule="auto"/>
        <w:rPr>
          <w:rFonts w:ascii="Cambria" w:eastAsia="Cambria" w:hAnsi="Cambria" w:cs="Cambria"/>
          <w:b/>
          <w:bCs/>
          <w:lang w:val="sl-SI"/>
        </w:rPr>
      </w:pPr>
    </w:p>
    <w:p w14:paraId="6FDB941B" w14:textId="0C47ECF8" w:rsidR="00160DEC" w:rsidRDefault="00553285" w:rsidP="008A6589">
      <w:pPr>
        <w:keepNext/>
        <w:keepLines/>
        <w:spacing w:after="0" w:line="480" w:lineRule="auto"/>
        <w:rPr>
          <w:rFonts w:asciiTheme="minorHAnsi" w:hAnsiTheme="minorHAnsi"/>
          <w:szCs w:val="24"/>
        </w:rPr>
      </w:pPr>
      <w:r w:rsidRPr="00160DEC">
        <w:rPr>
          <w:rFonts w:asciiTheme="minorHAnsi" w:hAnsiTheme="minorHAnsi"/>
        </w:rPr>
        <w:t>3 × 1 × 1 cm</w:t>
      </w:r>
      <w:r w:rsidRPr="00160DEC">
        <w:rPr>
          <w:rFonts w:asciiTheme="minorHAnsi" w:hAnsiTheme="minorHAnsi"/>
          <w:vertAlign w:val="superscript"/>
        </w:rPr>
        <w:t>3</w:t>
      </w:r>
      <w:r w:rsidRPr="00160DEC">
        <w:rPr>
          <w:rFonts w:asciiTheme="minorHAnsi" w:hAnsiTheme="minorHAnsi"/>
        </w:rPr>
        <w:t xml:space="preserve"> </w:t>
      </w:r>
      <w:r>
        <w:rPr>
          <w:rFonts w:asciiTheme="minorHAnsi" w:hAnsiTheme="minorHAnsi"/>
        </w:rPr>
        <w:t>b</w:t>
      </w:r>
      <w:r>
        <w:rPr>
          <w:rFonts w:asciiTheme="minorHAnsi" w:hAnsiTheme="minorHAnsi"/>
          <w:szCs w:val="24"/>
        </w:rPr>
        <w:t xml:space="preserve">irch pieces that had undergone treatment with each of the salt combinations used in the study were cut through the middle of the long edge, and the presence of the corresponding inorganic ions confirmed throughout the inner face using </w:t>
      </w:r>
      <w:proofErr w:type="spellStart"/>
      <w:r>
        <w:rPr>
          <w:rFonts w:asciiTheme="minorHAnsi" w:hAnsiTheme="minorHAnsi"/>
          <w:szCs w:val="24"/>
        </w:rPr>
        <w:t>linescans</w:t>
      </w:r>
      <w:proofErr w:type="spellEnd"/>
      <w:r>
        <w:rPr>
          <w:rFonts w:asciiTheme="minorHAnsi" w:hAnsiTheme="minorHAnsi"/>
          <w:szCs w:val="24"/>
        </w:rPr>
        <w:t xml:space="preserve"> and spectra from 2D maps, as shown for representative samples in Figures S1 and S2. In the samples that had not been treated with iron, calcium and alum salts, the corresponding </w:t>
      </w:r>
      <w:r w:rsidR="005B1201">
        <w:rPr>
          <w:rFonts w:asciiTheme="minorHAnsi" w:hAnsiTheme="minorHAnsi"/>
          <w:szCs w:val="24"/>
        </w:rPr>
        <w:t xml:space="preserve">elements </w:t>
      </w:r>
      <w:r>
        <w:rPr>
          <w:rFonts w:asciiTheme="minorHAnsi" w:hAnsiTheme="minorHAnsi"/>
          <w:szCs w:val="24"/>
        </w:rPr>
        <w:t>(Fe, Ca</w:t>
      </w:r>
      <w:r w:rsidR="00FE44FA">
        <w:rPr>
          <w:rFonts w:asciiTheme="minorHAnsi" w:hAnsiTheme="minorHAnsi"/>
          <w:szCs w:val="24"/>
        </w:rPr>
        <w:t>, Cl</w:t>
      </w:r>
      <w:r>
        <w:rPr>
          <w:rFonts w:asciiTheme="minorHAnsi" w:hAnsiTheme="minorHAnsi"/>
          <w:szCs w:val="24"/>
        </w:rPr>
        <w:t xml:space="preserve"> an</w:t>
      </w:r>
      <w:r w:rsidR="00FE44FA">
        <w:rPr>
          <w:rFonts w:asciiTheme="minorHAnsi" w:hAnsiTheme="minorHAnsi"/>
          <w:szCs w:val="24"/>
        </w:rPr>
        <w:t>d K, Al,</w:t>
      </w:r>
      <w:r>
        <w:rPr>
          <w:rFonts w:asciiTheme="minorHAnsi" w:hAnsiTheme="minorHAnsi"/>
          <w:szCs w:val="24"/>
        </w:rPr>
        <w:t xml:space="preserve"> S, respectively) were not detected. </w:t>
      </w:r>
    </w:p>
    <w:p w14:paraId="535290DC" w14:textId="77777777" w:rsidR="00E15165" w:rsidRDefault="00E15165" w:rsidP="008A6589">
      <w:pPr>
        <w:keepNext/>
        <w:keepLines/>
        <w:spacing w:after="0" w:line="480" w:lineRule="auto"/>
        <w:rPr>
          <w:rFonts w:asciiTheme="minorHAnsi" w:hAnsiTheme="minorHAnsi"/>
          <w:szCs w:val="24"/>
        </w:rPr>
      </w:pPr>
    </w:p>
    <w:p w14:paraId="2F17054C" w14:textId="3B150D9C" w:rsidR="002927C4" w:rsidRDefault="002927C4" w:rsidP="008A6589">
      <w:pPr>
        <w:keepNext/>
        <w:keepLines/>
        <w:spacing w:after="0" w:line="480" w:lineRule="auto"/>
        <w:rPr>
          <w:rFonts w:asciiTheme="minorHAnsi" w:hAnsiTheme="minorHAnsi"/>
          <w:szCs w:val="24"/>
        </w:rPr>
      </w:pPr>
      <w:r>
        <w:rPr>
          <w:rFonts w:asciiTheme="minorHAnsi" w:hAnsiTheme="minorHAnsi"/>
          <w:noProof/>
          <w:szCs w:val="24"/>
          <w:lang w:val="en-US" w:eastAsia="en-US"/>
        </w:rPr>
        <w:lastRenderedPageBreak/>
        <w:drawing>
          <wp:inline distT="0" distB="0" distL="0" distR="0" wp14:anchorId="31B7F3D0" wp14:editId="4573A202">
            <wp:extent cx="5597616" cy="491173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png"/>
                    <pic:cNvPicPr/>
                  </pic:nvPicPr>
                  <pic:blipFill>
                    <a:blip r:embed="rId7">
                      <a:extLst>
                        <a:ext uri="{28A0092B-C50C-407E-A947-70E740481C1C}">
                          <a14:useLocalDpi xmlns:a14="http://schemas.microsoft.com/office/drawing/2010/main" val="0"/>
                        </a:ext>
                      </a:extLst>
                    </a:blip>
                    <a:stretch>
                      <a:fillRect/>
                    </a:stretch>
                  </pic:blipFill>
                  <pic:spPr>
                    <a:xfrm>
                      <a:off x="0" y="0"/>
                      <a:ext cx="5597616" cy="4911739"/>
                    </a:xfrm>
                    <a:prstGeom prst="rect">
                      <a:avLst/>
                    </a:prstGeom>
                  </pic:spPr>
                </pic:pic>
              </a:graphicData>
            </a:graphic>
          </wp:inline>
        </w:drawing>
      </w:r>
    </w:p>
    <w:p w14:paraId="17964BE9" w14:textId="1AB06E82" w:rsidR="00E15165" w:rsidRDefault="00E15165" w:rsidP="008A6589">
      <w:pPr>
        <w:keepNext/>
        <w:keepLines/>
        <w:spacing w:after="0" w:line="480" w:lineRule="auto"/>
        <w:rPr>
          <w:rFonts w:ascii="Cambria" w:eastAsia="Cambria" w:hAnsi="Cambria" w:cs="Cambria"/>
          <w:bCs/>
          <w:sz w:val="20"/>
          <w:szCs w:val="20"/>
          <w:lang w:val="sl-SI"/>
        </w:rPr>
      </w:pPr>
      <w:r>
        <w:rPr>
          <w:rFonts w:ascii="Cambria" w:eastAsia="Cambria" w:hAnsi="Cambria" w:cs="Cambria"/>
          <w:bCs/>
          <w:sz w:val="20"/>
          <w:szCs w:val="20"/>
          <w:lang w:val="sl-SI"/>
        </w:rPr>
        <w:t>Figure S1: SEM image of inner face of one Fe-2Ca sample, along with EDS linescan from the edge</w:t>
      </w:r>
      <w:r w:rsidR="00604964">
        <w:rPr>
          <w:rFonts w:ascii="Cambria" w:eastAsia="Cambria" w:hAnsi="Cambria" w:cs="Cambria"/>
          <w:bCs/>
          <w:sz w:val="20"/>
          <w:szCs w:val="20"/>
          <w:lang w:val="sl-SI"/>
        </w:rPr>
        <w:t xml:space="preserve"> (0 μm)</w:t>
      </w:r>
      <w:r>
        <w:rPr>
          <w:rFonts w:ascii="Cambria" w:eastAsia="Cambria" w:hAnsi="Cambria" w:cs="Cambria"/>
          <w:bCs/>
          <w:sz w:val="20"/>
          <w:szCs w:val="20"/>
          <w:lang w:val="sl-SI"/>
        </w:rPr>
        <w:t xml:space="preserve"> to the centre of the face and EDS map from the centre, showing Fe, Ca and Cl distributed throughout.</w:t>
      </w:r>
    </w:p>
    <w:p w14:paraId="0DC72D76" w14:textId="77777777" w:rsidR="00553285" w:rsidRPr="00553285" w:rsidRDefault="00553285" w:rsidP="008A6589">
      <w:pPr>
        <w:keepNext/>
        <w:keepLines/>
        <w:spacing w:after="0" w:line="480" w:lineRule="auto"/>
        <w:rPr>
          <w:rFonts w:ascii="Cambria" w:eastAsia="Cambria" w:hAnsi="Cambria" w:cs="Cambria"/>
          <w:b/>
          <w:bCs/>
          <w:lang w:val="sl-SI"/>
        </w:rPr>
      </w:pPr>
    </w:p>
    <w:p w14:paraId="2E1725E8" w14:textId="4EF540B3" w:rsidR="00031EED" w:rsidRDefault="006603D0" w:rsidP="008A6589">
      <w:pPr>
        <w:keepNext/>
        <w:keepLines/>
        <w:spacing w:after="0" w:line="480" w:lineRule="auto"/>
        <w:rPr>
          <w:rFonts w:ascii="Cambria" w:eastAsia="Cambria" w:hAnsi="Cambria" w:cs="Cambria"/>
          <w:b/>
          <w:bCs/>
          <w:lang w:val="sl-SI"/>
        </w:rPr>
      </w:pPr>
      <w:r>
        <w:rPr>
          <w:rFonts w:ascii="Cambria" w:eastAsia="Cambria" w:hAnsi="Cambria" w:cs="Cambria"/>
          <w:bCs/>
          <w:noProof/>
          <w:lang w:val="en-US" w:eastAsia="en-US"/>
        </w:rPr>
        <w:lastRenderedPageBreak/>
        <w:drawing>
          <wp:inline distT="0" distB="0" distL="0" distR="0" wp14:anchorId="31BFF9E8" wp14:editId="693A4209">
            <wp:extent cx="5597616" cy="49643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2.png"/>
                    <pic:cNvPicPr/>
                  </pic:nvPicPr>
                  <pic:blipFill>
                    <a:blip r:embed="rId8">
                      <a:extLst>
                        <a:ext uri="{28A0092B-C50C-407E-A947-70E740481C1C}">
                          <a14:useLocalDpi xmlns:a14="http://schemas.microsoft.com/office/drawing/2010/main" val="0"/>
                        </a:ext>
                      </a:extLst>
                    </a:blip>
                    <a:stretch>
                      <a:fillRect/>
                    </a:stretch>
                  </pic:blipFill>
                  <pic:spPr>
                    <a:xfrm>
                      <a:off x="0" y="0"/>
                      <a:ext cx="5597616" cy="4964344"/>
                    </a:xfrm>
                    <a:prstGeom prst="rect">
                      <a:avLst/>
                    </a:prstGeom>
                  </pic:spPr>
                </pic:pic>
              </a:graphicData>
            </a:graphic>
          </wp:inline>
        </w:drawing>
      </w:r>
    </w:p>
    <w:p w14:paraId="6BDBBD9A" w14:textId="2C70A77C" w:rsidR="002408ED" w:rsidRDefault="002408ED" w:rsidP="008A6589">
      <w:pPr>
        <w:keepNext/>
        <w:keepLines/>
        <w:spacing w:after="0" w:line="480" w:lineRule="auto"/>
        <w:rPr>
          <w:rFonts w:ascii="Cambria" w:eastAsia="Cambria" w:hAnsi="Cambria" w:cs="Cambria"/>
          <w:bCs/>
          <w:sz w:val="20"/>
          <w:szCs w:val="20"/>
          <w:lang w:val="sl-SI"/>
        </w:rPr>
      </w:pPr>
      <w:r w:rsidRPr="002408ED">
        <w:rPr>
          <w:rFonts w:ascii="Cambria" w:eastAsia="Cambria" w:hAnsi="Cambria" w:cs="Cambria"/>
          <w:bCs/>
          <w:sz w:val="20"/>
          <w:szCs w:val="20"/>
          <w:lang w:val="sl-SI"/>
        </w:rPr>
        <w:t>Figure S2</w:t>
      </w:r>
      <w:r>
        <w:rPr>
          <w:rFonts w:ascii="Cambria" w:eastAsia="Cambria" w:hAnsi="Cambria" w:cs="Cambria"/>
          <w:bCs/>
          <w:sz w:val="20"/>
          <w:szCs w:val="20"/>
          <w:lang w:val="sl-SI"/>
        </w:rPr>
        <w:t>: SEM image of inner face of one al-Fe0.5 sample, along with EDS linescan from the edge</w:t>
      </w:r>
      <w:r w:rsidR="00604964">
        <w:rPr>
          <w:rFonts w:ascii="Cambria" w:eastAsia="Cambria" w:hAnsi="Cambria" w:cs="Cambria"/>
          <w:bCs/>
          <w:sz w:val="20"/>
          <w:szCs w:val="20"/>
          <w:lang w:val="sl-SI"/>
        </w:rPr>
        <w:t xml:space="preserve"> (0 μm)</w:t>
      </w:r>
      <w:r>
        <w:rPr>
          <w:rFonts w:ascii="Cambria" w:eastAsia="Cambria" w:hAnsi="Cambria" w:cs="Cambria"/>
          <w:bCs/>
          <w:sz w:val="20"/>
          <w:szCs w:val="20"/>
          <w:lang w:val="sl-SI"/>
        </w:rPr>
        <w:t xml:space="preserve"> to the centre of the face and EDS map from the centre,</w:t>
      </w:r>
      <w:r w:rsidR="00634BA5">
        <w:rPr>
          <w:rFonts w:ascii="Cambria" w:eastAsia="Cambria" w:hAnsi="Cambria" w:cs="Cambria"/>
          <w:bCs/>
          <w:sz w:val="20"/>
          <w:szCs w:val="20"/>
          <w:lang w:val="sl-SI"/>
        </w:rPr>
        <w:t xml:space="preserve"> showing</w:t>
      </w:r>
      <w:r>
        <w:rPr>
          <w:rFonts w:ascii="Cambria" w:eastAsia="Cambria" w:hAnsi="Cambria" w:cs="Cambria"/>
          <w:bCs/>
          <w:sz w:val="20"/>
          <w:szCs w:val="20"/>
          <w:lang w:val="sl-SI"/>
        </w:rPr>
        <w:t xml:space="preserve"> K, Al, S and Fe distributed throughout.</w:t>
      </w:r>
    </w:p>
    <w:p w14:paraId="0E27F02E" w14:textId="174381FA" w:rsidR="00765770" w:rsidRDefault="00765770" w:rsidP="008A6589">
      <w:pPr>
        <w:spacing w:after="0" w:line="480" w:lineRule="auto"/>
        <w:rPr>
          <w:rFonts w:asciiTheme="minorHAnsi" w:hAnsiTheme="minorHAnsi"/>
        </w:rPr>
      </w:pPr>
    </w:p>
    <w:p w14:paraId="172186B9" w14:textId="77777777" w:rsidR="008A6589" w:rsidRDefault="008A6589" w:rsidP="008A6589">
      <w:pPr>
        <w:spacing w:after="0" w:line="480" w:lineRule="auto"/>
        <w:outlineLvl w:val="0"/>
        <w:rPr>
          <w:rFonts w:ascii="Cambria" w:hAnsi="Cambria"/>
          <w:b/>
        </w:rPr>
      </w:pPr>
    </w:p>
    <w:p w14:paraId="001B0823" w14:textId="77777777" w:rsidR="005045AE" w:rsidRDefault="005045AE" w:rsidP="008A6589">
      <w:pPr>
        <w:spacing w:after="0" w:line="480" w:lineRule="auto"/>
        <w:outlineLvl w:val="0"/>
        <w:rPr>
          <w:rFonts w:ascii="Cambria" w:hAnsi="Cambria"/>
          <w:b/>
        </w:rPr>
      </w:pPr>
    </w:p>
    <w:p w14:paraId="2813DF4A" w14:textId="77777777" w:rsidR="005045AE" w:rsidRDefault="005045AE" w:rsidP="008A6589">
      <w:pPr>
        <w:spacing w:after="0" w:line="480" w:lineRule="auto"/>
        <w:outlineLvl w:val="0"/>
        <w:rPr>
          <w:rFonts w:ascii="Cambria" w:hAnsi="Cambria"/>
          <w:b/>
        </w:rPr>
      </w:pPr>
    </w:p>
    <w:p w14:paraId="1D69D2AF" w14:textId="77777777" w:rsidR="005045AE" w:rsidRDefault="005045AE" w:rsidP="008A6589">
      <w:pPr>
        <w:spacing w:after="0" w:line="480" w:lineRule="auto"/>
        <w:outlineLvl w:val="0"/>
        <w:rPr>
          <w:rFonts w:ascii="Cambria" w:hAnsi="Cambria"/>
          <w:b/>
        </w:rPr>
      </w:pPr>
    </w:p>
    <w:p w14:paraId="7FC4394B" w14:textId="77777777" w:rsidR="005045AE" w:rsidRDefault="005045AE" w:rsidP="008A6589">
      <w:pPr>
        <w:spacing w:after="0" w:line="480" w:lineRule="auto"/>
        <w:outlineLvl w:val="0"/>
        <w:rPr>
          <w:rFonts w:ascii="Cambria" w:hAnsi="Cambria"/>
          <w:b/>
        </w:rPr>
      </w:pPr>
    </w:p>
    <w:p w14:paraId="25D6FB84" w14:textId="77777777" w:rsidR="005045AE" w:rsidRDefault="005045AE" w:rsidP="008A6589">
      <w:pPr>
        <w:spacing w:after="0" w:line="480" w:lineRule="auto"/>
        <w:outlineLvl w:val="0"/>
        <w:rPr>
          <w:rFonts w:ascii="Cambria" w:hAnsi="Cambria"/>
          <w:b/>
        </w:rPr>
      </w:pPr>
    </w:p>
    <w:p w14:paraId="437BC7CD" w14:textId="77777777" w:rsidR="005045AE" w:rsidRDefault="005045AE" w:rsidP="008A6589">
      <w:pPr>
        <w:spacing w:after="0" w:line="480" w:lineRule="auto"/>
        <w:outlineLvl w:val="0"/>
        <w:rPr>
          <w:rFonts w:ascii="Cambria" w:hAnsi="Cambria"/>
          <w:b/>
        </w:rPr>
      </w:pPr>
    </w:p>
    <w:p w14:paraId="7EACDCEF" w14:textId="77777777" w:rsidR="005045AE" w:rsidRDefault="005045AE" w:rsidP="008A6589">
      <w:pPr>
        <w:spacing w:after="0" w:line="480" w:lineRule="auto"/>
        <w:outlineLvl w:val="0"/>
        <w:rPr>
          <w:rFonts w:ascii="Cambria" w:hAnsi="Cambria"/>
          <w:b/>
        </w:rPr>
      </w:pPr>
    </w:p>
    <w:p w14:paraId="48A4B861" w14:textId="77777777" w:rsidR="005045AE" w:rsidRDefault="005045AE" w:rsidP="008A6589">
      <w:pPr>
        <w:spacing w:after="0" w:line="480" w:lineRule="auto"/>
        <w:outlineLvl w:val="0"/>
        <w:rPr>
          <w:rFonts w:ascii="Cambria" w:hAnsi="Cambria"/>
          <w:b/>
        </w:rPr>
      </w:pPr>
    </w:p>
    <w:p w14:paraId="623C5281" w14:textId="6B4B64EB" w:rsidR="00765770" w:rsidRPr="008A6589" w:rsidRDefault="00765770" w:rsidP="008A6589">
      <w:pPr>
        <w:spacing w:after="0" w:line="480" w:lineRule="auto"/>
        <w:outlineLvl w:val="0"/>
        <w:rPr>
          <w:rFonts w:ascii="Cambria" w:hAnsi="Cambria"/>
          <w:b/>
        </w:rPr>
      </w:pPr>
      <w:r w:rsidRPr="008A6589">
        <w:rPr>
          <w:rFonts w:ascii="Cambria" w:hAnsi="Cambria"/>
          <w:b/>
        </w:rPr>
        <w:lastRenderedPageBreak/>
        <w:t xml:space="preserve">Standard and reference </w:t>
      </w:r>
      <w:r w:rsidR="009C10FC">
        <w:rPr>
          <w:rFonts w:ascii="Cambria" w:hAnsi="Cambria"/>
          <w:b/>
        </w:rPr>
        <w:t xml:space="preserve">ICP-OES </w:t>
      </w:r>
      <w:r w:rsidRPr="008A6589">
        <w:rPr>
          <w:rFonts w:ascii="Cambria" w:hAnsi="Cambria"/>
          <w:b/>
        </w:rPr>
        <w:t>solutions</w:t>
      </w:r>
    </w:p>
    <w:p w14:paraId="187B360F" w14:textId="607C2FD2" w:rsidR="00765770" w:rsidRDefault="00765770" w:rsidP="008A6589">
      <w:pPr>
        <w:spacing w:after="0" w:line="480" w:lineRule="auto"/>
        <w:rPr>
          <w:rFonts w:ascii="Cambria" w:hAnsi="Cambria"/>
        </w:rPr>
      </w:pPr>
      <w:r w:rsidRPr="008A6589">
        <w:rPr>
          <w:rFonts w:ascii="Cambria" w:hAnsi="Cambria"/>
        </w:rPr>
        <w:t>According to the expected concentrations</w:t>
      </w:r>
      <w:r w:rsidR="00755F22">
        <w:rPr>
          <w:rFonts w:ascii="Cambria" w:hAnsi="Cambria"/>
        </w:rPr>
        <w:t xml:space="preserve"> and the method developed in this study, </w:t>
      </w:r>
      <w:r w:rsidRPr="008A6589">
        <w:rPr>
          <w:rFonts w:ascii="Cambria" w:hAnsi="Cambria"/>
        </w:rPr>
        <w:t xml:space="preserve">we prepared </w:t>
      </w:r>
      <w:r w:rsidR="00C859EB">
        <w:rPr>
          <w:rFonts w:ascii="Cambria" w:hAnsi="Cambria"/>
        </w:rPr>
        <w:t>a</w:t>
      </w:r>
      <w:r w:rsidRPr="008A6589">
        <w:rPr>
          <w:rFonts w:ascii="Cambria" w:hAnsi="Cambria"/>
        </w:rPr>
        <w:t xml:space="preserve"> multi-elemental standard and reference solutions by suitably diluting 1000 mg/L aluminium, calcium, iron, </w:t>
      </w:r>
      <w:r w:rsidR="00C859EB">
        <w:rPr>
          <w:rFonts w:ascii="Cambria" w:hAnsi="Cambria"/>
        </w:rPr>
        <w:t xml:space="preserve">and </w:t>
      </w:r>
      <w:r w:rsidRPr="008A6589">
        <w:rPr>
          <w:rFonts w:ascii="Cambria" w:hAnsi="Cambria"/>
        </w:rPr>
        <w:t>potassium standard bulk solutions for ICP (</w:t>
      </w:r>
      <w:proofErr w:type="spellStart"/>
      <w:r w:rsidRPr="008A6589">
        <w:rPr>
          <w:rFonts w:ascii="Cambria" w:hAnsi="Cambria"/>
        </w:rPr>
        <w:t>TraceCERT</w:t>
      </w:r>
      <w:proofErr w:type="spellEnd"/>
      <w:r w:rsidRPr="008A6589">
        <w:rPr>
          <w:rFonts w:ascii="Cambria" w:hAnsi="Cambria"/>
        </w:rPr>
        <w:t xml:space="preserve">, </w:t>
      </w:r>
      <w:proofErr w:type="spellStart"/>
      <w:r w:rsidRPr="008A6589">
        <w:rPr>
          <w:rFonts w:ascii="Cambria" w:hAnsi="Cambria"/>
        </w:rPr>
        <w:t>Fluka</w:t>
      </w:r>
      <w:proofErr w:type="spellEnd"/>
      <w:r w:rsidRPr="008A6589">
        <w:rPr>
          <w:rFonts w:ascii="Cambria" w:hAnsi="Cambria"/>
        </w:rPr>
        <w:t>) in 2% (w/w) HNO</w:t>
      </w:r>
      <w:r w:rsidRPr="008A6589">
        <w:rPr>
          <w:rFonts w:ascii="Cambria" w:hAnsi="Cambria"/>
          <w:vertAlign w:val="subscript"/>
        </w:rPr>
        <w:t>3</w:t>
      </w:r>
      <w:r w:rsidRPr="008A6589">
        <w:rPr>
          <w:rFonts w:ascii="Cambria" w:hAnsi="Cambria"/>
        </w:rPr>
        <w:t xml:space="preserve"> in </w:t>
      </w:r>
      <w:r w:rsidR="004E399B">
        <w:rPr>
          <w:rFonts w:ascii="Cambria" w:hAnsi="Cambria"/>
        </w:rPr>
        <w:t>Ultra Pure Water (</w:t>
      </w:r>
      <w:r w:rsidRPr="008A6589">
        <w:rPr>
          <w:rFonts w:ascii="Cambria" w:hAnsi="Cambria"/>
        </w:rPr>
        <w:t>UPW</w:t>
      </w:r>
      <w:r w:rsidR="004E399B">
        <w:rPr>
          <w:rFonts w:ascii="Cambria" w:hAnsi="Cambria"/>
        </w:rPr>
        <w:t>).</w:t>
      </w:r>
      <w:r w:rsidR="00C859EB">
        <w:rPr>
          <w:rFonts w:ascii="Cambria" w:hAnsi="Cambria"/>
        </w:rPr>
        <w:t xml:space="preserve"> Their composition is reported in Table S1.</w:t>
      </w:r>
    </w:p>
    <w:p w14:paraId="7B0445AF" w14:textId="77777777" w:rsidR="005045AE" w:rsidRDefault="005045AE" w:rsidP="008A6589">
      <w:pPr>
        <w:spacing w:after="0" w:line="480" w:lineRule="auto"/>
        <w:rPr>
          <w:rFonts w:ascii="Cambria" w:hAnsi="Cambria"/>
          <w:sz w:val="20"/>
          <w:szCs w:val="20"/>
        </w:rPr>
      </w:pPr>
      <w:bookmarkStart w:id="0" w:name="_GoBack"/>
      <w:bookmarkEnd w:id="0"/>
    </w:p>
    <w:p w14:paraId="617060E8" w14:textId="188BA9F2" w:rsidR="009C10FC" w:rsidRPr="008A6589" w:rsidRDefault="009C10FC" w:rsidP="008A6589">
      <w:pPr>
        <w:spacing w:after="0" w:line="480" w:lineRule="auto"/>
        <w:rPr>
          <w:rFonts w:ascii="Cambria" w:hAnsi="Cambria"/>
          <w:sz w:val="20"/>
          <w:szCs w:val="20"/>
        </w:rPr>
      </w:pPr>
      <w:r w:rsidRPr="008A6589">
        <w:rPr>
          <w:rFonts w:ascii="Cambria" w:hAnsi="Cambria"/>
          <w:sz w:val="20"/>
          <w:szCs w:val="20"/>
        </w:rPr>
        <w:t>Table S1: Composition of the standard and reference solutions used for the calibration and the determination of the figures of merit with the developed ICP-OES method.</w:t>
      </w:r>
    </w:p>
    <w:tbl>
      <w:tblPr>
        <w:tblStyle w:val="TableGrid"/>
        <w:tblW w:w="0" w:type="auto"/>
        <w:tblLook w:val="04A0" w:firstRow="1" w:lastRow="0" w:firstColumn="1" w:lastColumn="0" w:noHBand="0" w:noVBand="1"/>
      </w:tblPr>
      <w:tblGrid>
        <w:gridCol w:w="978"/>
        <w:gridCol w:w="1759"/>
        <w:gridCol w:w="1846"/>
      </w:tblGrid>
      <w:tr w:rsidR="00765770" w:rsidRPr="009C10FC" w14:paraId="2E525717" w14:textId="77777777" w:rsidTr="008A6589">
        <w:tc>
          <w:tcPr>
            <w:tcW w:w="0" w:type="auto"/>
            <w:tcBorders>
              <w:left w:val="nil"/>
              <w:bottom w:val="single" w:sz="4" w:space="0" w:color="auto"/>
              <w:right w:val="nil"/>
            </w:tcBorders>
          </w:tcPr>
          <w:p w14:paraId="49D5A827" w14:textId="77777777" w:rsidR="00765770" w:rsidRPr="008A6589" w:rsidRDefault="00765770" w:rsidP="00395F34">
            <w:pPr>
              <w:spacing w:after="0" w:line="480" w:lineRule="auto"/>
              <w:jc w:val="center"/>
              <w:rPr>
                <w:rFonts w:ascii="Cambria" w:hAnsi="Cambria"/>
                <w:b/>
                <w:sz w:val="20"/>
                <w:szCs w:val="20"/>
              </w:rPr>
            </w:pPr>
            <w:r w:rsidRPr="008A6589">
              <w:rPr>
                <w:rFonts w:ascii="Cambria" w:hAnsi="Cambria"/>
                <w:b/>
                <w:sz w:val="20"/>
                <w:szCs w:val="20"/>
              </w:rPr>
              <w:t>Element</w:t>
            </w:r>
          </w:p>
        </w:tc>
        <w:tc>
          <w:tcPr>
            <w:tcW w:w="0" w:type="auto"/>
            <w:tcBorders>
              <w:left w:val="nil"/>
              <w:bottom w:val="single" w:sz="4" w:space="0" w:color="auto"/>
              <w:right w:val="nil"/>
            </w:tcBorders>
          </w:tcPr>
          <w:p w14:paraId="24A0BDAE" w14:textId="77777777" w:rsidR="00765770" w:rsidRPr="008A6589" w:rsidRDefault="00765770" w:rsidP="00395F34">
            <w:pPr>
              <w:spacing w:after="0" w:line="480" w:lineRule="auto"/>
              <w:jc w:val="center"/>
              <w:rPr>
                <w:rFonts w:ascii="Cambria" w:hAnsi="Cambria"/>
                <w:b/>
                <w:sz w:val="20"/>
                <w:szCs w:val="20"/>
              </w:rPr>
            </w:pPr>
            <w:r w:rsidRPr="008A6589">
              <w:rPr>
                <w:rFonts w:ascii="Cambria" w:hAnsi="Cambria"/>
                <w:b/>
                <w:sz w:val="20"/>
                <w:szCs w:val="20"/>
              </w:rPr>
              <w:t>Standard (mg/L)</w:t>
            </w:r>
          </w:p>
        </w:tc>
        <w:tc>
          <w:tcPr>
            <w:tcW w:w="0" w:type="auto"/>
            <w:tcBorders>
              <w:left w:val="nil"/>
              <w:bottom w:val="single" w:sz="4" w:space="0" w:color="auto"/>
              <w:right w:val="nil"/>
            </w:tcBorders>
          </w:tcPr>
          <w:p w14:paraId="45998A10" w14:textId="77777777" w:rsidR="00765770" w:rsidRPr="008A6589" w:rsidRDefault="00765770" w:rsidP="00395F34">
            <w:pPr>
              <w:spacing w:after="0" w:line="480" w:lineRule="auto"/>
              <w:jc w:val="center"/>
              <w:rPr>
                <w:rFonts w:ascii="Cambria" w:hAnsi="Cambria"/>
                <w:b/>
                <w:sz w:val="20"/>
                <w:szCs w:val="20"/>
              </w:rPr>
            </w:pPr>
            <w:r w:rsidRPr="008A6589">
              <w:rPr>
                <w:rFonts w:ascii="Cambria" w:hAnsi="Cambria"/>
                <w:b/>
                <w:sz w:val="20"/>
                <w:szCs w:val="20"/>
              </w:rPr>
              <w:t>Reference (mg/L)</w:t>
            </w:r>
          </w:p>
        </w:tc>
      </w:tr>
      <w:tr w:rsidR="00765770" w:rsidRPr="009C10FC" w14:paraId="20A99A03" w14:textId="77777777" w:rsidTr="008A6589">
        <w:tc>
          <w:tcPr>
            <w:tcW w:w="0" w:type="auto"/>
            <w:tcBorders>
              <w:left w:val="nil"/>
              <w:bottom w:val="nil"/>
              <w:right w:val="nil"/>
            </w:tcBorders>
          </w:tcPr>
          <w:p w14:paraId="27E3C794"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Al</w:t>
            </w:r>
          </w:p>
        </w:tc>
        <w:tc>
          <w:tcPr>
            <w:tcW w:w="0" w:type="auto"/>
            <w:tcBorders>
              <w:left w:val="nil"/>
              <w:bottom w:val="nil"/>
              <w:right w:val="nil"/>
            </w:tcBorders>
          </w:tcPr>
          <w:p w14:paraId="686C3169"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50</w:t>
            </w:r>
          </w:p>
        </w:tc>
        <w:tc>
          <w:tcPr>
            <w:tcW w:w="0" w:type="auto"/>
            <w:tcBorders>
              <w:left w:val="nil"/>
              <w:bottom w:val="nil"/>
              <w:right w:val="nil"/>
            </w:tcBorders>
          </w:tcPr>
          <w:p w14:paraId="19B06F46"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20</w:t>
            </w:r>
          </w:p>
        </w:tc>
      </w:tr>
      <w:tr w:rsidR="00765770" w:rsidRPr="009C10FC" w14:paraId="532384F5" w14:textId="77777777" w:rsidTr="008A6589">
        <w:tc>
          <w:tcPr>
            <w:tcW w:w="0" w:type="auto"/>
            <w:tcBorders>
              <w:top w:val="nil"/>
              <w:left w:val="nil"/>
              <w:bottom w:val="nil"/>
              <w:right w:val="nil"/>
            </w:tcBorders>
          </w:tcPr>
          <w:p w14:paraId="258626CE"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Ca</w:t>
            </w:r>
          </w:p>
        </w:tc>
        <w:tc>
          <w:tcPr>
            <w:tcW w:w="0" w:type="auto"/>
            <w:tcBorders>
              <w:top w:val="nil"/>
              <w:left w:val="nil"/>
              <w:bottom w:val="nil"/>
              <w:right w:val="nil"/>
            </w:tcBorders>
          </w:tcPr>
          <w:p w14:paraId="268B6BC7"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0.5</w:t>
            </w:r>
          </w:p>
        </w:tc>
        <w:tc>
          <w:tcPr>
            <w:tcW w:w="0" w:type="auto"/>
            <w:tcBorders>
              <w:top w:val="nil"/>
              <w:left w:val="nil"/>
              <w:bottom w:val="nil"/>
              <w:right w:val="nil"/>
            </w:tcBorders>
          </w:tcPr>
          <w:p w14:paraId="4DB27AF2"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0.2</w:t>
            </w:r>
          </w:p>
        </w:tc>
      </w:tr>
      <w:tr w:rsidR="00765770" w:rsidRPr="009C10FC" w14:paraId="4C028DFF" w14:textId="77777777" w:rsidTr="008A6589">
        <w:tc>
          <w:tcPr>
            <w:tcW w:w="0" w:type="auto"/>
            <w:tcBorders>
              <w:top w:val="nil"/>
              <w:left w:val="nil"/>
              <w:bottom w:val="nil"/>
              <w:right w:val="nil"/>
            </w:tcBorders>
          </w:tcPr>
          <w:p w14:paraId="5A761D5A"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Fe</w:t>
            </w:r>
          </w:p>
        </w:tc>
        <w:tc>
          <w:tcPr>
            <w:tcW w:w="0" w:type="auto"/>
            <w:tcBorders>
              <w:top w:val="nil"/>
              <w:left w:val="nil"/>
              <w:bottom w:val="nil"/>
              <w:right w:val="nil"/>
            </w:tcBorders>
          </w:tcPr>
          <w:p w14:paraId="0050ED8D"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1</w:t>
            </w:r>
          </w:p>
        </w:tc>
        <w:tc>
          <w:tcPr>
            <w:tcW w:w="0" w:type="auto"/>
            <w:tcBorders>
              <w:top w:val="nil"/>
              <w:left w:val="nil"/>
              <w:bottom w:val="nil"/>
              <w:right w:val="nil"/>
            </w:tcBorders>
          </w:tcPr>
          <w:p w14:paraId="3BB5E442"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0.5</w:t>
            </w:r>
          </w:p>
        </w:tc>
      </w:tr>
      <w:tr w:rsidR="00765770" w:rsidRPr="009C10FC" w14:paraId="18E9B071" w14:textId="77777777" w:rsidTr="008A6589">
        <w:tc>
          <w:tcPr>
            <w:tcW w:w="0" w:type="auto"/>
            <w:tcBorders>
              <w:top w:val="nil"/>
              <w:left w:val="nil"/>
              <w:bottom w:val="nil"/>
              <w:right w:val="nil"/>
            </w:tcBorders>
          </w:tcPr>
          <w:p w14:paraId="190E4595"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K</w:t>
            </w:r>
          </w:p>
        </w:tc>
        <w:tc>
          <w:tcPr>
            <w:tcW w:w="0" w:type="auto"/>
            <w:tcBorders>
              <w:top w:val="nil"/>
              <w:left w:val="nil"/>
              <w:bottom w:val="nil"/>
              <w:right w:val="nil"/>
            </w:tcBorders>
          </w:tcPr>
          <w:p w14:paraId="539025B7"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50</w:t>
            </w:r>
          </w:p>
        </w:tc>
        <w:tc>
          <w:tcPr>
            <w:tcW w:w="0" w:type="auto"/>
            <w:tcBorders>
              <w:top w:val="nil"/>
              <w:left w:val="nil"/>
              <w:bottom w:val="nil"/>
              <w:right w:val="nil"/>
            </w:tcBorders>
          </w:tcPr>
          <w:p w14:paraId="5C03CD59"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20</w:t>
            </w:r>
          </w:p>
        </w:tc>
      </w:tr>
    </w:tbl>
    <w:p w14:paraId="4A88EDF0" w14:textId="77777777" w:rsidR="00765770" w:rsidRPr="008A6589" w:rsidRDefault="00765770" w:rsidP="008A6589">
      <w:pPr>
        <w:spacing w:after="0" w:line="480" w:lineRule="auto"/>
        <w:rPr>
          <w:rFonts w:ascii="Cambria" w:hAnsi="Cambria"/>
          <w:b/>
        </w:rPr>
      </w:pPr>
    </w:p>
    <w:p w14:paraId="021CDAE5" w14:textId="10C7C770" w:rsidR="00765770" w:rsidRPr="008A6589" w:rsidRDefault="00765770" w:rsidP="008A6589">
      <w:pPr>
        <w:spacing w:after="0" w:line="480" w:lineRule="auto"/>
        <w:outlineLvl w:val="0"/>
        <w:rPr>
          <w:rFonts w:ascii="Cambria" w:hAnsi="Cambria"/>
          <w:b/>
        </w:rPr>
      </w:pPr>
      <w:r w:rsidRPr="008A6589">
        <w:rPr>
          <w:rFonts w:ascii="Cambria" w:hAnsi="Cambria"/>
          <w:b/>
        </w:rPr>
        <w:t>Analytical figures of merit</w:t>
      </w:r>
      <w:r w:rsidR="009C10FC">
        <w:rPr>
          <w:rFonts w:ascii="Cambria" w:hAnsi="Cambria"/>
          <w:b/>
        </w:rPr>
        <w:t xml:space="preserve"> of the ICP-OES method</w:t>
      </w:r>
    </w:p>
    <w:p w14:paraId="152113C9" w14:textId="44B7D30D" w:rsidR="00765770" w:rsidRDefault="00C859EB" w:rsidP="008A6589">
      <w:pPr>
        <w:spacing w:after="0" w:line="480" w:lineRule="auto"/>
        <w:rPr>
          <w:rFonts w:ascii="Cambria" w:hAnsi="Cambria"/>
        </w:rPr>
      </w:pPr>
      <w:r>
        <w:rPr>
          <w:rFonts w:ascii="Cambria" w:hAnsi="Cambria"/>
        </w:rPr>
        <w:t>Table S2 provides the main analytical figures of merit of the developed ICP-OES method</w:t>
      </w:r>
      <w:r w:rsidR="00755F22">
        <w:rPr>
          <w:rFonts w:ascii="Cambria" w:hAnsi="Cambria"/>
        </w:rPr>
        <w:t xml:space="preserve"> for the measurements carried out for this study</w:t>
      </w:r>
      <w:r>
        <w:rPr>
          <w:rFonts w:ascii="Cambria" w:hAnsi="Cambria"/>
        </w:rPr>
        <w:t>. Note that the reported closeness of agreement is a measurement of the trueness of the method.</w:t>
      </w:r>
    </w:p>
    <w:p w14:paraId="00E80CBD" w14:textId="77777777" w:rsidR="00C859EB" w:rsidRDefault="00C859EB" w:rsidP="008A6589">
      <w:pPr>
        <w:spacing w:after="0" w:line="480" w:lineRule="auto"/>
        <w:rPr>
          <w:rFonts w:ascii="Cambria" w:hAnsi="Cambria"/>
        </w:rPr>
      </w:pPr>
    </w:p>
    <w:p w14:paraId="5A2C3811" w14:textId="29C3B1AD" w:rsidR="00C859EB" w:rsidRPr="008A6589" w:rsidRDefault="00C859EB" w:rsidP="008A6589">
      <w:pPr>
        <w:spacing w:after="0" w:line="480" w:lineRule="auto"/>
        <w:rPr>
          <w:rFonts w:ascii="Cambria" w:hAnsi="Cambria"/>
          <w:sz w:val="20"/>
          <w:szCs w:val="20"/>
        </w:rPr>
      </w:pPr>
      <w:r w:rsidRPr="008A6589">
        <w:rPr>
          <w:rFonts w:ascii="Cambria" w:hAnsi="Cambria"/>
          <w:sz w:val="20"/>
          <w:szCs w:val="20"/>
        </w:rPr>
        <w:t xml:space="preserve">Table S2: </w:t>
      </w:r>
      <w:r>
        <w:rPr>
          <w:rFonts w:ascii="Cambria" w:hAnsi="Cambria"/>
          <w:sz w:val="20"/>
          <w:szCs w:val="20"/>
        </w:rPr>
        <w:t>S</w:t>
      </w:r>
      <w:r w:rsidRPr="008A6589">
        <w:rPr>
          <w:rFonts w:ascii="Cambria" w:hAnsi="Cambria"/>
          <w:sz w:val="20"/>
          <w:szCs w:val="20"/>
        </w:rPr>
        <w:t xml:space="preserve">elected spectral lines, view mode, percentage deviation between the measured and the expected concentrations of the reference solution </w:t>
      </w:r>
      <w:r>
        <w:rPr>
          <w:rFonts w:ascii="Cambria" w:hAnsi="Cambria"/>
          <w:sz w:val="20"/>
          <w:szCs w:val="20"/>
        </w:rPr>
        <w:t xml:space="preserve">reported in Table S1 </w:t>
      </w:r>
      <w:r w:rsidRPr="008A6589">
        <w:rPr>
          <w:rFonts w:ascii="Cambria" w:hAnsi="Cambria"/>
          <w:sz w:val="20"/>
          <w:szCs w:val="20"/>
        </w:rPr>
        <w:t>(five samples from the same reference solution were spilled), and obtained Limit</w:t>
      </w:r>
      <w:r>
        <w:rPr>
          <w:rFonts w:ascii="Cambria" w:hAnsi="Cambria"/>
          <w:sz w:val="20"/>
          <w:szCs w:val="20"/>
        </w:rPr>
        <w:t>s</w:t>
      </w:r>
      <w:r w:rsidRPr="008A6589">
        <w:rPr>
          <w:rFonts w:ascii="Cambria" w:hAnsi="Cambria"/>
          <w:sz w:val="20"/>
          <w:szCs w:val="20"/>
        </w:rPr>
        <w:t xml:space="preserve"> of Detection (LODs) and Limit</w:t>
      </w:r>
      <w:r>
        <w:rPr>
          <w:rFonts w:ascii="Cambria" w:hAnsi="Cambria"/>
          <w:sz w:val="20"/>
          <w:szCs w:val="20"/>
        </w:rPr>
        <w:t>s</w:t>
      </w:r>
      <w:r w:rsidRPr="008A6589">
        <w:rPr>
          <w:rFonts w:ascii="Cambria" w:hAnsi="Cambria"/>
          <w:sz w:val="20"/>
          <w:szCs w:val="20"/>
        </w:rPr>
        <w:t xml:space="preserve"> of Quantification (LOQs) (</w:t>
      </w:r>
      <w:proofErr w:type="spellStart"/>
      <w:r w:rsidRPr="008A6589">
        <w:rPr>
          <w:rFonts w:ascii="Cambria" w:hAnsi="Cambria"/>
          <w:i/>
          <w:sz w:val="20"/>
          <w:szCs w:val="20"/>
        </w:rPr>
        <w:t>n</w:t>
      </w:r>
      <w:r w:rsidRPr="008A6589">
        <w:rPr>
          <w:rFonts w:ascii="Cambria" w:hAnsi="Cambria"/>
          <w:sz w:val="20"/>
          <w:szCs w:val="20"/>
          <w:vertAlign w:val="subscript"/>
        </w:rPr>
        <w:t>blanks</w:t>
      </w:r>
      <w:proofErr w:type="spellEnd"/>
      <w:r w:rsidRPr="008A6589">
        <w:rPr>
          <w:rFonts w:ascii="Cambria" w:hAnsi="Cambria"/>
          <w:sz w:val="20"/>
          <w:szCs w:val="20"/>
        </w:rPr>
        <w:t xml:space="preserve"> = 3)</w:t>
      </w:r>
      <w:r>
        <w:rPr>
          <w:rFonts w:ascii="Cambria" w:hAnsi="Cambria"/>
          <w:sz w:val="20"/>
          <w:szCs w:val="20"/>
        </w:rPr>
        <w:t>.</w:t>
      </w:r>
    </w:p>
    <w:tbl>
      <w:tblPr>
        <w:tblStyle w:val="TableGrid"/>
        <w:tblW w:w="96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
        <w:gridCol w:w="2023"/>
        <w:gridCol w:w="1350"/>
        <w:gridCol w:w="2478"/>
        <w:gridCol w:w="1401"/>
        <w:gridCol w:w="1401"/>
      </w:tblGrid>
      <w:tr w:rsidR="00395F34" w:rsidRPr="00765770" w14:paraId="371410EF" w14:textId="77777777" w:rsidTr="00395F34">
        <w:tc>
          <w:tcPr>
            <w:tcW w:w="978" w:type="dxa"/>
            <w:tcBorders>
              <w:top w:val="single" w:sz="4" w:space="0" w:color="auto"/>
              <w:bottom w:val="single" w:sz="4" w:space="0" w:color="auto"/>
            </w:tcBorders>
          </w:tcPr>
          <w:p w14:paraId="3100B72C" w14:textId="77777777" w:rsidR="00765770" w:rsidRPr="008A6589" w:rsidRDefault="00765770" w:rsidP="00395F34">
            <w:pPr>
              <w:spacing w:after="0" w:line="480" w:lineRule="auto"/>
              <w:jc w:val="center"/>
              <w:rPr>
                <w:rFonts w:ascii="Cambria" w:hAnsi="Cambria"/>
                <w:b/>
                <w:sz w:val="20"/>
                <w:szCs w:val="20"/>
              </w:rPr>
            </w:pPr>
            <w:r w:rsidRPr="008A6589">
              <w:rPr>
                <w:rFonts w:ascii="Cambria" w:hAnsi="Cambria"/>
                <w:b/>
                <w:sz w:val="20"/>
                <w:szCs w:val="20"/>
              </w:rPr>
              <w:t>Element</w:t>
            </w:r>
          </w:p>
        </w:tc>
        <w:tc>
          <w:tcPr>
            <w:tcW w:w="2023" w:type="dxa"/>
            <w:tcBorders>
              <w:top w:val="single" w:sz="4" w:space="0" w:color="auto"/>
              <w:bottom w:val="single" w:sz="4" w:space="0" w:color="auto"/>
            </w:tcBorders>
          </w:tcPr>
          <w:p w14:paraId="037FF2D2" w14:textId="77777777" w:rsidR="00765770" w:rsidRPr="008A6589" w:rsidRDefault="00765770" w:rsidP="00395F34">
            <w:pPr>
              <w:spacing w:after="0" w:line="480" w:lineRule="auto"/>
              <w:jc w:val="center"/>
              <w:rPr>
                <w:rFonts w:ascii="Cambria" w:hAnsi="Cambria"/>
                <w:b/>
                <w:sz w:val="20"/>
                <w:szCs w:val="20"/>
              </w:rPr>
            </w:pPr>
            <w:r w:rsidRPr="008A6589">
              <w:rPr>
                <w:rFonts w:ascii="Cambria" w:hAnsi="Cambria"/>
                <w:b/>
                <w:sz w:val="20"/>
                <w:szCs w:val="20"/>
              </w:rPr>
              <w:t>Spectral line (nm)</w:t>
            </w:r>
          </w:p>
        </w:tc>
        <w:tc>
          <w:tcPr>
            <w:tcW w:w="1350" w:type="dxa"/>
            <w:tcBorders>
              <w:top w:val="single" w:sz="4" w:space="0" w:color="auto"/>
              <w:bottom w:val="single" w:sz="4" w:space="0" w:color="auto"/>
            </w:tcBorders>
          </w:tcPr>
          <w:p w14:paraId="5E9321FA" w14:textId="77777777" w:rsidR="00765770" w:rsidRPr="008A6589" w:rsidRDefault="00765770" w:rsidP="00395F34">
            <w:pPr>
              <w:spacing w:after="0" w:line="480" w:lineRule="auto"/>
              <w:jc w:val="center"/>
              <w:rPr>
                <w:rFonts w:ascii="Cambria" w:hAnsi="Cambria"/>
                <w:b/>
                <w:sz w:val="20"/>
                <w:szCs w:val="20"/>
              </w:rPr>
            </w:pPr>
            <w:r w:rsidRPr="008A6589">
              <w:rPr>
                <w:rFonts w:ascii="Cambria" w:hAnsi="Cambria"/>
                <w:b/>
                <w:sz w:val="20"/>
                <w:szCs w:val="20"/>
              </w:rPr>
              <w:t>View Mode</w:t>
            </w:r>
          </w:p>
        </w:tc>
        <w:tc>
          <w:tcPr>
            <w:tcW w:w="2478" w:type="dxa"/>
            <w:tcBorders>
              <w:top w:val="single" w:sz="4" w:space="0" w:color="auto"/>
              <w:bottom w:val="single" w:sz="4" w:space="0" w:color="auto"/>
            </w:tcBorders>
          </w:tcPr>
          <w:p w14:paraId="4D8B5CCB" w14:textId="77777777" w:rsidR="00765770" w:rsidRPr="008A6589" w:rsidRDefault="00765770" w:rsidP="00395F34">
            <w:pPr>
              <w:spacing w:after="0" w:line="480" w:lineRule="auto"/>
              <w:jc w:val="center"/>
              <w:rPr>
                <w:rFonts w:ascii="Cambria" w:hAnsi="Cambria"/>
                <w:b/>
                <w:sz w:val="20"/>
                <w:szCs w:val="20"/>
              </w:rPr>
            </w:pPr>
            <w:r w:rsidRPr="008A6589">
              <w:rPr>
                <w:rFonts w:ascii="Cambria" w:hAnsi="Cambria"/>
                <w:b/>
                <w:sz w:val="20"/>
                <w:szCs w:val="20"/>
              </w:rPr>
              <w:t>Closeness of agreement</w:t>
            </w:r>
          </w:p>
        </w:tc>
        <w:tc>
          <w:tcPr>
            <w:tcW w:w="1401" w:type="dxa"/>
            <w:tcBorders>
              <w:top w:val="single" w:sz="4" w:space="0" w:color="auto"/>
              <w:bottom w:val="single" w:sz="4" w:space="0" w:color="auto"/>
            </w:tcBorders>
          </w:tcPr>
          <w:p w14:paraId="7673C3F1" w14:textId="4947A53C" w:rsidR="00765770" w:rsidRPr="008A6589" w:rsidRDefault="00765770" w:rsidP="00395F34">
            <w:pPr>
              <w:spacing w:after="0" w:line="480" w:lineRule="auto"/>
              <w:jc w:val="center"/>
              <w:rPr>
                <w:rFonts w:ascii="Cambria" w:hAnsi="Cambria"/>
                <w:b/>
                <w:sz w:val="20"/>
                <w:szCs w:val="20"/>
              </w:rPr>
            </w:pPr>
            <w:r w:rsidRPr="008A6589">
              <w:rPr>
                <w:rFonts w:ascii="Cambria" w:hAnsi="Cambria"/>
                <w:b/>
                <w:sz w:val="20"/>
                <w:szCs w:val="20"/>
              </w:rPr>
              <w:t>LOD (</w:t>
            </w:r>
            <w:r w:rsidR="009C10FC" w:rsidRPr="008A6589">
              <w:rPr>
                <w:rFonts w:ascii="Symbol" w:hAnsi="Symbol"/>
                <w:b/>
                <w:sz w:val="20"/>
                <w:szCs w:val="20"/>
              </w:rPr>
              <w:t></w:t>
            </w:r>
            <w:r w:rsidR="009C10FC" w:rsidRPr="008A6589">
              <w:rPr>
                <w:rFonts w:ascii="Cambria" w:hAnsi="Cambria"/>
                <w:b/>
                <w:sz w:val="20"/>
                <w:szCs w:val="20"/>
              </w:rPr>
              <w:t>g</w:t>
            </w:r>
            <w:r w:rsidRPr="008A6589">
              <w:rPr>
                <w:rFonts w:ascii="Cambria" w:hAnsi="Cambria"/>
                <w:b/>
                <w:sz w:val="20"/>
                <w:szCs w:val="20"/>
              </w:rPr>
              <w:t>/L)</w:t>
            </w:r>
          </w:p>
        </w:tc>
        <w:tc>
          <w:tcPr>
            <w:tcW w:w="1401" w:type="dxa"/>
            <w:tcBorders>
              <w:top w:val="single" w:sz="4" w:space="0" w:color="auto"/>
              <w:bottom w:val="single" w:sz="4" w:space="0" w:color="auto"/>
            </w:tcBorders>
          </w:tcPr>
          <w:p w14:paraId="5230D97A" w14:textId="7E777EC7" w:rsidR="00765770" w:rsidRPr="008A6589" w:rsidRDefault="00765770" w:rsidP="00395F34">
            <w:pPr>
              <w:spacing w:after="0" w:line="480" w:lineRule="auto"/>
              <w:jc w:val="center"/>
              <w:rPr>
                <w:rFonts w:ascii="Cambria" w:hAnsi="Cambria"/>
                <w:b/>
                <w:sz w:val="20"/>
                <w:szCs w:val="20"/>
              </w:rPr>
            </w:pPr>
            <w:r w:rsidRPr="008A6589">
              <w:rPr>
                <w:rFonts w:ascii="Cambria" w:hAnsi="Cambria"/>
                <w:b/>
                <w:sz w:val="20"/>
                <w:szCs w:val="20"/>
              </w:rPr>
              <w:t>LOQ (</w:t>
            </w:r>
            <w:r w:rsidR="009C10FC" w:rsidRPr="008A6589">
              <w:rPr>
                <w:rFonts w:ascii="Symbol" w:hAnsi="Symbol"/>
                <w:b/>
                <w:sz w:val="20"/>
                <w:szCs w:val="20"/>
              </w:rPr>
              <w:t></w:t>
            </w:r>
            <w:r w:rsidRPr="008A6589">
              <w:rPr>
                <w:rFonts w:ascii="Cambria" w:hAnsi="Cambria"/>
                <w:b/>
                <w:sz w:val="20"/>
                <w:szCs w:val="20"/>
              </w:rPr>
              <w:t>g/L)</w:t>
            </w:r>
          </w:p>
        </w:tc>
      </w:tr>
      <w:tr w:rsidR="00765770" w:rsidRPr="00765770" w14:paraId="0A697852" w14:textId="77777777" w:rsidTr="00395F34">
        <w:tc>
          <w:tcPr>
            <w:tcW w:w="978" w:type="dxa"/>
            <w:tcBorders>
              <w:top w:val="single" w:sz="4" w:space="0" w:color="auto"/>
            </w:tcBorders>
          </w:tcPr>
          <w:p w14:paraId="17DA8515"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Al</w:t>
            </w:r>
          </w:p>
        </w:tc>
        <w:tc>
          <w:tcPr>
            <w:tcW w:w="2023" w:type="dxa"/>
            <w:tcBorders>
              <w:top w:val="single" w:sz="4" w:space="0" w:color="auto"/>
            </w:tcBorders>
          </w:tcPr>
          <w:p w14:paraId="35302B74"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308.215</w:t>
            </w:r>
          </w:p>
        </w:tc>
        <w:tc>
          <w:tcPr>
            <w:tcW w:w="1350" w:type="dxa"/>
            <w:tcBorders>
              <w:top w:val="single" w:sz="4" w:space="0" w:color="auto"/>
            </w:tcBorders>
          </w:tcPr>
          <w:p w14:paraId="13FFDD28"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Axial</w:t>
            </w:r>
          </w:p>
        </w:tc>
        <w:tc>
          <w:tcPr>
            <w:tcW w:w="2478" w:type="dxa"/>
            <w:tcBorders>
              <w:top w:val="single" w:sz="4" w:space="0" w:color="auto"/>
            </w:tcBorders>
          </w:tcPr>
          <w:p w14:paraId="59D3FD1B"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3.8%</w:t>
            </w:r>
          </w:p>
        </w:tc>
        <w:tc>
          <w:tcPr>
            <w:tcW w:w="1401" w:type="dxa"/>
            <w:tcBorders>
              <w:top w:val="single" w:sz="4" w:space="0" w:color="auto"/>
            </w:tcBorders>
          </w:tcPr>
          <w:p w14:paraId="34A1C9C7"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7</w:t>
            </w:r>
          </w:p>
        </w:tc>
        <w:tc>
          <w:tcPr>
            <w:tcW w:w="1401" w:type="dxa"/>
            <w:tcBorders>
              <w:top w:val="single" w:sz="4" w:space="0" w:color="auto"/>
            </w:tcBorders>
          </w:tcPr>
          <w:p w14:paraId="3DC6B062"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23</w:t>
            </w:r>
          </w:p>
        </w:tc>
      </w:tr>
      <w:tr w:rsidR="00765770" w:rsidRPr="00765770" w14:paraId="2CA5E0FB" w14:textId="77777777" w:rsidTr="00395F34">
        <w:tc>
          <w:tcPr>
            <w:tcW w:w="978" w:type="dxa"/>
          </w:tcPr>
          <w:p w14:paraId="0B3997AB"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Ca</w:t>
            </w:r>
          </w:p>
        </w:tc>
        <w:tc>
          <w:tcPr>
            <w:tcW w:w="2023" w:type="dxa"/>
          </w:tcPr>
          <w:p w14:paraId="3B7C1F3D"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317.993</w:t>
            </w:r>
          </w:p>
        </w:tc>
        <w:tc>
          <w:tcPr>
            <w:tcW w:w="1350" w:type="dxa"/>
          </w:tcPr>
          <w:p w14:paraId="23C72FC5"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Axial</w:t>
            </w:r>
          </w:p>
        </w:tc>
        <w:tc>
          <w:tcPr>
            <w:tcW w:w="2478" w:type="dxa"/>
          </w:tcPr>
          <w:p w14:paraId="2B804C6B"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3.9%</w:t>
            </w:r>
          </w:p>
        </w:tc>
        <w:tc>
          <w:tcPr>
            <w:tcW w:w="1401" w:type="dxa"/>
          </w:tcPr>
          <w:p w14:paraId="74007305"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4</w:t>
            </w:r>
          </w:p>
        </w:tc>
        <w:tc>
          <w:tcPr>
            <w:tcW w:w="1401" w:type="dxa"/>
          </w:tcPr>
          <w:p w14:paraId="504971F7"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13</w:t>
            </w:r>
          </w:p>
        </w:tc>
      </w:tr>
      <w:tr w:rsidR="00765770" w:rsidRPr="00765770" w14:paraId="2C7D691C" w14:textId="77777777" w:rsidTr="00395F34">
        <w:tc>
          <w:tcPr>
            <w:tcW w:w="978" w:type="dxa"/>
          </w:tcPr>
          <w:p w14:paraId="5503D707"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Fe</w:t>
            </w:r>
          </w:p>
        </w:tc>
        <w:tc>
          <w:tcPr>
            <w:tcW w:w="2023" w:type="dxa"/>
          </w:tcPr>
          <w:p w14:paraId="0F5D1145"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259.940</w:t>
            </w:r>
          </w:p>
        </w:tc>
        <w:tc>
          <w:tcPr>
            <w:tcW w:w="1350" w:type="dxa"/>
          </w:tcPr>
          <w:p w14:paraId="006C42DC"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Axial</w:t>
            </w:r>
          </w:p>
        </w:tc>
        <w:tc>
          <w:tcPr>
            <w:tcW w:w="2478" w:type="dxa"/>
          </w:tcPr>
          <w:p w14:paraId="544DADA4"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0.08%</w:t>
            </w:r>
          </w:p>
        </w:tc>
        <w:tc>
          <w:tcPr>
            <w:tcW w:w="1401" w:type="dxa"/>
          </w:tcPr>
          <w:p w14:paraId="430B3D81"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0.2</w:t>
            </w:r>
          </w:p>
        </w:tc>
        <w:tc>
          <w:tcPr>
            <w:tcW w:w="1401" w:type="dxa"/>
          </w:tcPr>
          <w:p w14:paraId="21434366"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0.7</w:t>
            </w:r>
          </w:p>
        </w:tc>
      </w:tr>
      <w:tr w:rsidR="00765770" w:rsidRPr="00765770" w14:paraId="122192BC" w14:textId="77777777" w:rsidTr="00395F34">
        <w:tc>
          <w:tcPr>
            <w:tcW w:w="978" w:type="dxa"/>
          </w:tcPr>
          <w:p w14:paraId="623634D5"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K</w:t>
            </w:r>
          </w:p>
        </w:tc>
        <w:tc>
          <w:tcPr>
            <w:tcW w:w="2023" w:type="dxa"/>
          </w:tcPr>
          <w:p w14:paraId="0CD457A8" w14:textId="7777777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769.896</w:t>
            </w:r>
          </w:p>
        </w:tc>
        <w:tc>
          <w:tcPr>
            <w:tcW w:w="1350" w:type="dxa"/>
          </w:tcPr>
          <w:p w14:paraId="49338300" w14:textId="0C51D907"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Radial</w:t>
            </w:r>
          </w:p>
        </w:tc>
        <w:tc>
          <w:tcPr>
            <w:tcW w:w="2478" w:type="dxa"/>
          </w:tcPr>
          <w:p w14:paraId="58356EF7" w14:textId="34AB4EFE"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0.5%</w:t>
            </w:r>
          </w:p>
        </w:tc>
        <w:tc>
          <w:tcPr>
            <w:tcW w:w="1401" w:type="dxa"/>
          </w:tcPr>
          <w:p w14:paraId="14EEDD03" w14:textId="7657BD31"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143</w:t>
            </w:r>
          </w:p>
        </w:tc>
        <w:tc>
          <w:tcPr>
            <w:tcW w:w="1401" w:type="dxa"/>
          </w:tcPr>
          <w:p w14:paraId="2AA1896B" w14:textId="08E0CA86" w:rsidR="00765770" w:rsidRPr="008A6589" w:rsidRDefault="00765770" w:rsidP="00395F34">
            <w:pPr>
              <w:spacing w:after="0" w:line="480" w:lineRule="auto"/>
              <w:jc w:val="center"/>
              <w:rPr>
                <w:rFonts w:ascii="Cambria" w:hAnsi="Cambria"/>
                <w:sz w:val="20"/>
                <w:szCs w:val="20"/>
              </w:rPr>
            </w:pPr>
            <w:r w:rsidRPr="008A6589">
              <w:rPr>
                <w:rFonts w:ascii="Cambria" w:hAnsi="Cambria"/>
                <w:sz w:val="20"/>
                <w:szCs w:val="20"/>
              </w:rPr>
              <w:t>476</w:t>
            </w:r>
          </w:p>
        </w:tc>
      </w:tr>
    </w:tbl>
    <w:p w14:paraId="5FA8D886" w14:textId="77777777" w:rsidR="00553285" w:rsidRPr="002408ED" w:rsidRDefault="00553285" w:rsidP="008A6589">
      <w:pPr>
        <w:keepNext/>
        <w:keepLines/>
        <w:spacing w:after="0" w:line="480" w:lineRule="auto"/>
        <w:rPr>
          <w:rFonts w:ascii="Cambria" w:eastAsia="Cambria" w:hAnsi="Cambria" w:cs="Cambria"/>
          <w:bCs/>
          <w:sz w:val="20"/>
          <w:szCs w:val="20"/>
          <w:lang w:val="sl-SI"/>
        </w:rPr>
      </w:pPr>
    </w:p>
    <w:sectPr w:rsidR="00553285" w:rsidRPr="002408ED" w:rsidSect="005045AE">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89A933" w14:textId="77777777" w:rsidR="008A6589" w:rsidRDefault="008A6589" w:rsidP="00785AA0">
      <w:pPr>
        <w:spacing w:after="0" w:line="240" w:lineRule="auto"/>
      </w:pPr>
      <w:r>
        <w:separator/>
      </w:r>
    </w:p>
  </w:endnote>
  <w:endnote w:type="continuationSeparator" w:id="0">
    <w:p w14:paraId="4E09460C" w14:textId="77777777" w:rsidR="008A6589" w:rsidRDefault="008A6589" w:rsidP="00785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4DD74" w14:textId="77777777" w:rsidR="008A6589" w:rsidRDefault="008A6589" w:rsidP="00785AA0">
      <w:pPr>
        <w:spacing w:after="0" w:line="240" w:lineRule="auto"/>
      </w:pPr>
      <w:r>
        <w:separator/>
      </w:r>
    </w:p>
  </w:footnote>
  <w:footnote w:type="continuationSeparator" w:id="0">
    <w:p w14:paraId="4A232393" w14:textId="77777777" w:rsidR="008A6589" w:rsidRDefault="008A6589" w:rsidP="00785AA0">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rancesco Caruso">
    <w15:presenceInfo w15:providerId="Windows Live" w15:userId="cc2a7af50e2fe99f"/>
  </w15:person>
  <w15:person w15:author="Sara Mantellato">
    <w15:presenceInfo w15:providerId="None" w15:userId="Sara Mantellat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AA0"/>
    <w:rsid w:val="00031EED"/>
    <w:rsid w:val="000D5AAA"/>
    <w:rsid w:val="000E02C8"/>
    <w:rsid w:val="00155BF9"/>
    <w:rsid w:val="00160DEC"/>
    <w:rsid w:val="002408ED"/>
    <w:rsid w:val="002927C4"/>
    <w:rsid w:val="0033286D"/>
    <w:rsid w:val="00395F34"/>
    <w:rsid w:val="004E399B"/>
    <w:rsid w:val="004E3F11"/>
    <w:rsid w:val="005045AE"/>
    <w:rsid w:val="00553285"/>
    <w:rsid w:val="005B1201"/>
    <w:rsid w:val="005F462B"/>
    <w:rsid w:val="00604964"/>
    <w:rsid w:val="00634BA5"/>
    <w:rsid w:val="00647979"/>
    <w:rsid w:val="006603D0"/>
    <w:rsid w:val="006A0AEE"/>
    <w:rsid w:val="00727DEF"/>
    <w:rsid w:val="00755F22"/>
    <w:rsid w:val="00765770"/>
    <w:rsid w:val="00785AA0"/>
    <w:rsid w:val="008A6589"/>
    <w:rsid w:val="0091067C"/>
    <w:rsid w:val="009C10FC"/>
    <w:rsid w:val="00C54EAE"/>
    <w:rsid w:val="00C859EB"/>
    <w:rsid w:val="00E15165"/>
    <w:rsid w:val="00F8668D"/>
    <w:rsid w:val="00FE44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E40062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0"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AA0"/>
    <w:pPr>
      <w:spacing w:after="200" w:line="276" w:lineRule="auto"/>
    </w:pPr>
    <w:rPr>
      <w:rFonts w:asciiTheme="majorHAnsi" w:hAnsiTheme="majorHAnsi"/>
      <w:sz w:val="22"/>
      <w:szCs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85A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5AA0"/>
    <w:rPr>
      <w:rFonts w:asciiTheme="majorHAnsi" w:hAnsiTheme="majorHAnsi"/>
      <w:sz w:val="20"/>
      <w:szCs w:val="20"/>
      <w:lang w:val="en-GB" w:eastAsia="zh-CN"/>
    </w:rPr>
  </w:style>
  <w:style w:type="character" w:styleId="FootnoteReference">
    <w:name w:val="footnote reference"/>
    <w:basedOn w:val="DefaultParagraphFont"/>
    <w:uiPriority w:val="99"/>
    <w:semiHidden/>
    <w:unhideWhenUsed/>
    <w:rsid w:val="00785AA0"/>
    <w:rPr>
      <w:vertAlign w:val="superscript"/>
    </w:rPr>
  </w:style>
  <w:style w:type="paragraph" w:styleId="BalloonText">
    <w:name w:val="Balloon Text"/>
    <w:basedOn w:val="Normal"/>
    <w:link w:val="BalloonTextChar"/>
    <w:uiPriority w:val="99"/>
    <w:semiHidden/>
    <w:unhideWhenUsed/>
    <w:rsid w:val="006603D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03D0"/>
    <w:rPr>
      <w:rFonts w:ascii="Lucida Grande" w:hAnsi="Lucida Grande" w:cs="Lucida Grande"/>
      <w:sz w:val="18"/>
      <w:szCs w:val="18"/>
      <w:lang w:val="en-GB" w:eastAsia="zh-CN"/>
    </w:rPr>
  </w:style>
  <w:style w:type="table" w:styleId="TableGrid">
    <w:name w:val="Table Grid"/>
    <w:basedOn w:val="TableNormal"/>
    <w:rsid w:val="00765770"/>
    <w:rPr>
      <w:rFonts w:ascii="Times New Roman" w:hAnsi="Times New Roman"/>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E399B"/>
    <w:rPr>
      <w:sz w:val="16"/>
      <w:szCs w:val="16"/>
    </w:rPr>
  </w:style>
  <w:style w:type="paragraph" w:styleId="CommentText">
    <w:name w:val="annotation text"/>
    <w:basedOn w:val="Normal"/>
    <w:link w:val="CommentTextChar"/>
    <w:uiPriority w:val="99"/>
    <w:semiHidden/>
    <w:unhideWhenUsed/>
    <w:rsid w:val="004E399B"/>
    <w:pPr>
      <w:spacing w:line="240" w:lineRule="auto"/>
    </w:pPr>
    <w:rPr>
      <w:sz w:val="20"/>
      <w:szCs w:val="20"/>
    </w:rPr>
  </w:style>
  <w:style w:type="character" w:customStyle="1" w:styleId="CommentTextChar">
    <w:name w:val="Comment Text Char"/>
    <w:basedOn w:val="DefaultParagraphFont"/>
    <w:link w:val="CommentText"/>
    <w:uiPriority w:val="99"/>
    <w:semiHidden/>
    <w:rsid w:val="004E399B"/>
    <w:rPr>
      <w:rFonts w:asciiTheme="majorHAnsi" w:hAnsiTheme="majorHAnsi"/>
      <w:sz w:val="20"/>
      <w:szCs w:val="20"/>
      <w:lang w:val="en-GB" w:eastAsia="zh-CN"/>
    </w:rPr>
  </w:style>
  <w:style w:type="paragraph" w:styleId="CommentSubject">
    <w:name w:val="annotation subject"/>
    <w:basedOn w:val="CommentText"/>
    <w:next w:val="CommentText"/>
    <w:link w:val="CommentSubjectChar"/>
    <w:uiPriority w:val="99"/>
    <w:semiHidden/>
    <w:unhideWhenUsed/>
    <w:rsid w:val="004E399B"/>
    <w:rPr>
      <w:b/>
      <w:bCs/>
    </w:rPr>
  </w:style>
  <w:style w:type="character" w:customStyle="1" w:styleId="CommentSubjectChar">
    <w:name w:val="Comment Subject Char"/>
    <w:basedOn w:val="CommentTextChar"/>
    <w:link w:val="CommentSubject"/>
    <w:uiPriority w:val="99"/>
    <w:semiHidden/>
    <w:rsid w:val="004E399B"/>
    <w:rPr>
      <w:rFonts w:asciiTheme="majorHAnsi" w:hAnsiTheme="majorHAnsi"/>
      <w:b/>
      <w:bCs/>
      <w:sz w:val="20"/>
      <w:szCs w:val="20"/>
      <w:lang w:val="en-GB"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0"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AA0"/>
    <w:pPr>
      <w:spacing w:after="200" w:line="276" w:lineRule="auto"/>
    </w:pPr>
    <w:rPr>
      <w:rFonts w:asciiTheme="majorHAnsi" w:hAnsiTheme="majorHAnsi"/>
      <w:sz w:val="22"/>
      <w:szCs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85A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5AA0"/>
    <w:rPr>
      <w:rFonts w:asciiTheme="majorHAnsi" w:hAnsiTheme="majorHAnsi"/>
      <w:sz w:val="20"/>
      <w:szCs w:val="20"/>
      <w:lang w:val="en-GB" w:eastAsia="zh-CN"/>
    </w:rPr>
  </w:style>
  <w:style w:type="character" w:styleId="FootnoteReference">
    <w:name w:val="footnote reference"/>
    <w:basedOn w:val="DefaultParagraphFont"/>
    <w:uiPriority w:val="99"/>
    <w:semiHidden/>
    <w:unhideWhenUsed/>
    <w:rsid w:val="00785AA0"/>
    <w:rPr>
      <w:vertAlign w:val="superscript"/>
    </w:rPr>
  </w:style>
  <w:style w:type="paragraph" w:styleId="BalloonText">
    <w:name w:val="Balloon Text"/>
    <w:basedOn w:val="Normal"/>
    <w:link w:val="BalloonTextChar"/>
    <w:uiPriority w:val="99"/>
    <w:semiHidden/>
    <w:unhideWhenUsed/>
    <w:rsid w:val="006603D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03D0"/>
    <w:rPr>
      <w:rFonts w:ascii="Lucida Grande" w:hAnsi="Lucida Grande" w:cs="Lucida Grande"/>
      <w:sz w:val="18"/>
      <w:szCs w:val="18"/>
      <w:lang w:val="en-GB" w:eastAsia="zh-CN"/>
    </w:rPr>
  </w:style>
  <w:style w:type="table" w:styleId="TableGrid">
    <w:name w:val="Table Grid"/>
    <w:basedOn w:val="TableNormal"/>
    <w:rsid w:val="00765770"/>
    <w:rPr>
      <w:rFonts w:ascii="Times New Roman" w:hAnsi="Times New Roman"/>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E399B"/>
    <w:rPr>
      <w:sz w:val="16"/>
      <w:szCs w:val="16"/>
    </w:rPr>
  </w:style>
  <w:style w:type="paragraph" w:styleId="CommentText">
    <w:name w:val="annotation text"/>
    <w:basedOn w:val="Normal"/>
    <w:link w:val="CommentTextChar"/>
    <w:uiPriority w:val="99"/>
    <w:semiHidden/>
    <w:unhideWhenUsed/>
    <w:rsid w:val="004E399B"/>
    <w:pPr>
      <w:spacing w:line="240" w:lineRule="auto"/>
    </w:pPr>
    <w:rPr>
      <w:sz w:val="20"/>
      <w:szCs w:val="20"/>
    </w:rPr>
  </w:style>
  <w:style w:type="character" w:customStyle="1" w:styleId="CommentTextChar">
    <w:name w:val="Comment Text Char"/>
    <w:basedOn w:val="DefaultParagraphFont"/>
    <w:link w:val="CommentText"/>
    <w:uiPriority w:val="99"/>
    <w:semiHidden/>
    <w:rsid w:val="004E399B"/>
    <w:rPr>
      <w:rFonts w:asciiTheme="majorHAnsi" w:hAnsiTheme="majorHAnsi"/>
      <w:sz w:val="20"/>
      <w:szCs w:val="20"/>
      <w:lang w:val="en-GB" w:eastAsia="zh-CN"/>
    </w:rPr>
  </w:style>
  <w:style w:type="paragraph" w:styleId="CommentSubject">
    <w:name w:val="annotation subject"/>
    <w:basedOn w:val="CommentText"/>
    <w:next w:val="CommentText"/>
    <w:link w:val="CommentSubjectChar"/>
    <w:uiPriority w:val="99"/>
    <w:semiHidden/>
    <w:unhideWhenUsed/>
    <w:rsid w:val="004E399B"/>
    <w:rPr>
      <w:b/>
      <w:bCs/>
    </w:rPr>
  </w:style>
  <w:style w:type="character" w:customStyle="1" w:styleId="CommentSubjectChar">
    <w:name w:val="Comment Subject Char"/>
    <w:basedOn w:val="CommentTextChar"/>
    <w:link w:val="CommentSubject"/>
    <w:uiPriority w:val="99"/>
    <w:semiHidden/>
    <w:rsid w:val="004E399B"/>
    <w:rPr>
      <w:rFonts w:asciiTheme="majorHAnsi" w:hAnsiTheme="majorHAnsi"/>
      <w:b/>
      <w:bCs/>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1"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439</Words>
  <Characters>2505</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dc:creator>
  <cp:keywords/>
  <dc:description/>
  <cp:lastModifiedBy>Caitlin</cp:lastModifiedBy>
  <cp:revision>2</cp:revision>
  <dcterms:created xsi:type="dcterms:W3CDTF">2020-03-24T04:58:00Z</dcterms:created>
  <dcterms:modified xsi:type="dcterms:W3CDTF">2020-03-24T04:58:00Z</dcterms:modified>
</cp:coreProperties>
</file>