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3B8" w:rsidRPr="009870FC" w:rsidRDefault="009870FC">
      <w:pPr>
        <w:spacing w:after="83"/>
        <w:ind w:left="72" w:right="11808"/>
        <w:rPr>
          <w:lang w:val="en-US"/>
        </w:rPr>
      </w:pPr>
      <w:bookmarkStart w:id="0" w:name="_GoBack"/>
      <w:bookmarkEnd w:id="0"/>
      <w:r w:rsidRPr="009870FC">
        <w:rPr>
          <w:b/>
          <w:lang w:val="en-US"/>
        </w:rPr>
        <w:t>Summary of findings:</w:t>
      </w:r>
    </w:p>
    <w:p w:rsidR="004603B8" w:rsidRPr="009870FC" w:rsidRDefault="009870FC">
      <w:pPr>
        <w:pStyle w:val="1"/>
        <w:rPr>
          <w:lang w:val="en-US"/>
        </w:rPr>
      </w:pPr>
      <w:r w:rsidRPr="009870FC">
        <w:rPr>
          <w:lang w:val="en-US"/>
        </w:rPr>
        <w:t>Invisalign compared in groups of different treatment modalities or divergent severity of crowding</w:t>
      </w:r>
    </w:p>
    <w:p w:rsidR="004603B8" w:rsidRDefault="009870FC">
      <w:pPr>
        <w:spacing w:after="102"/>
        <w:ind w:left="0" w:right="-1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9680398" cy="19517"/>
                <wp:effectExtent l="0" t="0" r="0" b="0"/>
                <wp:docPr id="1872" name="Group 1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0398" cy="19517"/>
                          <a:chOff x="0" y="0"/>
                          <a:chExt cx="9680398" cy="19517"/>
                        </a:xfrm>
                      </wpg:grpSpPr>
                      <wps:wsp>
                        <wps:cNvPr id="2121" name="Shape 2121"/>
                        <wps:cNvSpPr/>
                        <wps:spPr>
                          <a:xfrm>
                            <a:off x="0" y="0"/>
                            <a:ext cx="9680398" cy="19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0398" h="19517">
                                <a:moveTo>
                                  <a:pt x="0" y="0"/>
                                </a:moveTo>
                                <a:lnTo>
                                  <a:pt x="9680398" y="0"/>
                                </a:lnTo>
                                <a:lnTo>
                                  <a:pt x="9680398" y="19517"/>
                                </a:lnTo>
                                <a:lnTo>
                                  <a:pt x="0" y="19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72" style="width:762.236pt;height:1.53676pt;mso-position-horizontal-relative:char;mso-position-vertical-relative:line" coordsize="96803,195">
                <v:shape id="Shape 2122" style="position:absolute;width:96803;height:195;left:0;top:0;" coordsize="9680398,19517" path="m0,0l9680398,0l9680398,19517l0,1951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603B8" w:rsidRPr="009870FC" w:rsidRDefault="009870FC">
      <w:pPr>
        <w:spacing w:after="0"/>
        <w:ind w:left="72" w:right="11808"/>
        <w:rPr>
          <w:lang w:val="en-US"/>
        </w:rPr>
      </w:pPr>
      <w:r w:rsidRPr="009870FC">
        <w:rPr>
          <w:b/>
          <w:lang w:val="en-US"/>
        </w:rPr>
        <w:t>Patient or population</w:t>
      </w:r>
      <w:r w:rsidRPr="009870FC">
        <w:rPr>
          <w:lang w:val="en-US"/>
        </w:rPr>
        <w:t xml:space="preserve">: adults </w:t>
      </w:r>
      <w:r w:rsidRPr="009870FC">
        <w:rPr>
          <w:b/>
          <w:lang w:val="en-US"/>
        </w:rPr>
        <w:t>Setting</w:t>
      </w:r>
      <w:r w:rsidRPr="009870FC">
        <w:rPr>
          <w:lang w:val="en-US"/>
        </w:rPr>
        <w:t>:</w:t>
      </w:r>
    </w:p>
    <w:p w:rsidR="004603B8" w:rsidRDefault="009870FC">
      <w:pPr>
        <w:spacing w:after="0"/>
        <w:ind w:left="72" w:right="11808"/>
      </w:pPr>
      <w:r>
        <w:rPr>
          <w:b/>
        </w:rPr>
        <w:t>Intervention</w:t>
      </w:r>
      <w:r>
        <w:t xml:space="preserve">: Invisalign </w:t>
      </w:r>
      <w:r>
        <w:rPr>
          <w:b/>
        </w:rPr>
        <w:t>Comparison</w:t>
      </w:r>
      <w:r>
        <w:t>:</w:t>
      </w:r>
    </w:p>
    <w:tbl>
      <w:tblPr>
        <w:tblStyle w:val="TableGrid"/>
        <w:tblW w:w="15250" w:type="dxa"/>
        <w:tblInd w:w="0" w:type="dxa"/>
        <w:tblCellMar>
          <w:top w:w="0" w:type="dxa"/>
          <w:left w:w="0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6631"/>
        <w:gridCol w:w="69"/>
        <w:gridCol w:w="5417"/>
        <w:gridCol w:w="69"/>
        <w:gridCol w:w="1760"/>
        <w:gridCol w:w="69"/>
        <w:gridCol w:w="1235"/>
      </w:tblGrid>
      <w:tr w:rsidR="004603B8" w:rsidRPr="009870FC">
        <w:trPr>
          <w:trHeight w:val="776"/>
        </w:trPr>
        <w:tc>
          <w:tcPr>
            <w:tcW w:w="66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EFEFEF"/>
            </w:tcBorders>
            <w:shd w:val="clear" w:color="auto" w:fill="3271AA"/>
          </w:tcPr>
          <w:p w:rsidR="004603B8" w:rsidRDefault="009870FC">
            <w:pPr>
              <w:spacing w:after="0"/>
              <w:ind w:left="0" w:firstLine="0"/>
            </w:pPr>
            <w:r>
              <w:rPr>
                <w:color w:val="FFFFFF"/>
              </w:rPr>
              <w:t>Outcomes</w:t>
            </w:r>
          </w:p>
        </w:tc>
        <w:tc>
          <w:tcPr>
            <w:tcW w:w="5486" w:type="dxa"/>
            <w:gridSpan w:val="2"/>
            <w:tcBorders>
              <w:top w:val="single" w:sz="12" w:space="0" w:color="000000"/>
              <w:left w:val="single" w:sz="6" w:space="0" w:color="EFEFEF"/>
              <w:bottom w:val="single" w:sz="12" w:space="0" w:color="000000"/>
              <w:right w:val="single" w:sz="6" w:space="0" w:color="EFEFEF"/>
            </w:tcBorders>
            <w:shd w:val="clear" w:color="auto" w:fill="3271AA"/>
          </w:tcPr>
          <w:p w:rsidR="004603B8" w:rsidRDefault="009870FC">
            <w:pPr>
              <w:spacing w:after="0"/>
              <w:ind w:left="8" w:firstLine="0"/>
            </w:pPr>
            <w:r>
              <w:rPr>
                <w:color w:val="FFFFFF"/>
              </w:rPr>
              <w:t>Impact</w:t>
            </w:r>
          </w:p>
        </w:tc>
        <w:tc>
          <w:tcPr>
            <w:tcW w:w="1829" w:type="dxa"/>
            <w:gridSpan w:val="2"/>
            <w:tcBorders>
              <w:top w:val="single" w:sz="12" w:space="0" w:color="000000"/>
              <w:left w:val="single" w:sz="6" w:space="0" w:color="EFEFEF"/>
              <w:bottom w:val="single" w:sz="12" w:space="0" w:color="000000"/>
              <w:right w:val="single" w:sz="6" w:space="0" w:color="EFEFEF"/>
            </w:tcBorders>
            <w:shd w:val="clear" w:color="auto" w:fill="3271AA"/>
          </w:tcPr>
          <w:p w:rsidR="004603B8" w:rsidRDefault="009870FC">
            <w:pPr>
              <w:spacing w:after="0"/>
              <w:ind w:left="8" w:firstLine="0"/>
            </w:pPr>
            <w:r>
              <w:rPr>
                <w:color w:val="FFFFFF"/>
              </w:rPr>
              <w:t xml:space="preserve">№ of participants </w:t>
            </w:r>
          </w:p>
          <w:p w:rsidR="004603B8" w:rsidRDefault="009870FC">
            <w:pPr>
              <w:spacing w:after="0"/>
              <w:ind w:left="8" w:firstLine="0"/>
            </w:pPr>
            <w:r>
              <w:rPr>
                <w:color w:val="FFFFFF"/>
              </w:rPr>
              <w:t>(studies)</w:t>
            </w:r>
          </w:p>
        </w:tc>
        <w:tc>
          <w:tcPr>
            <w:tcW w:w="1304" w:type="dxa"/>
            <w:gridSpan w:val="2"/>
            <w:tcBorders>
              <w:top w:val="single" w:sz="12" w:space="0" w:color="000000"/>
              <w:left w:val="single" w:sz="6" w:space="0" w:color="EFEFEF"/>
              <w:bottom w:val="single" w:sz="12" w:space="0" w:color="000000"/>
              <w:right w:val="single" w:sz="6" w:space="0" w:color="EFEFEF"/>
            </w:tcBorders>
            <w:shd w:val="clear" w:color="auto" w:fill="3271AA"/>
          </w:tcPr>
          <w:p w:rsidR="004603B8" w:rsidRPr="009870FC" w:rsidRDefault="009870FC">
            <w:pPr>
              <w:spacing w:after="0"/>
              <w:ind w:left="8" w:firstLine="0"/>
              <w:jc w:val="both"/>
              <w:rPr>
                <w:lang w:val="en-US"/>
              </w:rPr>
            </w:pPr>
            <w:r w:rsidRPr="009870FC">
              <w:rPr>
                <w:color w:val="FFFFFF"/>
                <w:lang w:val="en-US"/>
              </w:rPr>
              <w:t>Certainty of the evidence (GRADE)</w:t>
            </w:r>
          </w:p>
        </w:tc>
      </w:tr>
      <w:tr w:rsidR="004603B8" w:rsidRPr="009870FC">
        <w:trPr>
          <w:trHeight w:val="720"/>
        </w:trPr>
        <w:tc>
          <w:tcPr>
            <w:tcW w:w="670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4603B8" w:rsidRPr="009870FC" w:rsidRDefault="009870FC">
            <w:pPr>
              <w:spacing w:after="0"/>
              <w:ind w:left="77" w:right="1084" w:firstLine="0"/>
              <w:rPr>
                <w:lang w:val="en-US"/>
              </w:rPr>
            </w:pPr>
            <w:r w:rsidRPr="009870FC">
              <w:rPr>
                <w:sz w:val="18"/>
                <w:lang w:val="en-US"/>
              </w:rPr>
              <w:t>Treatment in mild to moderate malocclusions assessed with: pre and post treatment records</w:t>
            </w:r>
          </w:p>
        </w:tc>
        <w:tc>
          <w:tcPr>
            <w:tcW w:w="548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4603B8" w:rsidRPr="009870FC" w:rsidRDefault="009870FC">
            <w:pPr>
              <w:spacing w:after="0"/>
              <w:ind w:left="0" w:firstLine="0"/>
              <w:rPr>
                <w:lang w:val="en-US"/>
              </w:rPr>
            </w:pPr>
            <w:r w:rsidRPr="009870FC">
              <w:rPr>
                <w:lang w:val="en-US"/>
              </w:rPr>
              <w:t>One study reported limited compliance in extraction cases. Two studies reported faster completion of treatment with aligners when the malocclusion was mild to moderate.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4603B8" w:rsidRDefault="009870FC">
            <w:pPr>
              <w:spacing w:after="0"/>
              <w:ind w:left="0" w:firstLine="0"/>
            </w:pPr>
            <w:r>
              <w:t>91</w:t>
            </w:r>
          </w:p>
          <w:p w:rsidR="004603B8" w:rsidRDefault="009870FC">
            <w:pPr>
              <w:spacing w:after="0"/>
              <w:ind w:left="0" w:firstLine="0"/>
              <w:jc w:val="both"/>
            </w:pPr>
            <w:r>
              <w:t xml:space="preserve">(3 observational studies) </w:t>
            </w:r>
            <w:r>
              <w:rPr>
                <w:sz w:val="14"/>
              </w:rPr>
              <w:t>1,2,3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4603B8" w:rsidRPr="009870FC" w:rsidRDefault="009870FC">
            <w:pPr>
              <w:spacing w:after="0"/>
              <w:ind w:left="0" w:firstLine="0"/>
              <w:rPr>
                <w:lang w:val="en-US"/>
              </w:rPr>
            </w:pPr>
            <w:r>
              <w:rPr>
                <w:sz w:val="22"/>
              </w:rPr>
              <w:t>⨁</w:t>
            </w:r>
            <w:r w:rsidRPr="009870FC">
              <w:rPr>
                <w:sz w:val="22"/>
                <w:lang w:val="en-US"/>
              </w:rPr>
              <w:t>◯◯◯</w:t>
            </w:r>
          </w:p>
          <w:p w:rsidR="004603B8" w:rsidRPr="009870FC" w:rsidRDefault="009870FC">
            <w:pPr>
              <w:spacing w:after="0"/>
              <w:ind w:left="0" w:firstLine="0"/>
              <w:rPr>
                <w:lang w:val="en-US"/>
              </w:rPr>
            </w:pPr>
            <w:r w:rsidRPr="009870FC">
              <w:rPr>
                <w:lang w:val="en-US"/>
              </w:rPr>
              <w:t>VERY LOW</w:t>
            </w:r>
          </w:p>
          <w:p w:rsidR="004603B8" w:rsidRPr="009870FC" w:rsidRDefault="009870FC">
            <w:pPr>
              <w:spacing w:after="0"/>
              <w:ind w:left="0" w:firstLine="0"/>
              <w:rPr>
                <w:lang w:val="en-US"/>
              </w:rPr>
            </w:pPr>
            <w:r w:rsidRPr="009870FC">
              <w:rPr>
                <w:sz w:val="14"/>
                <w:lang w:val="en-US"/>
              </w:rPr>
              <w:t>a,b,c,d,e</w:t>
            </w:r>
          </w:p>
        </w:tc>
      </w:tr>
      <w:tr w:rsidR="004603B8">
        <w:trPr>
          <w:trHeight w:val="822"/>
        </w:trPr>
        <w:tc>
          <w:tcPr>
            <w:tcW w:w="6700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4603B8" w:rsidRPr="009870FC" w:rsidRDefault="009870FC">
            <w:pPr>
              <w:spacing w:after="0"/>
              <w:ind w:left="77" w:firstLine="0"/>
              <w:rPr>
                <w:lang w:val="en-US"/>
              </w:rPr>
            </w:pPr>
            <w:r w:rsidRPr="009870FC">
              <w:rPr>
                <w:sz w:val="18"/>
                <w:lang w:val="en-US"/>
              </w:rPr>
              <w:t>Treatment in mild to moderate malocclusions</w:t>
            </w:r>
          </w:p>
          <w:p w:rsidR="004603B8" w:rsidRPr="009870FC" w:rsidRDefault="009870FC">
            <w:pPr>
              <w:spacing w:after="0"/>
              <w:ind w:left="77" w:firstLine="0"/>
              <w:rPr>
                <w:lang w:val="en-US"/>
              </w:rPr>
            </w:pPr>
            <w:r w:rsidRPr="009870FC">
              <w:rPr>
                <w:sz w:val="18"/>
                <w:lang w:val="en-US"/>
              </w:rPr>
              <w:t>assessed with: par score calculation, photographs and study models</w:t>
            </w:r>
          </w:p>
        </w:tc>
        <w:tc>
          <w:tcPr>
            <w:tcW w:w="5486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4603B8" w:rsidRPr="009870FC" w:rsidRDefault="009870FC">
            <w:pPr>
              <w:spacing w:after="0"/>
              <w:ind w:left="0" w:firstLine="0"/>
              <w:jc w:val="both"/>
              <w:rPr>
                <w:lang w:val="en-US"/>
              </w:rPr>
            </w:pPr>
            <w:r w:rsidRPr="009870FC">
              <w:rPr>
                <w:lang w:val="en-US"/>
              </w:rPr>
              <w:t>This study showed that there was a greater likeligood for completion of therapy for non-extraction cases with 2-week activation protocol.</w:t>
            </w:r>
          </w:p>
        </w:tc>
        <w:tc>
          <w:tcPr>
            <w:tcW w:w="1829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4603B8" w:rsidRDefault="009870FC">
            <w:pPr>
              <w:spacing w:after="0"/>
              <w:ind w:left="0" w:right="763" w:firstLine="0"/>
            </w:pPr>
            <w:r>
              <w:t>51 (1 R</w:t>
            </w:r>
            <w:r>
              <w:t xml:space="preserve">CT) </w:t>
            </w:r>
            <w:r>
              <w:rPr>
                <w:sz w:val="21"/>
                <w:vertAlign w:val="superscript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4603B8" w:rsidRDefault="009870FC">
            <w:pPr>
              <w:spacing w:after="0"/>
              <w:ind w:left="0" w:firstLine="0"/>
            </w:pPr>
            <w:r>
              <w:rPr>
                <w:sz w:val="22"/>
              </w:rPr>
              <w:t>⨁⨁⨁⨁</w:t>
            </w:r>
          </w:p>
          <w:p w:rsidR="004603B8" w:rsidRDefault="009870FC">
            <w:pPr>
              <w:spacing w:after="0"/>
              <w:ind w:left="0" w:firstLine="0"/>
            </w:pPr>
            <w:r>
              <w:t>HIGH</w:t>
            </w:r>
          </w:p>
        </w:tc>
      </w:tr>
    </w:tbl>
    <w:p w:rsidR="004603B8" w:rsidRPr="009870FC" w:rsidRDefault="009870FC">
      <w:pPr>
        <w:spacing w:after="181"/>
        <w:rPr>
          <w:lang w:val="en-US"/>
        </w:rPr>
      </w:pPr>
      <w:r w:rsidRPr="009870FC">
        <w:rPr>
          <w:lang w:val="en-US"/>
        </w:rPr>
        <w:t>*</w:t>
      </w:r>
      <w:r w:rsidRPr="009870FC">
        <w:rPr>
          <w:b/>
          <w:lang w:val="en-US"/>
        </w:rPr>
        <w:t>The risk in the intervention group</w:t>
      </w:r>
      <w:r w:rsidRPr="009870FC">
        <w:rPr>
          <w:lang w:val="en-US"/>
        </w:rPr>
        <w:t xml:space="preserve"> (and its 95% confidence interval) is based on the assumed risk in the comparison group and the </w:t>
      </w:r>
      <w:r w:rsidRPr="009870FC">
        <w:rPr>
          <w:b/>
          <w:lang w:val="en-US"/>
        </w:rPr>
        <w:t>relative effect</w:t>
      </w:r>
      <w:r w:rsidRPr="009870FC">
        <w:rPr>
          <w:lang w:val="en-US"/>
        </w:rPr>
        <w:t xml:space="preserve"> of the intervention (and its 95% CI). </w:t>
      </w:r>
    </w:p>
    <w:p w:rsidR="004603B8" w:rsidRDefault="009870FC"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505992</wp:posOffset>
                </wp:positionH>
                <wp:positionV relativeFrom="page">
                  <wp:posOffset>730438</wp:posOffset>
                </wp:positionV>
                <wp:extent cx="9680398" cy="19517"/>
                <wp:effectExtent l="0" t="0" r="0" b="0"/>
                <wp:wrapTopAndBottom/>
                <wp:docPr id="1871" name="Group 1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0398" cy="19517"/>
                          <a:chOff x="0" y="0"/>
                          <a:chExt cx="9680398" cy="19517"/>
                        </a:xfrm>
                      </wpg:grpSpPr>
                      <wps:wsp>
                        <wps:cNvPr id="2123" name="Shape 2123"/>
                        <wps:cNvSpPr/>
                        <wps:spPr>
                          <a:xfrm>
                            <a:off x="0" y="0"/>
                            <a:ext cx="9680398" cy="19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0398" h="19517">
                                <a:moveTo>
                                  <a:pt x="0" y="0"/>
                                </a:moveTo>
                                <a:lnTo>
                                  <a:pt x="9680398" y="0"/>
                                </a:lnTo>
                                <a:lnTo>
                                  <a:pt x="9680398" y="19517"/>
                                </a:lnTo>
                                <a:lnTo>
                                  <a:pt x="0" y="19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71" style="width:762.236pt;height:1.53677pt;position:absolute;mso-position-horizontal-relative:page;mso-position-horizontal:absolute;margin-left:39.8419pt;mso-position-vertical-relative:page;margin-top:57.5148pt;" coordsize="96803,195">
                <v:shape id="Shape 2124" style="position:absolute;width:96803;height:195;left:0;top:0;" coordsize="9680398,19517" path="m0,0l9680398,0l9680398,19517l0,19517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</w:rPr>
        <w:t>CI:</w:t>
      </w:r>
      <w:r>
        <w:t xml:space="preserve"> Confidence interval</w:t>
      </w:r>
    </w:p>
    <w:p w:rsidR="004603B8" w:rsidRDefault="009870FC">
      <w:pPr>
        <w:spacing w:after="102"/>
        <w:ind w:left="0" w:right="-1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9680398" cy="19517"/>
                <wp:effectExtent l="0" t="0" r="0" b="0"/>
                <wp:docPr id="1869" name="Group 1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0398" cy="19517"/>
                          <a:chOff x="0" y="0"/>
                          <a:chExt cx="9680398" cy="19517"/>
                        </a:xfrm>
                      </wpg:grpSpPr>
                      <wps:wsp>
                        <wps:cNvPr id="2125" name="Shape 2125"/>
                        <wps:cNvSpPr/>
                        <wps:spPr>
                          <a:xfrm>
                            <a:off x="0" y="0"/>
                            <a:ext cx="9680398" cy="19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0398" h="19517">
                                <a:moveTo>
                                  <a:pt x="0" y="0"/>
                                </a:moveTo>
                                <a:lnTo>
                                  <a:pt x="9680398" y="0"/>
                                </a:lnTo>
                                <a:lnTo>
                                  <a:pt x="9680398" y="19517"/>
                                </a:lnTo>
                                <a:lnTo>
                                  <a:pt x="0" y="19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69" style="width:762.236pt;height:1.53674pt;mso-position-horizontal-relative:char;mso-position-vertical-relative:line" coordsize="96803,195">
                <v:shape id="Shape 2126" style="position:absolute;width:96803;height:195;left:0;top:0;" coordsize="9680398,19517" path="m0,0l9680398,0l9680398,19517l0,1951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603B8" w:rsidRPr="009870FC" w:rsidRDefault="009870FC">
      <w:pPr>
        <w:spacing w:after="0"/>
        <w:ind w:left="72"/>
        <w:rPr>
          <w:lang w:val="en-US"/>
        </w:rPr>
      </w:pPr>
      <w:r w:rsidRPr="009870FC">
        <w:rPr>
          <w:b/>
          <w:lang w:val="en-US"/>
        </w:rPr>
        <w:t>GRADE Working Group grades of evidence</w:t>
      </w:r>
    </w:p>
    <w:p w:rsidR="004603B8" w:rsidRPr="009870FC" w:rsidRDefault="009870FC">
      <w:pPr>
        <w:rPr>
          <w:lang w:val="en-US"/>
        </w:rPr>
      </w:pPr>
      <w:r w:rsidRPr="009870FC">
        <w:rPr>
          <w:b/>
          <w:lang w:val="en-US"/>
        </w:rPr>
        <w:t>High certainty:</w:t>
      </w:r>
      <w:r w:rsidRPr="009870FC">
        <w:rPr>
          <w:lang w:val="en-US"/>
        </w:rPr>
        <w:t xml:space="preserve"> We are very confident that the true effect lies close to that of the estimate of the effect</w:t>
      </w:r>
    </w:p>
    <w:p w:rsidR="004603B8" w:rsidRPr="009870FC" w:rsidRDefault="009870FC">
      <w:pPr>
        <w:ind w:right="107"/>
        <w:rPr>
          <w:lang w:val="en-US"/>
        </w:rPr>
      </w:pPr>
      <w:r w:rsidRPr="009870FC">
        <w:rPr>
          <w:b/>
          <w:lang w:val="en-US"/>
        </w:rPr>
        <w:t>Moderate certainty:</w:t>
      </w:r>
      <w:r w:rsidRPr="009870FC">
        <w:rPr>
          <w:lang w:val="en-US"/>
        </w:rPr>
        <w:t xml:space="preserve"> We are moderately confident in the effect estimate: The true effect is likely to be close</w:t>
      </w:r>
      <w:r w:rsidRPr="009870FC">
        <w:rPr>
          <w:lang w:val="en-US"/>
        </w:rPr>
        <w:t xml:space="preserve"> to the estimate of the effect, but there is a possibility that it is substantially different</w:t>
      </w:r>
    </w:p>
    <w:p w:rsidR="004603B8" w:rsidRPr="009870FC" w:rsidRDefault="009870FC">
      <w:pPr>
        <w:rPr>
          <w:lang w:val="en-US"/>
        </w:rPr>
      </w:pPr>
      <w:r w:rsidRPr="009870FC">
        <w:rPr>
          <w:b/>
          <w:lang w:val="en-US"/>
        </w:rPr>
        <w:t>Low certainty:</w:t>
      </w:r>
      <w:r w:rsidRPr="009870FC">
        <w:rPr>
          <w:lang w:val="en-US"/>
        </w:rPr>
        <w:t xml:space="preserve"> Our confidence in the effect estimate is limited: The true effect may be substantially different from the estimate of the effect</w:t>
      </w:r>
    </w:p>
    <w:p w:rsidR="004603B8" w:rsidRPr="009870FC" w:rsidRDefault="009870FC">
      <w:pPr>
        <w:rPr>
          <w:lang w:val="en-US"/>
        </w:rPr>
      </w:pPr>
      <w:r w:rsidRPr="009870FC">
        <w:rPr>
          <w:b/>
          <w:lang w:val="en-US"/>
        </w:rPr>
        <w:t>Very low certainty</w:t>
      </w:r>
      <w:r w:rsidRPr="009870FC">
        <w:rPr>
          <w:b/>
          <w:lang w:val="en-US"/>
        </w:rPr>
        <w:t>:</w:t>
      </w:r>
      <w:r w:rsidRPr="009870FC">
        <w:rPr>
          <w:lang w:val="en-US"/>
        </w:rPr>
        <w:t xml:space="preserve"> We have very little confidence in the effect estimate: The true effect is likely to be substantially different from the estimate of effect</w:t>
      </w:r>
    </w:p>
    <w:p w:rsidR="004603B8" w:rsidRDefault="009870FC">
      <w:pPr>
        <w:spacing w:after="240"/>
        <w:ind w:left="0" w:right="-1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9680398" cy="19517"/>
                <wp:effectExtent l="0" t="0" r="0" b="0"/>
                <wp:docPr id="1870" name="Group 1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0398" cy="19517"/>
                          <a:chOff x="0" y="0"/>
                          <a:chExt cx="9680398" cy="19517"/>
                        </a:xfrm>
                      </wpg:grpSpPr>
                      <wps:wsp>
                        <wps:cNvPr id="2127" name="Shape 2127"/>
                        <wps:cNvSpPr/>
                        <wps:spPr>
                          <a:xfrm>
                            <a:off x="0" y="0"/>
                            <a:ext cx="9680398" cy="19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0398" h="19517">
                                <a:moveTo>
                                  <a:pt x="0" y="0"/>
                                </a:moveTo>
                                <a:lnTo>
                                  <a:pt x="9680398" y="0"/>
                                </a:lnTo>
                                <a:lnTo>
                                  <a:pt x="9680398" y="19517"/>
                                </a:lnTo>
                                <a:lnTo>
                                  <a:pt x="0" y="19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70" style="width:762.236pt;height:1.53677pt;mso-position-horizontal-relative:char;mso-position-vertical-relative:line" coordsize="96803,195">
                <v:shape id="Shape 2128" style="position:absolute;width:96803;height:195;left:0;top:0;" coordsize="9680398,19517" path="m0,0l9680398,0l9680398,19517l0,1951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603B8" w:rsidRDefault="009870FC">
      <w:pPr>
        <w:spacing w:after="192"/>
        <w:ind w:left="10" w:right="11808"/>
      </w:pPr>
      <w:r>
        <w:rPr>
          <w:b/>
        </w:rPr>
        <w:t>Explanations</w:t>
      </w:r>
    </w:p>
    <w:p w:rsidR="004603B8" w:rsidRPr="009870FC" w:rsidRDefault="009870FC">
      <w:pPr>
        <w:numPr>
          <w:ilvl w:val="0"/>
          <w:numId w:val="1"/>
        </w:numPr>
        <w:ind w:hanging="231"/>
        <w:rPr>
          <w:lang w:val="en-US"/>
        </w:rPr>
      </w:pPr>
      <w:r w:rsidRPr="009870FC">
        <w:rPr>
          <w:lang w:val="en-US"/>
        </w:rPr>
        <w:t>no control group to one stuudy</w:t>
      </w:r>
    </w:p>
    <w:p w:rsidR="004603B8" w:rsidRPr="009870FC" w:rsidRDefault="009870FC">
      <w:pPr>
        <w:numPr>
          <w:ilvl w:val="0"/>
          <w:numId w:val="1"/>
        </w:numPr>
        <w:ind w:hanging="231"/>
        <w:rPr>
          <w:lang w:val="en-US"/>
        </w:rPr>
      </w:pPr>
      <w:r w:rsidRPr="009870FC">
        <w:rPr>
          <w:lang w:val="en-US"/>
        </w:rPr>
        <w:t>absence of reliability tests, and undefined diagnosis in one study, whereas all studies didn't have blinded outcome assessment</w:t>
      </w:r>
    </w:p>
    <w:p w:rsidR="004603B8" w:rsidRPr="009870FC" w:rsidRDefault="009870FC">
      <w:pPr>
        <w:numPr>
          <w:ilvl w:val="0"/>
          <w:numId w:val="1"/>
        </w:numPr>
        <w:ind w:hanging="231"/>
        <w:rPr>
          <w:lang w:val="en-US"/>
        </w:rPr>
      </w:pPr>
      <w:r w:rsidRPr="009870FC">
        <w:rPr>
          <w:lang w:val="en-US"/>
        </w:rPr>
        <w:t>different samples and subgroups between studies, leading to heterogenity in results</w:t>
      </w:r>
    </w:p>
    <w:p w:rsidR="004603B8" w:rsidRPr="009870FC" w:rsidRDefault="009870FC">
      <w:pPr>
        <w:numPr>
          <w:ilvl w:val="0"/>
          <w:numId w:val="1"/>
        </w:numPr>
        <w:spacing w:after="196"/>
        <w:ind w:hanging="231"/>
        <w:rPr>
          <w:lang w:val="en-US"/>
        </w:rPr>
      </w:pPr>
      <w:r w:rsidRPr="009870FC">
        <w:rPr>
          <w:lang w:val="en-US"/>
        </w:rPr>
        <w:t>indirectness due to substantial differences b</w:t>
      </w:r>
      <w:r w:rsidRPr="009870FC">
        <w:rPr>
          <w:lang w:val="en-US"/>
        </w:rPr>
        <w:t>etween the population, the intervention, or the outcomes measured in relevant research studies e. variability in sample age and gender was not equally distributed among subgroups</w:t>
      </w:r>
    </w:p>
    <w:p w:rsidR="004603B8" w:rsidRDefault="009870FC">
      <w:pPr>
        <w:spacing w:after="192"/>
        <w:ind w:left="10" w:right="11808"/>
      </w:pPr>
      <w:r>
        <w:rPr>
          <w:b/>
        </w:rPr>
        <w:t>References</w:t>
      </w:r>
    </w:p>
    <w:p w:rsidR="004603B8" w:rsidRDefault="009870FC">
      <w:pPr>
        <w:numPr>
          <w:ilvl w:val="0"/>
          <w:numId w:val="2"/>
        </w:numPr>
        <w:ind w:hanging="231"/>
      </w:pPr>
      <w:r w:rsidRPr="009870FC">
        <w:rPr>
          <w:lang w:val="en-US"/>
        </w:rPr>
        <w:lastRenderedPageBreak/>
        <w:t xml:space="preserve">30. Duncan LO, Piedade L,Lekic M,Cunha RS,Wiltshire WA.. </w:t>
      </w:r>
      <w:r>
        <w:t>Changes i</w:t>
      </w:r>
      <w:r>
        <w:t>n mandibular incisor position and arch form resulting from Invisalign correction of the crowded dentition treated nonextraction. . Angle Orthod.; 2016.</w:t>
      </w:r>
    </w:p>
    <w:p w:rsidR="004603B8" w:rsidRDefault="009870FC">
      <w:pPr>
        <w:numPr>
          <w:ilvl w:val="0"/>
          <w:numId w:val="2"/>
        </w:numPr>
        <w:ind w:hanging="231"/>
      </w:pPr>
      <w:r>
        <w:t>Vlaskalic V, Boyd RL. Clinical evolution of the Invisalign® ap-pliance.. J Calif Dent Assoc; 2002.</w:t>
      </w:r>
    </w:p>
    <w:p w:rsidR="004603B8" w:rsidRDefault="009870FC">
      <w:pPr>
        <w:numPr>
          <w:ilvl w:val="0"/>
          <w:numId w:val="2"/>
        </w:numPr>
        <w:ind w:hanging="231"/>
      </w:pPr>
      <w:r>
        <w:t>Baldw</w:t>
      </w:r>
      <w:r>
        <w:t>in DK, King G,Ramsay DS,Huang G,Bollen AM.. Activation time and material stiffness of sequential removable orthodontic appli-ances. Part 3: premolar extraction patients.. Am J Orthod Dentofacial Orthop; 2008 .</w:t>
      </w:r>
    </w:p>
    <w:p w:rsidR="004603B8" w:rsidRDefault="009870FC">
      <w:pPr>
        <w:numPr>
          <w:ilvl w:val="0"/>
          <w:numId w:val="2"/>
        </w:numPr>
        <w:ind w:hanging="231"/>
      </w:pPr>
      <w:r>
        <w:t>Bollen AM, Huang G,King G et a.. Activation ti</w:t>
      </w:r>
      <w:r>
        <w:t>me and material stiffness of sequential removable orthodontic appliances. Part 1: Abil-ity to complete treatment.. Am J Orthod Dentofacial Orthop.; 2003.</w:t>
      </w:r>
    </w:p>
    <w:sectPr w:rsidR="004603B8">
      <w:pgSz w:w="16840" w:h="11900" w:orient="landscape"/>
      <w:pgMar w:top="1440" w:right="800" w:bottom="1440" w:left="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62691"/>
    <w:multiLevelType w:val="hybridMultilevel"/>
    <w:tmpl w:val="60FAC554"/>
    <w:lvl w:ilvl="0" w:tplc="DB98F352">
      <w:start w:val="1"/>
      <w:numFmt w:val="decimal"/>
      <w:lvlText w:val="%1."/>
      <w:lvlJc w:val="left"/>
      <w:pPr>
        <w:ind w:left="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39AE25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89E64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30A1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D409C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B306D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712A3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C3C2A1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FD612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B7192A"/>
    <w:multiLevelType w:val="hybridMultilevel"/>
    <w:tmpl w:val="151C48E6"/>
    <w:lvl w:ilvl="0" w:tplc="188AC0DA">
      <w:start w:val="1"/>
      <w:numFmt w:val="lowerLetter"/>
      <w:lvlText w:val="%1."/>
      <w:lvlJc w:val="left"/>
      <w:pPr>
        <w:ind w:left="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7AEE4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04A25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1FC13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02448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846F7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2543A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5B611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1EAD1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B8"/>
    <w:rsid w:val="004603B8"/>
    <w:rsid w:val="0098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791CE-08D6-40AD-94F9-9BE8DE30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87" w:hanging="10"/>
    </w:pPr>
    <w:rPr>
      <w:rFonts w:ascii="Calibri" w:eastAsia="Calibri" w:hAnsi="Calibri" w:cs="Calibri"/>
      <w:color w:val="000000"/>
      <w:sz w:val="17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before="117" w:after="0"/>
      <w:ind w:left="77"/>
      <w:outlineLvl w:val="0"/>
    </w:pPr>
    <w:rPr>
      <w:rFonts w:ascii="Calibri" w:eastAsia="Calibri" w:hAnsi="Calibri" w:cs="Calibri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Calibri" w:eastAsia="Calibri" w:hAnsi="Calibri" w:cs="Calibri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Guideline Development Tool - printout</vt:lpstr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 Development Tool - printout</dc:title>
  <dc:subject/>
  <dc:creator>Katerina Papadimitriou</dc:creator>
  <cp:keywords/>
  <cp:lastModifiedBy>Katerina Papadimitriou</cp:lastModifiedBy>
  <cp:revision>2</cp:revision>
  <dcterms:created xsi:type="dcterms:W3CDTF">2018-05-25T09:15:00Z</dcterms:created>
  <dcterms:modified xsi:type="dcterms:W3CDTF">2018-05-25T09:15:00Z</dcterms:modified>
</cp:coreProperties>
</file>