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BD" w:rsidRDefault="009240BA">
      <w:pPr>
        <w:spacing w:after="0" w:line="259" w:lineRule="auto"/>
        <w:ind w:left="72"/>
      </w:pPr>
      <w:bookmarkStart w:id="0" w:name="_GoBack"/>
      <w:bookmarkEnd w:id="0"/>
      <w:r>
        <w:rPr>
          <w:b/>
        </w:rPr>
        <w:t>Summary of findings:</w:t>
      </w:r>
    </w:p>
    <w:p w:rsidR="00B022BD" w:rsidRDefault="009240BA">
      <w:pPr>
        <w:spacing w:after="117" w:line="259" w:lineRule="auto"/>
        <w:ind w:left="0" w:right="-10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2667" name="Group 2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900" name="Shape 2900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7" style="width:762.236pt;height:1.53677pt;mso-position-horizontal-relative:char;mso-position-vertical-relative:line" coordsize="96803,195">
                <v:shape id="Shape 2901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022BD" w:rsidRPr="009240BA" w:rsidRDefault="009240BA">
      <w:pPr>
        <w:pStyle w:val="1"/>
        <w:rPr>
          <w:lang w:val="en-US"/>
        </w:rPr>
      </w:pPr>
      <w:r w:rsidRPr="009240BA">
        <w:rPr>
          <w:lang w:val="en-US"/>
        </w:rPr>
        <w:t>Invisalign compared to fixed appliances in adults</w:t>
      </w:r>
    </w:p>
    <w:p w:rsidR="00B022BD" w:rsidRDefault="009240BA">
      <w:pPr>
        <w:spacing w:after="102" w:line="259" w:lineRule="auto"/>
        <w:ind w:left="0" w:right="-10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2668" name="Group 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902" name="Shape 2902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8" style="width:762.236pt;height:1.53676pt;mso-position-horizontal-relative:char;mso-position-vertical-relative:line" coordsize="96803,195">
                <v:shape id="Shape 2903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022BD" w:rsidRPr="009240BA" w:rsidRDefault="009240BA">
      <w:pPr>
        <w:spacing w:after="0" w:line="259" w:lineRule="auto"/>
        <w:ind w:left="72" w:right="11565"/>
        <w:rPr>
          <w:lang w:val="en-US"/>
        </w:rPr>
      </w:pPr>
      <w:r w:rsidRPr="009240BA">
        <w:rPr>
          <w:b/>
          <w:lang w:val="en-US"/>
        </w:rPr>
        <w:t>Patient or population</w:t>
      </w:r>
      <w:r w:rsidRPr="009240BA">
        <w:rPr>
          <w:lang w:val="en-US"/>
        </w:rPr>
        <w:t xml:space="preserve">: adults </w:t>
      </w:r>
      <w:r w:rsidRPr="009240BA">
        <w:rPr>
          <w:b/>
          <w:lang w:val="en-US"/>
        </w:rPr>
        <w:t>Setting</w:t>
      </w:r>
      <w:r w:rsidRPr="009240BA">
        <w:rPr>
          <w:lang w:val="en-US"/>
        </w:rPr>
        <w:t>:</w:t>
      </w:r>
    </w:p>
    <w:p w:rsidR="00B022BD" w:rsidRDefault="009240BA">
      <w:pPr>
        <w:spacing w:after="0" w:line="259" w:lineRule="auto"/>
        <w:ind w:left="72"/>
      </w:pPr>
      <w:r>
        <w:rPr>
          <w:b/>
        </w:rPr>
        <w:t>Intervention</w:t>
      </w:r>
      <w:r>
        <w:t>: Invisalign</w:t>
      </w:r>
    </w:p>
    <w:p w:rsidR="00B022BD" w:rsidRDefault="009240BA">
      <w:r>
        <w:rPr>
          <w:b/>
        </w:rPr>
        <w:t>Comparison</w:t>
      </w:r>
      <w:r>
        <w:t>: fixed appliances</w:t>
      </w:r>
    </w:p>
    <w:tbl>
      <w:tblPr>
        <w:tblStyle w:val="TableGrid"/>
        <w:tblW w:w="15250" w:type="dxa"/>
        <w:tblInd w:w="0" w:type="dxa"/>
        <w:tblCellMar>
          <w:top w:w="0" w:type="dxa"/>
          <w:left w:w="0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6631"/>
        <w:gridCol w:w="69"/>
        <w:gridCol w:w="5417"/>
        <w:gridCol w:w="69"/>
        <w:gridCol w:w="1760"/>
        <w:gridCol w:w="69"/>
        <w:gridCol w:w="1235"/>
      </w:tblGrid>
      <w:tr w:rsidR="00B022BD" w:rsidRPr="009240BA">
        <w:trPr>
          <w:trHeight w:val="776"/>
        </w:trPr>
        <w:tc>
          <w:tcPr>
            <w:tcW w:w="66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B022BD" w:rsidRDefault="009240BA">
            <w:pPr>
              <w:spacing w:after="0" w:line="259" w:lineRule="auto"/>
              <w:ind w:left="0" w:firstLine="0"/>
            </w:pPr>
            <w:r>
              <w:rPr>
                <w:color w:val="FFFFFF"/>
              </w:rPr>
              <w:t>Outcomes</w:t>
            </w:r>
          </w:p>
        </w:tc>
        <w:tc>
          <w:tcPr>
            <w:tcW w:w="5486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B022BD" w:rsidRDefault="009240BA">
            <w:pPr>
              <w:spacing w:after="0" w:line="259" w:lineRule="auto"/>
              <w:ind w:left="8" w:firstLine="0"/>
            </w:pPr>
            <w:r>
              <w:rPr>
                <w:color w:val="FFFFFF"/>
              </w:rPr>
              <w:t>Impact</w:t>
            </w:r>
          </w:p>
        </w:tc>
        <w:tc>
          <w:tcPr>
            <w:tcW w:w="1829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B022BD" w:rsidRDefault="009240BA">
            <w:pPr>
              <w:spacing w:after="0" w:line="259" w:lineRule="auto"/>
              <w:ind w:left="8" w:firstLine="0"/>
            </w:pPr>
            <w:r>
              <w:rPr>
                <w:color w:val="FFFFFF"/>
              </w:rPr>
              <w:t xml:space="preserve">№ of participants </w:t>
            </w:r>
          </w:p>
          <w:p w:rsidR="00B022BD" w:rsidRDefault="009240BA">
            <w:pPr>
              <w:spacing w:after="0" w:line="259" w:lineRule="auto"/>
              <w:ind w:left="8" w:firstLine="0"/>
            </w:pPr>
            <w:r>
              <w:rPr>
                <w:color w:val="FFFFFF"/>
              </w:rPr>
              <w:t>(studies)</w:t>
            </w:r>
          </w:p>
        </w:tc>
        <w:tc>
          <w:tcPr>
            <w:tcW w:w="1304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B022BD" w:rsidRPr="009240BA" w:rsidRDefault="009240BA">
            <w:pPr>
              <w:spacing w:after="0" w:line="259" w:lineRule="auto"/>
              <w:ind w:left="8" w:firstLine="0"/>
              <w:jc w:val="both"/>
              <w:rPr>
                <w:lang w:val="en-US"/>
              </w:rPr>
            </w:pPr>
            <w:r w:rsidRPr="009240BA">
              <w:rPr>
                <w:color w:val="FFFFFF"/>
                <w:lang w:val="en-US"/>
              </w:rPr>
              <w:t>Certainty of the evidence (GRADE)</w:t>
            </w:r>
          </w:p>
        </w:tc>
      </w:tr>
      <w:tr w:rsidR="00B022BD">
        <w:trPr>
          <w:trHeight w:val="858"/>
        </w:trPr>
        <w:tc>
          <w:tcPr>
            <w:tcW w:w="67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77" w:firstLine="0"/>
            </w:pPr>
            <w:r>
              <w:rPr>
                <w:sz w:val="18"/>
              </w:rPr>
              <w:t>Buccolingual inclination</w:t>
            </w:r>
          </w:p>
          <w:p w:rsidR="00B022BD" w:rsidRDefault="009240BA">
            <w:pPr>
              <w:spacing w:after="0" w:line="259" w:lineRule="auto"/>
              <w:ind w:left="77" w:firstLine="0"/>
            </w:pPr>
            <w:r>
              <w:rPr>
                <w:sz w:val="18"/>
              </w:rPr>
              <w:t>assessed with: pre- and near-end treament cephalograms</w:t>
            </w:r>
          </w:p>
        </w:tc>
        <w:tc>
          <w:tcPr>
            <w:tcW w:w="548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t xml:space="preserve">One study showed that there was greater post-treatment buccolingual inclination in the Invisalign group, whereas the other two studies reported that fixed appliances were more </w:t>
            </w:r>
            <w:r>
              <w:t>effective in improving buccolingual inclination.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t>196</w:t>
            </w:r>
          </w:p>
          <w:p w:rsidR="00B022BD" w:rsidRDefault="009240BA">
            <w:pPr>
              <w:spacing w:after="0" w:line="259" w:lineRule="auto"/>
              <w:ind w:left="0" w:firstLine="0"/>
              <w:jc w:val="both"/>
            </w:pPr>
            <w:r>
              <w:t xml:space="preserve">(3 observational studies) </w:t>
            </w:r>
            <w:r>
              <w:rPr>
                <w:sz w:val="14"/>
              </w:rPr>
              <w:t>1,2,3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⨁</w:t>
            </w:r>
            <w:r>
              <w:rPr>
                <w:sz w:val="22"/>
              </w:rPr>
              <w:t>◯◯◯</w:t>
            </w:r>
          </w:p>
          <w:p w:rsidR="00B022BD" w:rsidRDefault="009240BA">
            <w:pPr>
              <w:spacing w:after="0" w:line="259" w:lineRule="auto"/>
              <w:ind w:left="0" w:firstLine="0"/>
            </w:pPr>
            <w:r>
              <w:t xml:space="preserve">VERY LOW </w:t>
            </w:r>
            <w:r>
              <w:rPr>
                <w:sz w:val="21"/>
                <w:vertAlign w:val="superscript"/>
              </w:rPr>
              <w:t>a</w:t>
            </w:r>
          </w:p>
        </w:tc>
      </w:tr>
      <w:tr w:rsidR="00B022BD">
        <w:trPr>
          <w:trHeight w:val="968"/>
        </w:trPr>
        <w:tc>
          <w:tcPr>
            <w:tcW w:w="67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77" w:right="3685" w:firstLine="0"/>
              <w:jc w:val="both"/>
            </w:pPr>
            <w:r>
              <w:rPr>
                <w:sz w:val="18"/>
              </w:rPr>
              <w:t>Treatment duration assessed with: study casts</w:t>
            </w:r>
          </w:p>
        </w:tc>
        <w:tc>
          <w:tcPr>
            <w:tcW w:w="54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t>Two studies reported faster treatment completion with Invisalign (4 to 5,7 months) when compared to conventional appliances. The third study reported not significant difference between Invisalign and self-ligating brackets.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t>232</w:t>
            </w:r>
          </w:p>
          <w:p w:rsidR="00B022BD" w:rsidRDefault="009240BA">
            <w:pPr>
              <w:spacing w:after="0" w:line="259" w:lineRule="auto"/>
              <w:ind w:left="0" w:firstLine="0"/>
              <w:jc w:val="both"/>
            </w:pPr>
            <w:r>
              <w:t xml:space="preserve">(3 observational studies) </w:t>
            </w:r>
            <w:r>
              <w:rPr>
                <w:sz w:val="14"/>
              </w:rPr>
              <w:t>1,</w:t>
            </w:r>
            <w:r>
              <w:rPr>
                <w:sz w:val="14"/>
              </w:rPr>
              <w:t>3,4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⨁</w:t>
            </w:r>
            <w:r>
              <w:rPr>
                <w:sz w:val="22"/>
              </w:rPr>
              <w:t>◯◯◯</w:t>
            </w:r>
          </w:p>
          <w:p w:rsidR="00B022BD" w:rsidRDefault="009240BA">
            <w:pPr>
              <w:spacing w:after="0" w:line="259" w:lineRule="auto"/>
              <w:ind w:left="0" w:firstLine="0"/>
            </w:pPr>
            <w:r>
              <w:t xml:space="preserve">VERY LOW </w:t>
            </w:r>
            <w:r>
              <w:rPr>
                <w:sz w:val="21"/>
                <w:vertAlign w:val="superscript"/>
              </w:rPr>
              <w:t>b</w:t>
            </w:r>
          </w:p>
        </w:tc>
      </w:tr>
      <w:tr w:rsidR="00B022BD">
        <w:trPr>
          <w:trHeight w:val="1368"/>
        </w:trPr>
        <w:tc>
          <w:tcPr>
            <w:tcW w:w="67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77" w:firstLine="0"/>
            </w:pPr>
            <w:r>
              <w:rPr>
                <w:sz w:val="18"/>
              </w:rPr>
              <w:t>Buccolingual inclination</w:t>
            </w:r>
          </w:p>
          <w:p w:rsidR="00B022BD" w:rsidRDefault="009240BA">
            <w:pPr>
              <w:spacing w:after="0" w:line="259" w:lineRule="auto"/>
              <w:ind w:left="77" w:firstLine="0"/>
            </w:pPr>
            <w:r>
              <w:rPr>
                <w:sz w:val="18"/>
              </w:rPr>
              <w:t>assessed with: pretreatment and near-end treatment cephalograms</w:t>
            </w:r>
          </w:p>
        </w:tc>
        <w:tc>
          <w:tcPr>
            <w:tcW w:w="54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right="184" w:firstLine="0"/>
              <w:jc w:val="both"/>
            </w:pPr>
            <w:r>
              <w:t>One study showed that change in incisor proclination was 3,4 +-3,2 degrees for tretament with Invisalign, while for fixed appliances the change was 5,3+- 4,3 degrees. The second study , accoridng to ABO-OGS, demonstrated that Invisalign scores were signifi</w:t>
            </w:r>
            <w:r>
              <w:t>cantly lower(-3,55points) than fixed appliances scores(-5,85).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11" w:line="259" w:lineRule="auto"/>
              <w:ind w:left="0" w:firstLine="0"/>
            </w:pPr>
            <w:r>
              <w:t>196</w:t>
            </w:r>
          </w:p>
          <w:p w:rsidR="00B022BD" w:rsidRDefault="009240BA">
            <w:pPr>
              <w:spacing w:after="0" w:line="259" w:lineRule="auto"/>
              <w:ind w:left="0" w:firstLine="0"/>
            </w:pPr>
            <w:r>
              <w:t xml:space="preserve">(2 RCTs) </w:t>
            </w:r>
            <w:r>
              <w:rPr>
                <w:sz w:val="21"/>
                <w:vertAlign w:val="superscript"/>
              </w:rPr>
              <w:t>5,6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022BD" w:rsidRDefault="009240B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⨁⨁⨁⨁</w:t>
            </w:r>
          </w:p>
          <w:p w:rsidR="00B022BD" w:rsidRDefault="009240BA">
            <w:pPr>
              <w:spacing w:after="0" w:line="259" w:lineRule="auto"/>
              <w:ind w:left="0" w:firstLine="0"/>
            </w:pPr>
            <w:r>
              <w:t>HIGH</w:t>
            </w:r>
          </w:p>
        </w:tc>
      </w:tr>
      <w:tr w:rsidR="00B022BD">
        <w:trPr>
          <w:trHeight w:val="638"/>
        </w:trPr>
        <w:tc>
          <w:tcPr>
            <w:tcW w:w="6700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B022BD" w:rsidRDefault="009240BA">
            <w:pPr>
              <w:spacing w:after="0" w:line="259" w:lineRule="auto"/>
              <w:ind w:left="77" w:right="3685" w:firstLine="0"/>
              <w:jc w:val="both"/>
            </w:pPr>
            <w:r>
              <w:rPr>
                <w:sz w:val="18"/>
              </w:rPr>
              <w:t>Treatment duration assessed with: study casts</w:t>
            </w:r>
          </w:p>
        </w:tc>
        <w:tc>
          <w:tcPr>
            <w:tcW w:w="5486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B022BD" w:rsidRDefault="009240BA">
            <w:pPr>
              <w:spacing w:after="0" w:line="259" w:lineRule="auto"/>
              <w:ind w:left="0" w:firstLine="0"/>
            </w:pPr>
            <w:r>
              <w:t>In this study, Invisalign had longer treatment duration (9,5 months).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B022BD" w:rsidRDefault="009240BA">
            <w:pPr>
              <w:spacing w:after="0" w:line="259" w:lineRule="auto"/>
              <w:ind w:left="0" w:right="895" w:firstLine="0"/>
            </w:pPr>
            <w:r>
              <w:t xml:space="preserve">44 (1 RCT) </w:t>
            </w:r>
            <w:r>
              <w:rPr>
                <w:sz w:val="21"/>
                <w:vertAlign w:val="superscript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B022BD" w:rsidRDefault="009240B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⨁⨁⨁</w:t>
            </w:r>
            <w:r>
              <w:rPr>
                <w:sz w:val="22"/>
              </w:rPr>
              <w:t>◯</w:t>
            </w:r>
          </w:p>
          <w:p w:rsidR="00B022BD" w:rsidRDefault="009240BA">
            <w:pPr>
              <w:spacing w:after="0" w:line="259" w:lineRule="auto"/>
              <w:ind w:left="0" w:firstLine="0"/>
            </w:pPr>
            <w:r>
              <w:t xml:space="preserve">MODERATE </w:t>
            </w:r>
            <w:r>
              <w:rPr>
                <w:sz w:val="21"/>
                <w:vertAlign w:val="superscript"/>
              </w:rPr>
              <w:t>c</w:t>
            </w:r>
          </w:p>
        </w:tc>
      </w:tr>
    </w:tbl>
    <w:p w:rsidR="00B022BD" w:rsidRDefault="009240BA">
      <w:pPr>
        <w:spacing w:after="200"/>
      </w:pPr>
      <w:r>
        <w:t>*</w:t>
      </w:r>
      <w:r>
        <w:rPr>
          <w:b/>
        </w:rPr>
        <w:t>The risk in the intervention group</w:t>
      </w:r>
      <w:r>
        <w:t xml:space="preserve"> (and its 95% confidence interval) is based on the assumed risk in the comparison group and the </w:t>
      </w:r>
      <w:r>
        <w:rPr>
          <w:b/>
        </w:rPr>
        <w:t>relative effect</w:t>
      </w:r>
      <w:r>
        <w:t xml:space="preserve"> of the intervention (and its 95% CI). </w:t>
      </w:r>
    </w:p>
    <w:p w:rsidR="00B022BD" w:rsidRDefault="009240BA">
      <w:r>
        <w:rPr>
          <w:b/>
        </w:rPr>
        <w:t>CI:</w:t>
      </w:r>
      <w:r>
        <w:t xml:space="preserve"> Confidence interval</w:t>
      </w:r>
    </w:p>
    <w:p w:rsidR="00B022BD" w:rsidRDefault="009240BA">
      <w:pPr>
        <w:spacing w:after="102" w:line="259" w:lineRule="auto"/>
        <w:ind w:left="0" w:right="-10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2665" name="Group 2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904" name="Shape 2904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5" style="width:762.236pt;height:1.53677pt;mso-position-horizontal-relative:char;mso-position-vertical-relative:line" coordsize="96803,195">
                <v:shape id="Shape 2905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022BD" w:rsidRDefault="009240BA">
      <w:pPr>
        <w:spacing w:after="0" w:line="259" w:lineRule="auto"/>
        <w:ind w:left="72"/>
      </w:pPr>
      <w:r>
        <w:rPr>
          <w:b/>
        </w:rPr>
        <w:t>GRADE Working Group grades of evidence</w:t>
      </w:r>
    </w:p>
    <w:p w:rsidR="00B022BD" w:rsidRDefault="009240BA">
      <w:r>
        <w:rPr>
          <w:b/>
        </w:rPr>
        <w:t>High c</w:t>
      </w:r>
      <w:r>
        <w:rPr>
          <w:b/>
        </w:rPr>
        <w:t>ertainty:</w:t>
      </w:r>
      <w:r>
        <w:t xml:space="preserve"> We are very confident that the true effect lies close to that of the estimate of the effect</w:t>
      </w:r>
    </w:p>
    <w:p w:rsidR="00B022BD" w:rsidRDefault="009240BA">
      <w:r>
        <w:rPr>
          <w:b/>
        </w:rPr>
        <w:t>Moderate certainty:</w:t>
      </w:r>
      <w:r>
        <w:t xml:space="preserve"> We are moderately confident in the effect estimate: The true effect is likely to be close to the estimate of the effect, but there is </w:t>
      </w:r>
      <w:r>
        <w:t>a possibility that it is substantially different</w:t>
      </w:r>
    </w:p>
    <w:p w:rsidR="00B022BD" w:rsidRDefault="009240BA">
      <w:r>
        <w:rPr>
          <w:b/>
        </w:rPr>
        <w:t>Low certainty:</w:t>
      </w:r>
      <w:r>
        <w:t xml:space="preserve"> Our confidence in the effect estimate is limited: The true effect may be substantially different from the estimate of the effect</w:t>
      </w:r>
    </w:p>
    <w:p w:rsidR="00B022BD" w:rsidRDefault="009240BA">
      <w:r>
        <w:rPr>
          <w:b/>
        </w:rPr>
        <w:t>Very low certainty:</w:t>
      </w:r>
      <w:r>
        <w:t xml:space="preserve"> We have very little confidence in the effec</w:t>
      </w:r>
      <w:r>
        <w:t>t estimate: The true effect is likely to be substantially different from the estimate of effect</w:t>
      </w:r>
    </w:p>
    <w:p w:rsidR="00B022BD" w:rsidRDefault="009240BA">
      <w:pPr>
        <w:spacing w:after="240" w:line="259" w:lineRule="auto"/>
        <w:ind w:left="0" w:right="-10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2666" name="Group 2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906" name="Shape 2906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6" style="width:762.236pt;height:1.53677pt;mso-position-horizontal-relative:char;mso-position-vertical-relative:line" coordsize="96803,195">
                <v:shape id="Shape 2907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022BD" w:rsidRDefault="009240BA">
      <w:pPr>
        <w:spacing w:after="192" w:line="259" w:lineRule="auto"/>
        <w:ind w:left="10"/>
      </w:pPr>
      <w:r>
        <w:rPr>
          <w:b/>
        </w:rPr>
        <w:t>Explanations</w:t>
      </w:r>
    </w:p>
    <w:p w:rsidR="00B022BD" w:rsidRDefault="009240BA">
      <w:pPr>
        <w:numPr>
          <w:ilvl w:val="0"/>
          <w:numId w:val="1"/>
        </w:numPr>
        <w:ind w:right="639" w:hanging="231"/>
      </w:pPr>
      <w:r>
        <w:t>heterogenity between samples of studies-number</w:t>
      </w:r>
    </w:p>
    <w:p w:rsidR="00B022BD" w:rsidRDefault="009240BA">
      <w:pPr>
        <w:numPr>
          <w:ilvl w:val="0"/>
          <w:numId w:val="1"/>
        </w:numPr>
        <w:ind w:right="639" w:hanging="231"/>
      </w:pPr>
      <w:r>
        <w:lastRenderedPageBreak/>
        <w:t>indirectness due to substantial differences between the intervention samples, because in one study fewer than 50% of patients complete their treatment c. small sample of patients</w:t>
      </w:r>
    </w:p>
    <w:p w:rsidR="00B022BD" w:rsidRDefault="009240BA">
      <w:pPr>
        <w:spacing w:after="192" w:line="259" w:lineRule="auto"/>
        <w:ind w:left="10"/>
      </w:pPr>
      <w:r>
        <w:rPr>
          <w:b/>
        </w:rPr>
        <w:t>References</w:t>
      </w:r>
    </w:p>
    <w:p w:rsidR="00B022BD" w:rsidRDefault="009240BA">
      <w:pPr>
        <w:numPr>
          <w:ilvl w:val="0"/>
          <w:numId w:val="2"/>
        </w:numPr>
        <w:ind w:hanging="231"/>
      </w:pPr>
      <w:r>
        <w:t>Pavoni, C.,Lione,R. Laganà,P. Cozza.. Self-ligating versus Invisal</w:t>
      </w:r>
      <w:r>
        <w:t>ign: analysis of dento-alveolar effects. . Ann Stomatol (Roma); 2011.</w:t>
      </w:r>
    </w:p>
    <w:p w:rsidR="00B022BD" w:rsidRDefault="009240BA">
      <w:pPr>
        <w:numPr>
          <w:ilvl w:val="0"/>
          <w:numId w:val="2"/>
        </w:numPr>
        <w:ind w:hanging="231"/>
      </w:pPr>
      <w:r>
        <w:t>Grünheid T, Gaalaas S,Hamdan H,Larson BE.. Effect of clear aligner therapy on the buccolingual inclination of mandibular canines and the intercanine distance.. Angle Orthod.; 2016.</w:t>
      </w:r>
    </w:p>
    <w:p w:rsidR="00B022BD" w:rsidRDefault="009240BA">
      <w:pPr>
        <w:numPr>
          <w:ilvl w:val="0"/>
          <w:numId w:val="2"/>
        </w:numPr>
        <w:ind w:hanging="231"/>
      </w:pPr>
      <w:r>
        <w:t xml:space="preserve">Djeu </w:t>
      </w:r>
      <w:r>
        <w:t>G, Shelton C,Maganzini A.. Outcome assessment of Invisalign and traditional orthodontic treatment compared with the American Board of Orthodontics objective grading system.. Am J Orthod Dentofacial Orthop. ; 2005.</w:t>
      </w:r>
    </w:p>
    <w:p w:rsidR="00B022BD" w:rsidRDefault="009240BA">
      <w:pPr>
        <w:numPr>
          <w:ilvl w:val="0"/>
          <w:numId w:val="2"/>
        </w:numPr>
        <w:ind w:hanging="231"/>
      </w:pPr>
      <w:r>
        <w:t xml:space="preserve">Gu J, Tang JS,Skulski B,Fields HW Jr,Beck </w:t>
      </w:r>
      <w:r>
        <w:t>FM,Firestone AR et al.. Evaluation of Invisalign treatment effectiveness and efficiency com-pared with conventional fixed appliances using the Peer Assessment Rating index. . Am J Orthod Dentofacial Orthop.; 2017.</w:t>
      </w:r>
    </w:p>
    <w:p w:rsidR="00B022BD" w:rsidRDefault="009240BA">
      <w:pPr>
        <w:numPr>
          <w:ilvl w:val="0"/>
          <w:numId w:val="2"/>
        </w:numPr>
        <w:ind w:hanging="231"/>
      </w:pPr>
      <w:r>
        <w:t>Hennessy J, Garvey T,Al-Awadhi EA.. A rand</w:t>
      </w:r>
      <w:r>
        <w:t>omized clinical trial com-paring mandibular incisor proclination produced by fixed labial appli-ances and clear aligners.. Angle Orthod. ; 2016.</w:t>
      </w:r>
    </w:p>
    <w:p w:rsidR="00B022BD" w:rsidRDefault="009240BA">
      <w:pPr>
        <w:numPr>
          <w:ilvl w:val="0"/>
          <w:numId w:val="2"/>
        </w:numPr>
        <w:ind w:hanging="231"/>
      </w:pPr>
      <w:r>
        <w:t>Li W, Wang S,Zhang Y.. The effectiveness of the Invisalign appliance in extraction cases using the the ABO mode</w:t>
      </w:r>
      <w:r>
        <w:t>l grading system: a multi-center randomized controlled trial.. Int J Clin Exp Med. ; 2015.</w:t>
      </w:r>
    </w:p>
    <w:sectPr w:rsidR="00B022BD">
      <w:pgSz w:w="16840" w:h="11900" w:orient="landscape"/>
      <w:pgMar w:top="745" w:right="907" w:bottom="951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B64AA"/>
    <w:multiLevelType w:val="hybridMultilevel"/>
    <w:tmpl w:val="4A425BE0"/>
    <w:lvl w:ilvl="0" w:tplc="1A9C4630">
      <w:start w:val="1"/>
      <w:numFmt w:val="lowerLetter"/>
      <w:lvlText w:val="%1.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4EAC5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5E88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6163F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57EAA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96E1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852E99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5EA1D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CD290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EF0FE0"/>
    <w:multiLevelType w:val="hybridMultilevel"/>
    <w:tmpl w:val="5582ECAE"/>
    <w:lvl w:ilvl="0" w:tplc="4DB81FC8">
      <w:start w:val="1"/>
      <w:numFmt w:val="decimal"/>
      <w:lvlText w:val="%1.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6663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8FE39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7A8C8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07627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FD2F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3DEA0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A9088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02862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BD"/>
    <w:rsid w:val="009240BA"/>
    <w:rsid w:val="00B0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0575D-FB67-481D-9676-0FA4CE7B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32" w:lineRule="auto"/>
      <w:ind w:left="87" w:hanging="10"/>
    </w:pPr>
    <w:rPr>
      <w:rFonts w:ascii="Calibri" w:eastAsia="Calibri" w:hAnsi="Calibri" w:cs="Calibri"/>
      <w:color w:val="000000"/>
      <w:sz w:val="17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left="77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Guideline Development Tool - printout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Development Tool - printout</dc:title>
  <dc:subject/>
  <dc:creator>Katerina Papadimitriou</dc:creator>
  <cp:keywords/>
  <cp:lastModifiedBy>Katerina Papadimitriou</cp:lastModifiedBy>
  <cp:revision>2</cp:revision>
  <dcterms:created xsi:type="dcterms:W3CDTF">2018-05-25T09:15:00Z</dcterms:created>
  <dcterms:modified xsi:type="dcterms:W3CDTF">2018-05-25T09:15:00Z</dcterms:modified>
</cp:coreProperties>
</file>