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84"/>
        <w:tblW w:w="5000" w:type="pct"/>
        <w:tblLook w:val="04A0" w:firstRow="1" w:lastRow="0" w:firstColumn="1" w:lastColumn="0" w:noHBand="0" w:noVBand="1"/>
      </w:tblPr>
      <w:tblGrid>
        <w:gridCol w:w="3326"/>
        <w:gridCol w:w="1800"/>
        <w:gridCol w:w="4337"/>
        <w:gridCol w:w="6025"/>
      </w:tblGrid>
      <w:tr w:rsidR="00752531" w:rsidRPr="006F299E" w14:paraId="2BE2DF31" w14:textId="0F767EE2" w:rsidTr="007E69A6">
        <w:trPr>
          <w:trHeight w:val="307"/>
        </w:trPr>
        <w:tc>
          <w:tcPr>
            <w:tcW w:w="5000" w:type="pct"/>
            <w:gridSpan w:val="4"/>
          </w:tcPr>
          <w:p w14:paraId="103066C2" w14:textId="75CB8DCA" w:rsidR="00C6054A" w:rsidRPr="006F299E" w:rsidRDefault="006F299E" w:rsidP="006F299E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Supplementary Table 1:</w:t>
            </w:r>
            <w:r w:rsidR="00C6054A"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 xml:space="preserve"> List of the excluded studi</w:t>
            </w: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es and reasons beyond exclusion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ab/>
            </w:r>
          </w:p>
        </w:tc>
      </w:tr>
      <w:tr w:rsidR="00752531" w:rsidRPr="006F299E" w14:paraId="7804FDC7" w14:textId="08295D58" w:rsidTr="006F299E">
        <w:trPr>
          <w:trHeight w:val="307"/>
        </w:trPr>
        <w:tc>
          <w:tcPr>
            <w:tcW w:w="1074" w:type="pct"/>
          </w:tcPr>
          <w:p w14:paraId="399935EA" w14:textId="0BDE12A7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Authors/year</w:t>
            </w:r>
          </w:p>
        </w:tc>
        <w:tc>
          <w:tcPr>
            <w:tcW w:w="581" w:type="pct"/>
          </w:tcPr>
          <w:p w14:paraId="1CB9B01C" w14:textId="6CE9C331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Publication journal</w:t>
            </w:r>
          </w:p>
        </w:tc>
        <w:tc>
          <w:tcPr>
            <w:tcW w:w="1400" w:type="pct"/>
          </w:tcPr>
          <w:p w14:paraId="1580CFA4" w14:textId="67CF749E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Study title</w:t>
            </w:r>
          </w:p>
        </w:tc>
        <w:tc>
          <w:tcPr>
            <w:tcW w:w="1945" w:type="pct"/>
          </w:tcPr>
          <w:p w14:paraId="45B6270D" w14:textId="7085912B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Reason for exclusion</w:t>
            </w:r>
          </w:p>
          <w:p w14:paraId="4F1F130F" w14:textId="762B0AA0" w:rsidR="00C6054A" w:rsidRPr="006F299E" w:rsidRDefault="00C6054A" w:rsidP="007E69A6">
            <w:pPr>
              <w:tabs>
                <w:tab w:val="left" w:pos="4136"/>
              </w:tabs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ab/>
            </w:r>
          </w:p>
        </w:tc>
      </w:tr>
      <w:tr w:rsidR="00752531" w:rsidRPr="006F299E" w14:paraId="6D1F722F" w14:textId="1F4F0F1E" w:rsidTr="006F299E">
        <w:trPr>
          <w:trHeight w:val="287"/>
        </w:trPr>
        <w:tc>
          <w:tcPr>
            <w:tcW w:w="1074" w:type="pct"/>
          </w:tcPr>
          <w:p w14:paraId="7288B63F" w14:textId="73EDD5A3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Piancino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MG, Cordero-Ricardo 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Cannavale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R,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Vallelonga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T, Garagiola U, Merlo A.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2017</w:t>
            </w:r>
          </w:p>
        </w:tc>
        <w:tc>
          <w:tcPr>
            <w:tcW w:w="581" w:type="pct"/>
          </w:tcPr>
          <w:p w14:paraId="6A6BEBA9" w14:textId="5A8DAB87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Angle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</w:p>
        </w:tc>
        <w:tc>
          <w:tcPr>
            <w:tcW w:w="1400" w:type="pct"/>
          </w:tcPr>
          <w:p w14:paraId="6CF0D30E" w14:textId="1AA5EC6E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Improvement of masticatory kinematic parameters after correction of unilateral posterior crossbite: Reasons for functional retention.</w:t>
            </w:r>
          </w:p>
        </w:tc>
        <w:tc>
          <w:tcPr>
            <w:tcW w:w="1945" w:type="pct"/>
          </w:tcPr>
          <w:p w14:paraId="01C491F1" w14:textId="0D8DE707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This study evaluated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the reverse-sequencing chewing cycle which 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is not one of the main outcomes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>of this systematic review.</w:t>
            </w:r>
          </w:p>
        </w:tc>
      </w:tr>
      <w:tr w:rsidR="00752531" w:rsidRPr="006F299E" w14:paraId="406101DE" w14:textId="21CC86F9" w:rsidTr="006F299E">
        <w:trPr>
          <w:trHeight w:val="287"/>
        </w:trPr>
        <w:tc>
          <w:tcPr>
            <w:tcW w:w="1074" w:type="pct"/>
          </w:tcPr>
          <w:p w14:paraId="6A6C78A6" w14:textId="6A5A0480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Galbiati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G,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Maspero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Giannini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L,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Tagliatesta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Farronato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G.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2016</w:t>
            </w:r>
          </w:p>
        </w:tc>
        <w:tc>
          <w:tcPr>
            <w:tcW w:w="581" w:type="pct"/>
          </w:tcPr>
          <w:p w14:paraId="34C5557C" w14:textId="4D76E1F5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Minerva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Stomatol</w:t>
            </w:r>
            <w:proofErr w:type="spellEnd"/>
          </w:p>
        </w:tc>
        <w:tc>
          <w:tcPr>
            <w:tcW w:w="1400" w:type="pct"/>
          </w:tcPr>
          <w:p w14:paraId="6EC20D14" w14:textId="6C6B1596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Functional evaluation in young patients undergoing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orthopedical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interceptive treatment.</w:t>
            </w:r>
          </w:p>
        </w:tc>
        <w:tc>
          <w:tcPr>
            <w:tcW w:w="1945" w:type="pct"/>
          </w:tcPr>
          <w:p w14:paraId="5E5D67B9" w14:textId="6DDDBDAA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This study examined the activity of jaw muscles which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  <w:shd w:val="clear" w:color="auto" w:fill="FFFFFF"/>
              </w:rPr>
              <w:t xml:space="preserve"> is not one of the main outcomes of this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systematic review. </w:t>
            </w:r>
          </w:p>
        </w:tc>
      </w:tr>
      <w:tr w:rsidR="00752531" w:rsidRPr="006F299E" w14:paraId="7AA38C2C" w14:textId="6C4B043E" w:rsidTr="006F299E">
        <w:trPr>
          <w:trHeight w:val="287"/>
        </w:trPr>
        <w:tc>
          <w:tcPr>
            <w:tcW w:w="1074" w:type="pct"/>
          </w:tcPr>
          <w:p w14:paraId="64917D6F" w14:textId="1195CAB9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Ugolini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Doldo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T,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Ghislanzoni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LT,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Mapelli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Giorgetti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R, Sforza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2016</w:t>
            </w:r>
          </w:p>
        </w:tc>
        <w:tc>
          <w:tcPr>
            <w:tcW w:w="581" w:type="pct"/>
          </w:tcPr>
          <w:p w14:paraId="280C1B3E" w14:textId="4ADA2B33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Prog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</w:p>
        </w:tc>
        <w:tc>
          <w:tcPr>
            <w:tcW w:w="1400" w:type="pct"/>
          </w:tcPr>
          <w:p w14:paraId="3B4DB5E5" w14:textId="61DF0C9B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Rapid palatal expansion effects on mandibular transverse dimensions in unilateral posterior crossbite patients: a three-dimensional digital imaging study</w:t>
            </w:r>
          </w:p>
        </w:tc>
        <w:tc>
          <w:tcPr>
            <w:tcW w:w="1945" w:type="pct"/>
          </w:tcPr>
          <w:p w14:paraId="3C85F8B8" w14:textId="3EADAA1D" w:rsidR="00C6054A" w:rsidRPr="006F299E" w:rsidRDefault="00C6054A" w:rsidP="007E69A6">
            <w:pPr>
              <w:autoSpaceDE w:val="0"/>
              <w:autoSpaceDN w:val="0"/>
              <w:adjustRightInd w:val="0"/>
              <w:rPr>
                <w:color w:val="000000" w:themeColor="text1"/>
                <w:sz w:val="20"/>
                <w:szCs w:val="20"/>
                <w:rtl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The sample consisted of unilateral posterior crossbite patients without any indication of the presence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of a mandibular shift.  </w:t>
            </w:r>
          </w:p>
        </w:tc>
      </w:tr>
      <w:tr w:rsidR="00752531" w:rsidRPr="006F299E" w14:paraId="6D6ED0E6" w14:textId="2409AEE9" w:rsidTr="006F299E">
        <w:trPr>
          <w:trHeight w:val="287"/>
        </w:trPr>
        <w:tc>
          <w:tcPr>
            <w:tcW w:w="1074" w:type="pct"/>
          </w:tcPr>
          <w:p w14:paraId="5CD6A226" w14:textId="094AE0DC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Weyrich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Noss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Lisson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J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581" w:type="pct"/>
          </w:tcPr>
          <w:p w14:paraId="1D970742" w14:textId="01EBE064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J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Orofac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Orthop</w:t>
            </w:r>
            <w:proofErr w:type="spellEnd"/>
          </w:p>
        </w:tc>
        <w:tc>
          <w:tcPr>
            <w:tcW w:w="1400" w:type="pct"/>
          </w:tcPr>
          <w:p w14:paraId="565A3F71" w14:textId="15A6B6C0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Comparison of a modified RME appliance with other appliances for transverse maxillary expansion</w:t>
            </w:r>
          </w:p>
        </w:tc>
        <w:tc>
          <w:tcPr>
            <w:tcW w:w="1945" w:type="pct"/>
          </w:tcPr>
          <w:p w14:paraId="31177EF9" w14:textId="271E41D2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The sample consisted of unilateral posterior crossbite patients without any indication of the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presence of a mandibular shift.</w:t>
            </w:r>
          </w:p>
        </w:tc>
      </w:tr>
      <w:tr w:rsidR="00752531" w:rsidRPr="006F299E" w14:paraId="092D3BBA" w14:textId="5398F020" w:rsidTr="006F299E">
        <w:trPr>
          <w:trHeight w:val="646"/>
        </w:trPr>
        <w:tc>
          <w:tcPr>
            <w:tcW w:w="1074" w:type="pct"/>
          </w:tcPr>
          <w:p w14:paraId="52F9DF1F" w14:textId="240DF0D0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Cozzani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M, Rosa 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Cozzani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P,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Siciliani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G.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2003</w:t>
            </w:r>
          </w:p>
        </w:tc>
        <w:tc>
          <w:tcPr>
            <w:tcW w:w="581" w:type="pct"/>
          </w:tcPr>
          <w:p w14:paraId="437C36CB" w14:textId="38CEE3C3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Prog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</w:p>
        </w:tc>
        <w:tc>
          <w:tcPr>
            <w:tcW w:w="1400" w:type="pct"/>
          </w:tcPr>
          <w:p w14:paraId="5156A13F" w14:textId="4931B0CB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Deciduous dentition-anchored rapid maxillary expansion in crossbite and non-crossbite mixed dentition patients: reaction of the permanent first molar</w:t>
            </w:r>
          </w:p>
        </w:tc>
        <w:tc>
          <w:tcPr>
            <w:tcW w:w="1945" w:type="pct"/>
          </w:tcPr>
          <w:p w14:paraId="56F17BF5" w14:textId="1416F2DD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The sample consisted of posterior crossbite and non-crossbite patients without any indication of the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presence of a mandibular shift.</w:t>
            </w:r>
          </w:p>
        </w:tc>
      </w:tr>
      <w:tr w:rsidR="00752531" w:rsidRPr="006F299E" w14:paraId="6792FFAA" w14:textId="2DC54B53" w:rsidTr="006F299E">
        <w:trPr>
          <w:trHeight w:val="287"/>
        </w:trPr>
        <w:tc>
          <w:tcPr>
            <w:tcW w:w="1074" w:type="pct"/>
          </w:tcPr>
          <w:p w14:paraId="2758FA41" w14:textId="0E4CF0CF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Lippold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Moiseenko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T,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Drerup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B,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Schilgen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Vegh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Danesh</w:t>
            </w:r>
            <w:proofErr w:type="spellEnd"/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G.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2012</w:t>
            </w:r>
          </w:p>
        </w:tc>
        <w:tc>
          <w:tcPr>
            <w:tcW w:w="581" w:type="pct"/>
          </w:tcPr>
          <w:p w14:paraId="5FBA4BF5" w14:textId="7890CFA9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BMC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Musculoskelet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Disord</w:t>
            </w:r>
            <w:proofErr w:type="spellEnd"/>
          </w:p>
        </w:tc>
        <w:tc>
          <w:tcPr>
            <w:tcW w:w="1400" w:type="pct"/>
          </w:tcPr>
          <w:p w14:paraId="332A5037" w14:textId="46E72EC7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Spine deviations and orthodontic treatment of asymmetric malocclusions in children</w:t>
            </w:r>
          </w:p>
        </w:tc>
        <w:tc>
          <w:tcPr>
            <w:tcW w:w="1945" w:type="pct"/>
          </w:tcPr>
          <w:p w14:paraId="1B85657C" w14:textId="161AE9A1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This study assessed the effect of early orthodontic treatment for unilateral posterior cross bite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on spine deviations which is not one of the main outcomes of this systematic review. </w:t>
            </w:r>
          </w:p>
        </w:tc>
      </w:tr>
      <w:tr w:rsidR="00752531" w:rsidRPr="006F299E" w14:paraId="2EE07BD8" w14:textId="3D2C9BBC" w:rsidTr="006F299E">
        <w:trPr>
          <w:trHeight w:val="307"/>
        </w:trPr>
        <w:tc>
          <w:tcPr>
            <w:tcW w:w="1074" w:type="pct"/>
          </w:tcPr>
          <w:p w14:paraId="0D6710C0" w14:textId="4943B7FB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Illipronti-Filho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E,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Fantini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SM,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Chilvarquer</w:t>
            </w:r>
            <w:proofErr w:type="spellEnd"/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I.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2015</w:t>
            </w:r>
          </w:p>
        </w:tc>
        <w:tc>
          <w:tcPr>
            <w:tcW w:w="581" w:type="pct"/>
          </w:tcPr>
          <w:p w14:paraId="00E18FBF" w14:textId="55D7CCD5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Braz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Oral Res</w:t>
            </w:r>
          </w:p>
        </w:tc>
        <w:tc>
          <w:tcPr>
            <w:tcW w:w="1400" w:type="pct"/>
          </w:tcPr>
          <w:p w14:paraId="0D8CD3DD" w14:textId="77777777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Evaluation of mandibular condyles in children with unilateral posterior crossbite</w:t>
            </w:r>
          </w:p>
          <w:p w14:paraId="2C859517" w14:textId="0900DB16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945" w:type="pct"/>
          </w:tcPr>
          <w:p w14:paraId="45FA501E" w14:textId="1683C6FE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The sample consisted of unilateral posterior crossbite patients without any indication of the presence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of a mandibular shift.</w:t>
            </w:r>
          </w:p>
        </w:tc>
      </w:tr>
      <w:tr w:rsidR="00752531" w:rsidRPr="006F299E" w14:paraId="0B2DD300" w14:textId="2D4EBA7F" w:rsidTr="006F299E">
        <w:trPr>
          <w:trHeight w:val="307"/>
        </w:trPr>
        <w:tc>
          <w:tcPr>
            <w:tcW w:w="1074" w:type="pct"/>
          </w:tcPr>
          <w:p w14:paraId="74FBEB5A" w14:textId="0A3D1FDE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Ramoglu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SI,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Sar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Z.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2010</w:t>
            </w:r>
          </w:p>
        </w:tc>
        <w:tc>
          <w:tcPr>
            <w:tcW w:w="581" w:type="pct"/>
          </w:tcPr>
          <w:p w14:paraId="0351093D" w14:textId="1E158E68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Eur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J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</w:p>
        </w:tc>
        <w:tc>
          <w:tcPr>
            <w:tcW w:w="1400" w:type="pct"/>
          </w:tcPr>
          <w:p w14:paraId="1ABAA25F" w14:textId="1D0B6FE7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Maxillary expansion in the mixed dentition: rapid or semi-rapid?</w:t>
            </w:r>
            <w:r w:rsidR="00CA768F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945" w:type="pct"/>
          </w:tcPr>
          <w:p w14:paraId="7F80CC62" w14:textId="1BB570F2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The sample consisted of bilateral crossbite patients.</w:t>
            </w:r>
          </w:p>
        </w:tc>
      </w:tr>
      <w:tr w:rsidR="00752531" w:rsidRPr="006F299E" w14:paraId="22F9A422" w14:textId="292C910C" w:rsidTr="006F299E">
        <w:trPr>
          <w:trHeight w:val="307"/>
        </w:trPr>
        <w:tc>
          <w:tcPr>
            <w:tcW w:w="1074" w:type="pct"/>
          </w:tcPr>
          <w:p w14:paraId="7804632A" w14:textId="3050DB5B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Tonni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I,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Iannazzi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A,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Piancino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MG,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Costantinides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F,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Dalessandri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D,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Paganelli</w:t>
            </w:r>
            <w:proofErr w:type="spellEnd"/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C.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2017</w:t>
            </w:r>
          </w:p>
        </w:tc>
        <w:tc>
          <w:tcPr>
            <w:tcW w:w="581" w:type="pct"/>
          </w:tcPr>
          <w:p w14:paraId="56320027" w14:textId="24A86560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Eur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J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</w:p>
        </w:tc>
        <w:tc>
          <w:tcPr>
            <w:tcW w:w="1400" w:type="pct"/>
          </w:tcPr>
          <w:p w14:paraId="1B2517B8" w14:textId="5AD0AB96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Asymmetric molars' mesial rotation and mesialization in unilateral functional posterior crossbite and implications for interceptive treatment in the mixed dentition</w:t>
            </w:r>
          </w:p>
        </w:tc>
        <w:tc>
          <w:tcPr>
            <w:tcW w:w="1945" w:type="pct"/>
            <w:shd w:val="clear" w:color="auto" w:fill="auto"/>
          </w:tcPr>
          <w:p w14:paraId="5B5D3CFD" w14:textId="5875AE74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This study analysed mesial rotation and mesialization of upper first molars which is not one of the main outcomes of this systematic review.</w:t>
            </w:r>
          </w:p>
        </w:tc>
      </w:tr>
      <w:tr w:rsidR="00752531" w:rsidRPr="006F299E" w14:paraId="79B04180" w14:textId="01EE0D0E" w:rsidTr="006F299E">
        <w:trPr>
          <w:trHeight w:val="307"/>
        </w:trPr>
        <w:tc>
          <w:tcPr>
            <w:tcW w:w="1074" w:type="pct"/>
          </w:tcPr>
          <w:p w14:paraId="5E1A673E" w14:textId="5DE6A933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Adly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MS,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Adly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A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2020</w:t>
            </w:r>
          </w:p>
        </w:tc>
        <w:tc>
          <w:tcPr>
            <w:tcW w:w="581" w:type="pct"/>
          </w:tcPr>
          <w:p w14:paraId="52629BE9" w14:textId="67110DFF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J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Telemed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Telecare</w:t>
            </w:r>
          </w:p>
        </w:tc>
        <w:tc>
          <w:tcPr>
            <w:tcW w:w="1400" w:type="pct"/>
          </w:tcPr>
          <w:p w14:paraId="4E77D59D" w14:textId="12537BF3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Assessment of early orthodontic treatment on functional shifts by telemonitoring mandibular movements using a smart phone</w:t>
            </w:r>
          </w:p>
        </w:tc>
        <w:tc>
          <w:tcPr>
            <w:tcW w:w="1945" w:type="pct"/>
          </w:tcPr>
          <w:p w14:paraId="35F7ACE3" w14:textId="148C6D0B" w:rsidR="00C6054A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T</w:t>
            </w: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his study assessed the effect of orthodontic treatment on anterior or lateral functional shift</w:t>
            </w:r>
            <w:r w:rsid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by telemonitoring mandibular movements using smart phone which is not one of the main outcomes of this systematic review. </w:t>
            </w:r>
          </w:p>
        </w:tc>
      </w:tr>
      <w:tr w:rsidR="00752531" w:rsidRPr="006F299E" w14:paraId="4FCD1BF4" w14:textId="16C4C894" w:rsidTr="006F299E">
        <w:trPr>
          <w:trHeight w:val="307"/>
        </w:trPr>
        <w:tc>
          <w:tcPr>
            <w:tcW w:w="1074" w:type="pct"/>
          </w:tcPr>
          <w:p w14:paraId="79CDBED0" w14:textId="10AD8479" w:rsidR="00C6054A" w:rsidRPr="006F299E" w:rsidRDefault="00752531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Sandikcioglu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M,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Hazar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S.</w:t>
            </w:r>
            <w:r w:rsidR="006F299E" w:rsidRPr="006F299E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</w:rPr>
              <w:t>1997</w:t>
            </w:r>
          </w:p>
        </w:tc>
        <w:tc>
          <w:tcPr>
            <w:tcW w:w="581" w:type="pct"/>
          </w:tcPr>
          <w:p w14:paraId="08CCEF4C" w14:textId="77777777" w:rsidR="006F299E" w:rsidRPr="006F299E" w:rsidRDefault="00C6054A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Am J </w:t>
            </w:r>
            <w:proofErr w:type="spellStart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Orthod</w:t>
            </w:r>
            <w:proofErr w:type="spellEnd"/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 </w:t>
            </w:r>
          </w:p>
          <w:p w14:paraId="33A00B64" w14:textId="1082B0DD" w:rsidR="00C6054A" w:rsidRPr="006F299E" w:rsidRDefault="006F299E" w:rsidP="006F299E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D</w:t>
            </w:r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 xml:space="preserve">entofacial </w:t>
            </w:r>
            <w:proofErr w:type="spellStart"/>
            <w:r w:rsidR="00C6054A"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Orthop</w:t>
            </w:r>
            <w:proofErr w:type="spellEnd"/>
          </w:p>
        </w:tc>
        <w:tc>
          <w:tcPr>
            <w:tcW w:w="1400" w:type="pct"/>
          </w:tcPr>
          <w:p w14:paraId="609456A9" w14:textId="3D860502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  <w:lang w:val="en-US"/>
              </w:rPr>
              <w:t>Skeletal and dental changes after maxillary expansion in the mixed dentition</w:t>
            </w:r>
          </w:p>
        </w:tc>
        <w:tc>
          <w:tcPr>
            <w:tcW w:w="1945" w:type="pct"/>
          </w:tcPr>
          <w:p w14:paraId="651E2061" w14:textId="35B2759D" w:rsidR="00C6054A" w:rsidRPr="006F299E" w:rsidRDefault="00C6054A" w:rsidP="007E69A6">
            <w:pPr>
              <w:autoSpaceDE w:val="0"/>
              <w:autoSpaceDN w:val="0"/>
              <w:adjustRightIn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6F299E">
              <w:rPr>
                <w:rFonts w:cstheme="minorHAnsi"/>
                <w:color w:val="000000" w:themeColor="text1"/>
                <w:sz w:val="20"/>
                <w:szCs w:val="20"/>
              </w:rPr>
              <w:t>The sample consisted of unilateral and bilateral posterior crossbite patients without any indication of the presence of a mandibular shift.</w:t>
            </w:r>
          </w:p>
        </w:tc>
      </w:tr>
    </w:tbl>
    <w:p w14:paraId="0AB63D01" w14:textId="4FDFD237" w:rsidR="00231056" w:rsidRPr="007E69A6" w:rsidRDefault="00EA331D" w:rsidP="003D6AF9">
      <w:pPr>
        <w:rPr>
          <w:sz w:val="16"/>
          <w:szCs w:val="16"/>
        </w:rPr>
      </w:pPr>
    </w:p>
    <w:sectPr w:rsidR="00231056" w:rsidRPr="007E69A6" w:rsidSect="007E69A6">
      <w:headerReference w:type="default" r:id="rId6"/>
      <w:pgSz w:w="15840" w:h="12240" w:orient="landscape"/>
      <w:pgMar w:top="284" w:right="28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D7CC6" w14:textId="77777777" w:rsidR="00EA331D" w:rsidRDefault="00EA331D" w:rsidP="0085715B">
      <w:pPr>
        <w:spacing w:after="0" w:line="240" w:lineRule="auto"/>
      </w:pPr>
      <w:r>
        <w:separator/>
      </w:r>
    </w:p>
  </w:endnote>
  <w:endnote w:type="continuationSeparator" w:id="0">
    <w:p w14:paraId="1861EC55" w14:textId="77777777" w:rsidR="00EA331D" w:rsidRDefault="00EA331D" w:rsidP="0085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BF7DB" w14:textId="77777777" w:rsidR="00EA331D" w:rsidRDefault="00EA331D" w:rsidP="0085715B">
      <w:pPr>
        <w:spacing w:after="0" w:line="240" w:lineRule="auto"/>
      </w:pPr>
      <w:r>
        <w:separator/>
      </w:r>
    </w:p>
  </w:footnote>
  <w:footnote w:type="continuationSeparator" w:id="0">
    <w:p w14:paraId="6686C51F" w14:textId="77777777" w:rsidR="00EA331D" w:rsidRDefault="00EA331D" w:rsidP="0085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69F64" w14:textId="263EFFA7" w:rsidR="0085715B" w:rsidRPr="002644AD" w:rsidRDefault="0085715B" w:rsidP="0085715B">
    <w:pPr>
      <w:rPr>
        <w:sz w:val="24"/>
        <w:szCs w:val="24"/>
      </w:rPr>
    </w:pPr>
  </w:p>
  <w:p w14:paraId="029EF96E" w14:textId="77777777" w:rsidR="0085715B" w:rsidRDefault="008571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1NDEytLA0MTI3MDJS0lEKTi0uzszPAykwqQUAbWvbHSwAAAA="/>
  </w:docVars>
  <w:rsids>
    <w:rsidRoot w:val="002644AD"/>
    <w:rsid w:val="00042B52"/>
    <w:rsid w:val="00095AB5"/>
    <w:rsid w:val="00127808"/>
    <w:rsid w:val="001D6BBD"/>
    <w:rsid w:val="002323CA"/>
    <w:rsid w:val="002644AD"/>
    <w:rsid w:val="002A426A"/>
    <w:rsid w:val="002D4AE7"/>
    <w:rsid w:val="00341B36"/>
    <w:rsid w:val="003902A6"/>
    <w:rsid w:val="003D6AF9"/>
    <w:rsid w:val="00407EA4"/>
    <w:rsid w:val="004528DB"/>
    <w:rsid w:val="00474B63"/>
    <w:rsid w:val="00491384"/>
    <w:rsid w:val="004B7673"/>
    <w:rsid w:val="004F518A"/>
    <w:rsid w:val="005143A1"/>
    <w:rsid w:val="00564100"/>
    <w:rsid w:val="005C40BA"/>
    <w:rsid w:val="006955A7"/>
    <w:rsid w:val="006C7B22"/>
    <w:rsid w:val="006E4B45"/>
    <w:rsid w:val="006F299E"/>
    <w:rsid w:val="00717467"/>
    <w:rsid w:val="00752531"/>
    <w:rsid w:val="0076243C"/>
    <w:rsid w:val="007D6225"/>
    <w:rsid w:val="007E69A6"/>
    <w:rsid w:val="008057D3"/>
    <w:rsid w:val="0085715B"/>
    <w:rsid w:val="008C7DBE"/>
    <w:rsid w:val="00901BA4"/>
    <w:rsid w:val="00950DA6"/>
    <w:rsid w:val="00990DF3"/>
    <w:rsid w:val="009B6795"/>
    <w:rsid w:val="00A12B33"/>
    <w:rsid w:val="00A14002"/>
    <w:rsid w:val="00A26C43"/>
    <w:rsid w:val="00A71AB0"/>
    <w:rsid w:val="00A97D9E"/>
    <w:rsid w:val="00AE22E7"/>
    <w:rsid w:val="00B0584C"/>
    <w:rsid w:val="00B768EA"/>
    <w:rsid w:val="00BD3DF6"/>
    <w:rsid w:val="00C310FF"/>
    <w:rsid w:val="00C6054A"/>
    <w:rsid w:val="00C861D0"/>
    <w:rsid w:val="00C927DF"/>
    <w:rsid w:val="00CA6847"/>
    <w:rsid w:val="00CA768F"/>
    <w:rsid w:val="00CB19BB"/>
    <w:rsid w:val="00CE0C40"/>
    <w:rsid w:val="00D31D29"/>
    <w:rsid w:val="00DC0FDF"/>
    <w:rsid w:val="00E03327"/>
    <w:rsid w:val="00E07ABE"/>
    <w:rsid w:val="00E137B1"/>
    <w:rsid w:val="00EA331D"/>
    <w:rsid w:val="00F42996"/>
    <w:rsid w:val="00FE0A46"/>
    <w:rsid w:val="00FF7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1A9B13"/>
  <w15:docId w15:val="{1E41079C-DC8D-48AB-BDD4-8391E76DC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44A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644A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D31D29"/>
    <w:rPr>
      <w:color w:val="0000FF"/>
      <w:u w:val="single"/>
    </w:rPr>
  </w:style>
  <w:style w:type="character" w:customStyle="1" w:styleId="highlight">
    <w:name w:val="highlight"/>
    <w:basedOn w:val="DefaultParagraphFont"/>
    <w:rsid w:val="002A426A"/>
  </w:style>
  <w:style w:type="character" w:styleId="CommentReference">
    <w:name w:val="annotation reference"/>
    <w:basedOn w:val="DefaultParagraphFont"/>
    <w:uiPriority w:val="99"/>
    <w:semiHidden/>
    <w:unhideWhenUsed/>
    <w:rsid w:val="00407EA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7EA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7EA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7EA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7EA4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7E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EA4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5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15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857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15B"/>
    <w:rPr>
      <w:lang w:val="en-GB"/>
    </w:rPr>
  </w:style>
  <w:style w:type="paragraph" w:styleId="Revision">
    <w:name w:val="Revision"/>
    <w:hidden/>
    <w:uiPriority w:val="99"/>
    <w:semiHidden/>
    <w:rsid w:val="003D6AF9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1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545</Words>
  <Characters>3111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dania</dc:creator>
  <cp:lastModifiedBy>Professor Mohammad Y Hajeer</cp:lastModifiedBy>
  <cp:revision>15</cp:revision>
  <dcterms:created xsi:type="dcterms:W3CDTF">2021-01-14T08:30:00Z</dcterms:created>
  <dcterms:modified xsi:type="dcterms:W3CDTF">2021-08-06T05:29:00Z</dcterms:modified>
</cp:coreProperties>
</file>