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51BE6" w14:textId="77777777" w:rsidR="00403F2B" w:rsidRPr="003B38DC" w:rsidRDefault="00403F2B" w:rsidP="00403F2B">
      <w:pPr>
        <w:spacing w:before="100" w:beforeAutospacing="1" w:after="100" w:afterAutospacing="1" w:line="480" w:lineRule="auto"/>
        <w:ind w:left="360"/>
        <w:jc w:val="both"/>
        <w:rPr>
          <w:color w:val="000000" w:themeColor="text1"/>
        </w:rPr>
      </w:pPr>
      <w:r w:rsidRPr="003B38DC">
        <w:rPr>
          <w:color w:val="000000" w:themeColor="text1"/>
        </w:rPr>
        <w:t>Supplementary discussion</w:t>
      </w:r>
    </w:p>
    <w:p w14:paraId="05CC3C92" w14:textId="77777777" w:rsidR="00403F2B" w:rsidRPr="003B38DC" w:rsidRDefault="00403F2B" w:rsidP="00403F2B">
      <w:pPr>
        <w:spacing w:before="100" w:beforeAutospacing="1" w:after="100" w:afterAutospacing="1" w:line="480" w:lineRule="auto"/>
        <w:ind w:left="360"/>
        <w:jc w:val="both"/>
        <w:rPr>
          <w:rFonts w:eastAsia="MS Mincho"/>
          <w:color w:val="000000" w:themeColor="text1"/>
        </w:rPr>
      </w:pPr>
      <w:r w:rsidRPr="003B38DC">
        <w:rPr>
          <w:color w:val="000000" w:themeColor="text1"/>
        </w:rPr>
        <w:t xml:space="preserve">In the current study, 3D condylar movement was evaluated by computed </w:t>
      </w:r>
      <w:proofErr w:type="spellStart"/>
      <w:r w:rsidRPr="003B38DC">
        <w:rPr>
          <w:color w:val="000000" w:themeColor="text1"/>
        </w:rPr>
        <w:t>axiography</w:t>
      </w:r>
      <w:proofErr w:type="spellEnd"/>
      <w:r w:rsidRPr="003B38DC">
        <w:rPr>
          <w:color w:val="000000" w:themeColor="text1"/>
        </w:rPr>
        <w:t xml:space="preserve"> and showed that CPL was significantly longer, and SCI was significantly steeper, on the shifted side versus the non-shifted side in the MA group. Previous studies that evaluated jaw movement in MA patients using an optical tracking camera system </w:t>
      </w:r>
      <w:sdt>
        <w:sdtPr>
          <w:rPr>
            <w:color w:val="000000" w:themeColor="text1"/>
            <w:highlight w:val="white"/>
          </w:rPr>
          <w:alias w:val="Citation"/>
          <w:tag w:val="{&quot;referencesIds&quot;:[&quot;doc:61d256458f0863a8e3ee63fb&quot;],&quot;referencesOptions&quot;:{&quot;doc:61d256458f0863a8e3ee63f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47304431,&quot;citationText&quot;:&quot;&lt;span style=\&quot;font-family:Times New Roman;font-size:16px;color:#000000\&quot;&gt;(7)&lt;/span&gt;&quot;}"/>
          <w:id w:val="-947304431"/>
          <w:placeholder>
            <w:docPart w:val="D0632A94AB726E4D8D2F29DCF096398A"/>
          </w:placeholder>
        </w:sdtPr>
        <w:sdtContent>
          <w:r w:rsidRPr="003B38DC">
            <w:rPr>
              <w:color w:val="000000"/>
            </w:rPr>
            <w:t>(7)</w:t>
          </w:r>
        </w:sdtContent>
      </w:sdt>
      <w:r w:rsidRPr="003B38DC">
        <w:rPr>
          <w:color w:val="000000" w:themeColor="text1"/>
        </w:rPr>
        <w:t xml:space="preserve"> and computed </w:t>
      </w:r>
      <w:proofErr w:type="spellStart"/>
      <w:r w:rsidRPr="003B38DC">
        <w:rPr>
          <w:color w:val="000000" w:themeColor="text1"/>
        </w:rPr>
        <w:t>axiography</w:t>
      </w:r>
      <w:proofErr w:type="spellEnd"/>
      <w:r w:rsidRPr="003B38DC">
        <w:rPr>
          <w:color w:val="000000" w:themeColor="text1"/>
        </w:rPr>
        <w:t xml:space="preserve"> </w:t>
      </w:r>
      <w:sdt>
        <w:sdtPr>
          <w:rPr>
            <w:color w:val="000000" w:themeColor="text1"/>
            <w:highlight w:val="white"/>
          </w:rPr>
          <w:alias w:val="Citation"/>
          <w:tag w:val="{&quot;referencesIds&quot;:[&quot;doc:61d256298f0836b00238812f&quot;,&quot;doc:61d2565d8f081b4467402f34&quot;],&quot;referencesOptions&quot;:{&quot;doc:61d256298f0836b00238812f&quot;:{&quot;author&quot;:true,&quot;year&quot;:true,&quot;pageReplace&quot;:&quot;&quot;,&quot;prefix&quot;:&quot;&quot;,&quot;suffix&quot;:&quot;&quot;},&quot;doc:61d2565d8f081b4467402f3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29169953,&quot;citationText&quot;:&quot;&lt;span style=\&quot;font-family:Times New Roman;font-size:16px;color:#000000\&quot;&gt;(6,8)&lt;/span&gt;&quot;}"/>
          <w:id w:val="429169953"/>
          <w:placeholder>
            <w:docPart w:val="B6BCE0D015B62F4EB9A18CFDFDC99F3C"/>
          </w:placeholder>
        </w:sdtPr>
        <w:sdtContent>
          <w:r w:rsidRPr="003B38DC">
            <w:rPr>
              <w:color w:val="000000"/>
            </w:rPr>
            <w:t>(6,</w:t>
          </w:r>
          <w:r>
            <w:rPr>
              <w:color w:val="000000"/>
            </w:rPr>
            <w:t xml:space="preserve"> </w:t>
          </w:r>
          <w:r w:rsidRPr="003B38DC">
            <w:rPr>
              <w:color w:val="000000"/>
            </w:rPr>
            <w:t>8)</w:t>
          </w:r>
        </w:sdtContent>
      </w:sdt>
      <w:r w:rsidRPr="003B38DC">
        <w:rPr>
          <w:color w:val="000000" w:themeColor="text1"/>
        </w:rPr>
        <w:t xml:space="preserve"> also showed that condylar movement on the shifted side was greater than that on the contralateral side. In the MA group, the TCI on both the shifted and non-shifted sides showed negative values, indicating that bilateral condyles tended to move towards the shifted side during protrusive movements in MA patients. </w:t>
      </w:r>
      <w:proofErr w:type="spellStart"/>
      <w:r w:rsidRPr="003B38DC">
        <w:rPr>
          <w:color w:val="000000" w:themeColor="text1"/>
        </w:rPr>
        <w:t>Ishizaki</w:t>
      </w:r>
      <w:proofErr w:type="spellEnd"/>
      <w:r w:rsidRPr="003B38DC">
        <w:rPr>
          <w:color w:val="000000" w:themeColor="text1"/>
        </w:rPr>
        <w:t xml:space="preserve"> et al</w:t>
      </w:r>
      <w:r w:rsidRPr="003B38DC">
        <w:rPr>
          <w:i/>
          <w:iCs/>
          <w:color w:val="000000" w:themeColor="text1"/>
        </w:rPr>
        <w:t>.</w:t>
      </w:r>
      <w:r w:rsidRPr="003B38DC">
        <w:rPr>
          <w:color w:val="000000" w:themeColor="text1"/>
        </w:rPr>
        <w:t xml:space="preserve"> </w:t>
      </w:r>
      <w:sdt>
        <w:sdtPr>
          <w:rPr>
            <w:color w:val="000000" w:themeColor="text1"/>
            <w:highlight w:val="white"/>
          </w:rPr>
          <w:alias w:val="Citation"/>
          <w:tag w:val="{&quot;referencesIds&quot;:[&quot;doc:61d256298f0836b00238812f&quot;],&quot;referencesOptions&quot;:{&quot;doc:61d256298f0836b00238812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17154102,&quot;citationText&quot;:&quot;&lt;span style=\&quot;font-family:Times New Roman;font-size:16px;color:#000000\&quot;&gt;(6)&lt;/span&gt;&quot;}"/>
          <w:id w:val="1317154102"/>
          <w:placeholder>
            <w:docPart w:val="075F2AAFC0E6C149AF0D2741F6AD16CB"/>
          </w:placeholder>
        </w:sdtPr>
        <w:sdtContent>
          <w:r w:rsidRPr="003B38DC">
            <w:rPr>
              <w:color w:val="000000"/>
            </w:rPr>
            <w:t>(6)</w:t>
          </w:r>
        </w:sdtContent>
      </w:sdt>
      <w:r w:rsidRPr="003B38DC">
        <w:rPr>
          <w:color w:val="000000" w:themeColor="text1"/>
        </w:rPr>
        <w:t xml:space="preserve"> reported that the condyle on the shifted side tended to move outward during open–close and protrusion–retrusion movements. </w:t>
      </w:r>
      <w:proofErr w:type="spellStart"/>
      <w:r w:rsidRPr="003B38DC">
        <w:rPr>
          <w:color w:val="000000" w:themeColor="text1"/>
        </w:rPr>
        <w:t>Fushima</w:t>
      </w:r>
      <w:proofErr w:type="spellEnd"/>
      <w:r w:rsidRPr="003B38DC">
        <w:rPr>
          <w:color w:val="000000" w:themeColor="text1"/>
        </w:rPr>
        <w:t xml:space="preserve"> et al</w:t>
      </w:r>
      <w:r w:rsidRPr="003B38DC">
        <w:rPr>
          <w:i/>
          <w:iCs/>
          <w:color w:val="000000" w:themeColor="text1"/>
        </w:rPr>
        <w:t>.</w:t>
      </w:r>
      <w:r w:rsidRPr="003B38DC">
        <w:rPr>
          <w:color w:val="000000" w:themeColor="text1"/>
        </w:rPr>
        <w:t xml:space="preserve"> </w:t>
      </w:r>
      <w:sdt>
        <w:sdtPr>
          <w:rPr>
            <w:color w:val="000000" w:themeColor="text1"/>
            <w:highlight w:val="white"/>
          </w:rPr>
          <w:alias w:val="Citation"/>
          <w:tag w:val="{&quot;referencesIds&quot;:[&quot;doc:61e102fe8f084712f2e4bd46&quot;],&quot;referencesOptions&quot;:{&quot;doc:61e102fe8f084712f2e4bd4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82693763,&quot;citationText&quot;:&quot;&lt;span style=\&quot;font-family:Times New Roman;font-size:16px;color:#000000\&quot;&gt;(23)&lt;/span&gt;&quot;}"/>
          <w:id w:val="-982693763"/>
          <w:placeholder>
            <w:docPart w:val="C9A3599A0AA496458790AAC5B3BA3727"/>
          </w:placeholder>
        </w:sdtPr>
        <w:sdtContent>
          <w:r w:rsidRPr="003B38DC">
            <w:rPr>
              <w:color w:val="000000"/>
            </w:rPr>
            <w:t>(23)</w:t>
          </w:r>
        </w:sdtContent>
      </w:sdt>
      <w:r w:rsidRPr="003B38DC">
        <w:rPr>
          <w:color w:val="000000" w:themeColor="text1"/>
        </w:rPr>
        <w:t xml:space="preserve"> suggested that condylar movement in the horizontal plane on one </w:t>
      </w:r>
      <w:proofErr w:type="spellStart"/>
      <w:r w:rsidRPr="003B38DC">
        <w:rPr>
          <w:color w:val="000000" w:themeColor="text1"/>
        </w:rPr>
        <w:t>side affects</w:t>
      </w:r>
      <w:proofErr w:type="spellEnd"/>
      <w:r w:rsidRPr="003B38DC">
        <w:rPr>
          <w:color w:val="000000" w:themeColor="text1"/>
        </w:rPr>
        <w:t xml:space="preserve"> the movement of the contralateral side during symmetrical condylar movement. These findings are consistent with the values for the TCI in the current study.</w:t>
      </w:r>
    </w:p>
    <w:p w14:paraId="5395BE7A" w14:textId="77777777" w:rsidR="00403F2B" w:rsidRPr="00403F2B" w:rsidRDefault="00403F2B" w:rsidP="00403F2B">
      <w:pPr>
        <w:pStyle w:val="NormalWeb"/>
        <w:spacing w:line="480" w:lineRule="auto"/>
        <w:jc w:val="both"/>
        <w:rPr>
          <w:b/>
          <w:bCs/>
          <w:color w:val="000000"/>
        </w:rPr>
      </w:pPr>
      <w:r w:rsidRPr="00403F2B">
        <w:rPr>
          <w:b/>
          <w:bCs/>
          <w:color w:val="000000"/>
        </w:rPr>
        <w:t>References</w:t>
      </w:r>
    </w:p>
    <w:p w14:paraId="24DEBE78" w14:textId="7B10EE5F" w:rsidR="00403F2B" w:rsidRPr="003B38DC" w:rsidRDefault="00403F2B" w:rsidP="00403F2B">
      <w:pPr>
        <w:pStyle w:val="NormalWeb"/>
        <w:spacing w:line="480" w:lineRule="auto"/>
        <w:jc w:val="both"/>
        <w:rPr>
          <w:color w:val="000000"/>
        </w:rPr>
      </w:pPr>
      <w:r w:rsidRPr="003B38DC">
        <w:rPr>
          <w:color w:val="000000"/>
        </w:rPr>
        <w:t xml:space="preserve">(6) </w:t>
      </w:r>
      <w:proofErr w:type="spellStart"/>
      <w:r w:rsidRPr="003B38DC">
        <w:rPr>
          <w:color w:val="000000" w:themeColor="text1"/>
        </w:rPr>
        <w:t>Ishizaki</w:t>
      </w:r>
      <w:proofErr w:type="spellEnd"/>
      <w:r w:rsidRPr="003B38DC">
        <w:rPr>
          <w:color w:val="000000" w:themeColor="text1"/>
        </w:rPr>
        <w:t xml:space="preserve"> K, Suzuki K, Mito T, Tanaka EM and Sato S. (2010) Morphologic, functional, and occlusal characterization of mandibular lateral displacement malocclusion. Am J </w:t>
      </w:r>
      <w:proofErr w:type="spellStart"/>
      <w:r w:rsidRPr="003B38DC">
        <w:rPr>
          <w:color w:val="000000" w:themeColor="text1"/>
        </w:rPr>
        <w:t>Orthod</w:t>
      </w:r>
      <w:proofErr w:type="spellEnd"/>
      <w:r w:rsidRPr="003B38DC">
        <w:rPr>
          <w:color w:val="000000" w:themeColor="text1"/>
        </w:rPr>
        <w:t xml:space="preserve"> Dentofacial </w:t>
      </w:r>
      <w:proofErr w:type="spellStart"/>
      <w:r w:rsidRPr="003B38DC">
        <w:rPr>
          <w:color w:val="000000" w:themeColor="text1"/>
        </w:rPr>
        <w:t>Orthop</w:t>
      </w:r>
      <w:proofErr w:type="spellEnd"/>
      <w:r w:rsidRPr="003B38DC">
        <w:rPr>
          <w:color w:val="000000" w:themeColor="text1"/>
        </w:rPr>
        <w:t xml:space="preserve"> 137, 454.e1-9. </w:t>
      </w:r>
      <w:hyperlink r:id="rId4" w:tgtFrame="_blank" w:tooltip="Persistent link using digital object identifier" w:history="1">
        <w:r w:rsidRPr="003B38DC">
          <w:rPr>
            <w:rStyle w:val="Hyperlink"/>
            <w:color w:val="000000" w:themeColor="text1"/>
          </w:rPr>
          <w:t>https://doi.org/10.1016/j.ajodo.2009.10.031</w:t>
        </w:r>
      </w:hyperlink>
    </w:p>
    <w:p w14:paraId="103DD332" w14:textId="77777777" w:rsidR="00403F2B" w:rsidRPr="003B38DC" w:rsidRDefault="00403F2B" w:rsidP="00403F2B">
      <w:pPr>
        <w:pStyle w:val="NormalWeb"/>
        <w:spacing w:line="480" w:lineRule="auto"/>
        <w:jc w:val="both"/>
        <w:rPr>
          <w:color w:val="000000"/>
        </w:rPr>
      </w:pPr>
      <w:r w:rsidRPr="003B38DC">
        <w:rPr>
          <w:color w:val="000000"/>
        </w:rPr>
        <w:t xml:space="preserve">(7) </w:t>
      </w:r>
      <w:r w:rsidRPr="003B38DC">
        <w:rPr>
          <w:color w:val="000000" w:themeColor="text1"/>
        </w:rPr>
        <w:t xml:space="preserve">Hashimoto T, Kuroda S, </w:t>
      </w:r>
      <w:proofErr w:type="spellStart"/>
      <w:r w:rsidRPr="003B38DC">
        <w:rPr>
          <w:color w:val="000000" w:themeColor="text1"/>
        </w:rPr>
        <w:t>Lihua</w:t>
      </w:r>
      <w:proofErr w:type="spellEnd"/>
      <w:r w:rsidRPr="003B38DC">
        <w:rPr>
          <w:color w:val="000000" w:themeColor="text1"/>
        </w:rPr>
        <w:t xml:space="preserve"> E, </w:t>
      </w:r>
      <w:proofErr w:type="spellStart"/>
      <w:r w:rsidRPr="003B38DC">
        <w:rPr>
          <w:color w:val="000000" w:themeColor="text1"/>
        </w:rPr>
        <w:t>Tanimoto</w:t>
      </w:r>
      <w:proofErr w:type="spellEnd"/>
      <w:r w:rsidRPr="003B38DC">
        <w:rPr>
          <w:color w:val="000000" w:themeColor="text1"/>
        </w:rPr>
        <w:t xml:space="preserve"> Y, </w:t>
      </w:r>
      <w:proofErr w:type="spellStart"/>
      <w:r w:rsidRPr="003B38DC">
        <w:rPr>
          <w:color w:val="000000" w:themeColor="text1"/>
        </w:rPr>
        <w:t>Miyawaki</w:t>
      </w:r>
      <w:proofErr w:type="spellEnd"/>
      <w:r w:rsidRPr="003B38DC">
        <w:rPr>
          <w:color w:val="000000" w:themeColor="text1"/>
        </w:rPr>
        <w:t xml:space="preserve"> S and Takano-Yamamoto T. (2008) Correlation between craniofacial and condylar path asymmetry. Journal of Oral and Maxillofacial Surgery, 66, 2020–2027. </w:t>
      </w:r>
      <w:hyperlink r:id="rId5" w:tgtFrame="_blank" w:tooltip="Persistent link using digital object identifier" w:history="1">
        <w:r w:rsidRPr="003B38DC">
          <w:rPr>
            <w:rStyle w:val="Hyperlink"/>
            <w:color w:val="000000" w:themeColor="text1"/>
          </w:rPr>
          <w:t>https://doi.org/10.1016/j.joms.2008.06.003</w:t>
        </w:r>
      </w:hyperlink>
    </w:p>
    <w:p w14:paraId="2EDBD139" w14:textId="77777777" w:rsidR="00403F2B" w:rsidRPr="003B38DC" w:rsidRDefault="00403F2B" w:rsidP="00403F2B">
      <w:pPr>
        <w:pStyle w:val="NormalWeb"/>
        <w:spacing w:line="480" w:lineRule="auto"/>
        <w:jc w:val="both"/>
        <w:rPr>
          <w:color w:val="000000"/>
        </w:rPr>
      </w:pPr>
      <w:r w:rsidRPr="003B38DC">
        <w:rPr>
          <w:color w:val="000000"/>
        </w:rPr>
        <w:lastRenderedPageBreak/>
        <w:t xml:space="preserve">(8) </w:t>
      </w:r>
      <w:r w:rsidRPr="003B38DC">
        <w:rPr>
          <w:color w:val="000000" w:themeColor="text1"/>
        </w:rPr>
        <w:t xml:space="preserve">Ikeda M, Miyamoto JJ, Takada J, Moriyama K. Association between 3-dimensional mandibular morphology and condylar movement in subjects with mandibular asymmetry. Am J </w:t>
      </w:r>
      <w:proofErr w:type="spellStart"/>
      <w:r w:rsidRPr="003B38DC">
        <w:rPr>
          <w:color w:val="000000" w:themeColor="text1"/>
        </w:rPr>
        <w:t>Orthod</w:t>
      </w:r>
      <w:proofErr w:type="spellEnd"/>
      <w:r w:rsidRPr="003B38DC">
        <w:rPr>
          <w:color w:val="000000" w:themeColor="text1"/>
        </w:rPr>
        <w:t xml:space="preserve"> </w:t>
      </w:r>
      <w:proofErr w:type="spellStart"/>
      <w:r w:rsidRPr="003B38DC">
        <w:rPr>
          <w:color w:val="000000" w:themeColor="text1"/>
        </w:rPr>
        <w:t>Dentofac</w:t>
      </w:r>
      <w:proofErr w:type="spellEnd"/>
      <w:r w:rsidRPr="003B38DC">
        <w:rPr>
          <w:color w:val="000000" w:themeColor="text1"/>
        </w:rPr>
        <w:t xml:space="preserve"> </w:t>
      </w:r>
      <w:proofErr w:type="spellStart"/>
      <w:r w:rsidRPr="003B38DC">
        <w:rPr>
          <w:color w:val="000000" w:themeColor="text1"/>
        </w:rPr>
        <w:t>Orthop</w:t>
      </w:r>
      <w:proofErr w:type="spellEnd"/>
      <w:r w:rsidRPr="003B38DC">
        <w:rPr>
          <w:color w:val="000000" w:themeColor="text1"/>
        </w:rPr>
        <w:t xml:space="preserve"> 2017;151(2):324-334. </w:t>
      </w:r>
      <w:hyperlink r:id="rId6" w:tgtFrame="_blank" w:tooltip="Persistent link using digital object identifier" w:history="1">
        <w:r w:rsidRPr="003B38DC">
          <w:rPr>
            <w:color w:val="000000" w:themeColor="text1"/>
          </w:rPr>
          <w:t>https://doi.org/10.1016/j.ajodo.2016.06.042</w:t>
        </w:r>
      </w:hyperlink>
      <w:r w:rsidRPr="003B38DC">
        <w:rPr>
          <w:color w:val="000000"/>
        </w:rPr>
        <w:t xml:space="preserve"> </w:t>
      </w:r>
    </w:p>
    <w:p w14:paraId="1248C21D" w14:textId="639FCCB9" w:rsidR="0044507E" w:rsidRPr="00403F2B" w:rsidRDefault="00403F2B" w:rsidP="00403F2B">
      <w:pPr>
        <w:pStyle w:val="NormalWeb"/>
        <w:spacing w:line="480" w:lineRule="auto"/>
        <w:jc w:val="both"/>
        <w:rPr>
          <w:color w:val="000000"/>
        </w:rPr>
      </w:pPr>
      <w:r w:rsidRPr="003B38DC">
        <w:rPr>
          <w:color w:val="000000"/>
        </w:rPr>
        <w:t xml:space="preserve">(23) </w:t>
      </w:r>
      <w:proofErr w:type="spellStart"/>
      <w:r w:rsidRPr="003B38DC">
        <w:rPr>
          <w:color w:val="000000" w:themeColor="text1"/>
          <w:shd w:val="clear" w:color="auto" w:fill="FFFFFF"/>
        </w:rPr>
        <w:t>Fushima</w:t>
      </w:r>
      <w:proofErr w:type="spellEnd"/>
      <w:r w:rsidRPr="003B38DC">
        <w:rPr>
          <w:color w:val="000000" w:themeColor="text1"/>
          <w:shd w:val="clear" w:color="auto" w:fill="FFFFFF"/>
        </w:rPr>
        <w:t xml:space="preserve"> K, Sato S, Suzuki Y, Kashima I, Farha K. Horizontal condylar path in patients with disk displacement with reduction. </w:t>
      </w:r>
      <w:proofErr w:type="spellStart"/>
      <w:r w:rsidRPr="003B38DC">
        <w:rPr>
          <w:color w:val="000000" w:themeColor="text1"/>
        </w:rPr>
        <w:t>Cranio</w:t>
      </w:r>
      <w:proofErr w:type="spellEnd"/>
      <w:r w:rsidRPr="003B38DC">
        <w:rPr>
          <w:color w:val="000000" w:themeColor="text1"/>
          <w:shd w:val="clear" w:color="auto" w:fill="FFFFFF"/>
        </w:rPr>
        <w:t>®</w:t>
      </w:r>
      <w:r w:rsidRPr="003B38DC">
        <w:rPr>
          <w:color w:val="000000" w:themeColor="text1"/>
        </w:rPr>
        <w:t xml:space="preserve"> 1997;</w:t>
      </w:r>
      <w:r w:rsidRPr="003B38DC">
        <w:rPr>
          <w:color w:val="000000" w:themeColor="text1"/>
          <w:shd w:val="clear" w:color="auto" w:fill="FFFFFF"/>
        </w:rPr>
        <w:t>12:78-87</w:t>
      </w:r>
      <w:r w:rsidRPr="003B38DC">
        <w:rPr>
          <w:color w:val="000000" w:themeColor="text1"/>
        </w:rPr>
        <w:t xml:space="preserve">. </w:t>
      </w:r>
      <w:hyperlink r:id="rId7" w:history="1">
        <w:r w:rsidRPr="003B38DC">
          <w:rPr>
            <w:rStyle w:val="Hyperlink"/>
            <w:color w:val="000000" w:themeColor="text1"/>
          </w:rPr>
          <w:t>https://doi.org/10.1080/08869634.1994.11677999</w:t>
        </w:r>
      </w:hyperlink>
      <w:bookmarkStart w:id="0" w:name="_GoBack"/>
      <w:bookmarkEnd w:id="0"/>
    </w:p>
    <w:sectPr w:rsidR="0044507E" w:rsidRPr="00403F2B" w:rsidSect="0047161B">
      <w:footerReference w:type="even" r:id="rId8"/>
      <w:footerReference w:type="default" r:id="rId9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948688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3C63BE" w14:textId="77777777" w:rsidR="000E27E2" w:rsidRDefault="00403F2B" w:rsidP="000E27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CB1411" w14:textId="77777777" w:rsidR="000E27E2" w:rsidRDefault="00403F2B" w:rsidP="005753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54042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5FB6E5" w14:textId="77777777" w:rsidR="000E27E2" w:rsidRDefault="00403F2B" w:rsidP="000E27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22F86355" w14:textId="77777777" w:rsidR="000E27E2" w:rsidRDefault="00403F2B" w:rsidP="0057532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2B"/>
    <w:rsid w:val="000829CF"/>
    <w:rsid w:val="001354C6"/>
    <w:rsid w:val="00403F2B"/>
    <w:rsid w:val="0044507E"/>
    <w:rsid w:val="004C5CA5"/>
    <w:rsid w:val="00504C63"/>
    <w:rsid w:val="005A04EB"/>
    <w:rsid w:val="006D3ED2"/>
    <w:rsid w:val="00736EAB"/>
    <w:rsid w:val="008F3687"/>
    <w:rsid w:val="00B7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8C39"/>
  <w15:chartTrackingRefBased/>
  <w15:docId w15:val="{1B213FD4-5CC7-F443-9985-432CE6AD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F2B"/>
    <w:rPr>
      <w:rFonts w:ascii="Times New Roman" w:eastAsia="Times New Roman" w:hAnsi="Times New Roman" w:cs="Times New Roman"/>
      <w:lang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3F2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03F2B"/>
  </w:style>
  <w:style w:type="character" w:styleId="PageNumber">
    <w:name w:val="page number"/>
    <w:basedOn w:val="DefaultParagraphFont"/>
    <w:uiPriority w:val="99"/>
    <w:semiHidden/>
    <w:unhideWhenUsed/>
    <w:rsid w:val="00403F2B"/>
  </w:style>
  <w:style w:type="character" w:styleId="LineNumber">
    <w:name w:val="line number"/>
    <w:basedOn w:val="DefaultParagraphFont"/>
    <w:uiPriority w:val="99"/>
    <w:semiHidden/>
    <w:unhideWhenUsed/>
    <w:rsid w:val="00403F2B"/>
  </w:style>
  <w:style w:type="paragraph" w:styleId="NormalWeb">
    <w:name w:val="Normal (Web)"/>
    <w:basedOn w:val="Normal"/>
    <w:uiPriority w:val="99"/>
    <w:unhideWhenUsed/>
    <w:rsid w:val="00403F2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03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08869634.1994.1167799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ajodo.2016.06.042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doi.org/10.1016/j.joms.2008.06.0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1016/j.ajodo.2009.10.031" TargetMode="Externa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632A94AB726E4D8D2F29DCF0963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193AA-3FBC-7547-94DE-4A4662E07827}"/>
      </w:docPartPr>
      <w:docPartBody>
        <w:p w:rsidR="00000000" w:rsidRDefault="00114D02" w:rsidP="00114D02">
          <w:pPr>
            <w:pStyle w:val="D0632A94AB726E4D8D2F29DCF096398A"/>
          </w:pPr>
          <w:r w:rsidRPr="00B7439F">
            <w:rPr>
              <w:rStyle w:val="PlaceholderText"/>
            </w:rPr>
            <w:t>Formatting...</w:t>
          </w:r>
        </w:p>
      </w:docPartBody>
    </w:docPart>
    <w:docPart>
      <w:docPartPr>
        <w:name w:val="B6BCE0D015B62F4EB9A18CFDFDC99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3F29-DFCD-504C-8824-1AD07A3D7030}"/>
      </w:docPartPr>
      <w:docPartBody>
        <w:p w:rsidR="00000000" w:rsidRDefault="00114D02" w:rsidP="00114D02">
          <w:pPr>
            <w:pStyle w:val="B6BCE0D015B62F4EB9A18CFDFDC99F3C"/>
          </w:pPr>
          <w:r w:rsidRPr="00B7439F">
            <w:rPr>
              <w:rStyle w:val="PlaceholderText"/>
            </w:rPr>
            <w:t>Formatting...</w:t>
          </w:r>
        </w:p>
      </w:docPartBody>
    </w:docPart>
    <w:docPart>
      <w:docPartPr>
        <w:name w:val="075F2AAFC0E6C149AF0D2741F6AD1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1E41-5F8C-CD47-95BA-C18192132774}"/>
      </w:docPartPr>
      <w:docPartBody>
        <w:p w:rsidR="00000000" w:rsidRDefault="00114D02" w:rsidP="00114D02">
          <w:pPr>
            <w:pStyle w:val="075F2AAFC0E6C149AF0D2741F6AD16CB"/>
          </w:pPr>
          <w:r w:rsidRPr="00B7439F">
            <w:rPr>
              <w:rStyle w:val="PlaceholderText"/>
            </w:rPr>
            <w:t>Formatting...</w:t>
          </w:r>
        </w:p>
      </w:docPartBody>
    </w:docPart>
    <w:docPart>
      <w:docPartPr>
        <w:name w:val="C9A3599A0AA496458790AAC5B3BA3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747AE-ED86-4D45-BB8A-E8B6C8C04FDB}"/>
      </w:docPartPr>
      <w:docPartBody>
        <w:p w:rsidR="00000000" w:rsidRDefault="00114D02" w:rsidP="00114D02">
          <w:pPr>
            <w:pStyle w:val="C9A3599A0AA496458790AAC5B3BA3727"/>
          </w:pPr>
          <w:r w:rsidRPr="00B7439F"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02"/>
    <w:rsid w:val="00114D02"/>
    <w:rsid w:val="006E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my-MM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D02"/>
    <w:rPr>
      <w:color w:val="808080"/>
    </w:rPr>
  </w:style>
  <w:style w:type="paragraph" w:customStyle="1" w:styleId="D0632A94AB726E4D8D2F29DCF096398A">
    <w:name w:val="D0632A94AB726E4D8D2F29DCF096398A"/>
    <w:rsid w:val="00114D02"/>
  </w:style>
  <w:style w:type="paragraph" w:customStyle="1" w:styleId="B6BCE0D015B62F4EB9A18CFDFDC99F3C">
    <w:name w:val="B6BCE0D015B62F4EB9A18CFDFDC99F3C"/>
    <w:rsid w:val="00114D02"/>
  </w:style>
  <w:style w:type="paragraph" w:customStyle="1" w:styleId="075F2AAFC0E6C149AF0D2741F6AD16CB">
    <w:name w:val="075F2AAFC0E6C149AF0D2741F6AD16CB"/>
    <w:rsid w:val="00114D02"/>
  </w:style>
  <w:style w:type="paragraph" w:customStyle="1" w:styleId="C9A3599A0AA496458790AAC5B3BA3727">
    <w:name w:val="C9A3599A0AA496458790AAC5B3BA3727"/>
    <w:rsid w:val="00114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2022-04-21T04:32:00Z</dcterms:created>
  <dcterms:modified xsi:type="dcterms:W3CDTF">2022-04-21T04:33:00Z</dcterms:modified>
</cp:coreProperties>
</file>