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3954" w14:textId="77777777" w:rsidR="00C3421C" w:rsidRDefault="00C3421C" w:rsidP="00C3421C">
      <w:r w:rsidRPr="0040343C">
        <w:rPr>
          <w:b/>
          <w:bCs/>
        </w:rPr>
        <w:t>Supplementary Table</w:t>
      </w:r>
      <w:r>
        <w:t>:</w:t>
      </w:r>
      <w:r w:rsidRPr="0040343C">
        <w:t xml:space="preserve"> List of papers provided to the panelists.</w:t>
      </w:r>
    </w:p>
    <w:tbl>
      <w:tblPr>
        <w:tblStyle w:val="Grigliatabella"/>
        <w:tblW w:w="5000" w:type="pct"/>
        <w:tblLook w:val="04A0" w:firstRow="1" w:lastRow="0" w:firstColumn="1" w:lastColumn="0" w:noHBand="0" w:noVBand="1"/>
      </w:tblPr>
      <w:tblGrid>
        <w:gridCol w:w="1716"/>
        <w:gridCol w:w="1261"/>
        <w:gridCol w:w="1716"/>
        <w:gridCol w:w="4935"/>
      </w:tblGrid>
      <w:tr w:rsidR="00C3421C" w:rsidRPr="0040343C" w14:paraId="63B55B5D" w14:textId="77777777" w:rsidTr="00353F75">
        <w:trPr>
          <w:trHeight w:val="113"/>
        </w:trPr>
        <w:tc>
          <w:tcPr>
            <w:tcW w:w="891" w:type="pct"/>
            <w:hideMark/>
          </w:tcPr>
          <w:p w14:paraId="52212A8F" w14:textId="77777777" w:rsidR="00C3421C" w:rsidRPr="0040343C" w:rsidRDefault="00C3421C" w:rsidP="00353F75">
            <w:r w:rsidRPr="0040343C">
              <w:rPr>
                <w:b/>
                <w:bCs/>
                <w:lang w:val="it-IT"/>
              </w:rPr>
              <w:t>Study</w:t>
            </w:r>
          </w:p>
        </w:tc>
        <w:tc>
          <w:tcPr>
            <w:tcW w:w="655" w:type="pct"/>
            <w:hideMark/>
          </w:tcPr>
          <w:p w14:paraId="5D6A952D" w14:textId="77777777" w:rsidR="00C3421C" w:rsidRPr="0040343C" w:rsidRDefault="00C3421C" w:rsidP="00353F75">
            <w:pPr>
              <w:spacing w:after="160" w:line="259" w:lineRule="auto"/>
            </w:pPr>
            <w:r w:rsidRPr="0040343C">
              <w:rPr>
                <w:b/>
                <w:bCs/>
                <w:lang w:val="it-IT"/>
              </w:rPr>
              <w:t xml:space="preserve">Topic </w:t>
            </w:r>
          </w:p>
        </w:tc>
        <w:tc>
          <w:tcPr>
            <w:tcW w:w="891" w:type="pct"/>
            <w:hideMark/>
          </w:tcPr>
          <w:p w14:paraId="5CE9C865" w14:textId="77777777" w:rsidR="00C3421C" w:rsidRPr="0040343C" w:rsidRDefault="00C3421C" w:rsidP="00353F75">
            <w:pPr>
              <w:spacing w:after="160" w:line="259" w:lineRule="auto"/>
            </w:pPr>
            <w:proofErr w:type="spellStart"/>
            <w:r w:rsidRPr="0040343C">
              <w:rPr>
                <w:b/>
                <w:bCs/>
                <w:lang w:val="it-IT"/>
              </w:rPr>
              <w:t>Type</w:t>
            </w:r>
            <w:proofErr w:type="spellEnd"/>
            <w:r w:rsidRPr="0040343C">
              <w:rPr>
                <w:b/>
                <w:bCs/>
                <w:lang w:val="it-IT"/>
              </w:rPr>
              <w:t xml:space="preserve"> of study</w:t>
            </w:r>
          </w:p>
        </w:tc>
        <w:tc>
          <w:tcPr>
            <w:tcW w:w="2563" w:type="pct"/>
            <w:hideMark/>
          </w:tcPr>
          <w:p w14:paraId="0FB9BDDC" w14:textId="77777777" w:rsidR="00C3421C" w:rsidRPr="0040343C" w:rsidRDefault="00C3421C" w:rsidP="00353F75">
            <w:pPr>
              <w:spacing w:after="160" w:line="259" w:lineRule="auto"/>
            </w:pPr>
            <w:proofErr w:type="spellStart"/>
            <w:r w:rsidRPr="0040343C">
              <w:rPr>
                <w:b/>
                <w:bCs/>
                <w:lang w:val="it-IT"/>
              </w:rPr>
              <w:t>Aim</w:t>
            </w:r>
            <w:proofErr w:type="spellEnd"/>
          </w:p>
        </w:tc>
      </w:tr>
      <w:tr w:rsidR="00C3421C" w:rsidRPr="0040343C" w14:paraId="66B04DBB" w14:textId="77777777" w:rsidTr="00353F75">
        <w:trPr>
          <w:trHeight w:val="632"/>
        </w:trPr>
        <w:tc>
          <w:tcPr>
            <w:tcW w:w="891" w:type="pct"/>
            <w:hideMark/>
          </w:tcPr>
          <w:p w14:paraId="3F7EF2B3" w14:textId="77777777" w:rsidR="00C3421C" w:rsidRPr="0040343C" w:rsidRDefault="00C3421C" w:rsidP="00353F75">
            <w:pPr>
              <w:spacing w:after="160" w:line="259" w:lineRule="auto"/>
            </w:pPr>
            <w:proofErr w:type="spellStart"/>
            <w:r w:rsidRPr="0040343C">
              <w:t>Alhamwi</w:t>
            </w:r>
            <w:proofErr w:type="spellEnd"/>
            <w:r w:rsidRPr="0040343C">
              <w:t xml:space="preserve"> et al. 2024</w:t>
            </w:r>
            <w:r>
              <w:t xml:space="preserve"> [5]</w:t>
            </w:r>
          </w:p>
        </w:tc>
        <w:tc>
          <w:tcPr>
            <w:tcW w:w="655" w:type="pct"/>
            <w:hideMark/>
          </w:tcPr>
          <w:p w14:paraId="043196CC" w14:textId="77777777" w:rsidR="00C3421C" w:rsidRPr="0040343C" w:rsidRDefault="00C3421C" w:rsidP="00353F75">
            <w:pPr>
              <w:spacing w:after="160" w:line="259" w:lineRule="auto"/>
            </w:pPr>
            <w:r w:rsidRPr="0040343C">
              <w:t>Efficacy and efficiency of clear aligners</w:t>
            </w:r>
          </w:p>
        </w:tc>
        <w:tc>
          <w:tcPr>
            <w:tcW w:w="891" w:type="pct"/>
            <w:hideMark/>
          </w:tcPr>
          <w:p w14:paraId="7D72B472" w14:textId="77777777" w:rsidR="00C3421C" w:rsidRPr="0040343C" w:rsidRDefault="00C3421C" w:rsidP="00353F75">
            <w:pPr>
              <w:spacing w:after="160" w:line="259" w:lineRule="auto"/>
            </w:pPr>
            <w:r w:rsidRPr="0040343C">
              <w:t>Systematic review</w:t>
            </w:r>
          </w:p>
        </w:tc>
        <w:tc>
          <w:tcPr>
            <w:tcW w:w="2563" w:type="pct"/>
            <w:hideMark/>
          </w:tcPr>
          <w:p w14:paraId="34817D4A" w14:textId="77777777" w:rsidR="00C3421C" w:rsidRPr="0040343C" w:rsidRDefault="00C3421C" w:rsidP="00353F75">
            <w:pPr>
              <w:spacing w:after="160" w:line="259" w:lineRule="auto"/>
            </w:pPr>
            <w:r w:rsidRPr="0040343C">
              <w:t>To critically appraise and assess the currently observed evidence about the difference in orthodontic treatment</w:t>
            </w:r>
            <w:r>
              <w:t xml:space="preserve"> </w:t>
            </w:r>
            <w:r w:rsidRPr="0040343C">
              <w:t>duration between clear aligners and fixed appliances in crowding cases.</w:t>
            </w:r>
          </w:p>
        </w:tc>
      </w:tr>
      <w:tr w:rsidR="00C3421C" w:rsidRPr="0040343C" w14:paraId="2557103F" w14:textId="77777777" w:rsidTr="00353F75">
        <w:trPr>
          <w:trHeight w:val="842"/>
        </w:trPr>
        <w:tc>
          <w:tcPr>
            <w:tcW w:w="891" w:type="pct"/>
            <w:hideMark/>
          </w:tcPr>
          <w:p w14:paraId="14A2F493" w14:textId="77777777" w:rsidR="00C3421C" w:rsidRPr="0040343C" w:rsidRDefault="00C3421C" w:rsidP="00353F75">
            <w:pPr>
              <w:spacing w:after="160" w:line="259" w:lineRule="auto"/>
            </w:pPr>
            <w:r w:rsidRPr="0040343C">
              <w:t>Alwafi et al. 2023</w:t>
            </w:r>
            <w:r>
              <w:t>[3]</w:t>
            </w:r>
          </w:p>
        </w:tc>
        <w:tc>
          <w:tcPr>
            <w:tcW w:w="655" w:type="pct"/>
            <w:hideMark/>
          </w:tcPr>
          <w:p w14:paraId="4A8D659F" w14:textId="77777777" w:rsidR="00C3421C" w:rsidRPr="0040343C" w:rsidRDefault="00C3421C" w:rsidP="00353F75">
            <w:pPr>
              <w:spacing w:after="160" w:line="259" w:lineRule="auto"/>
            </w:pPr>
            <w:r w:rsidRPr="0040343C">
              <w:t>Efficacy and efficiency of clear aligners</w:t>
            </w:r>
          </w:p>
        </w:tc>
        <w:tc>
          <w:tcPr>
            <w:tcW w:w="891" w:type="pct"/>
            <w:hideMark/>
          </w:tcPr>
          <w:p w14:paraId="2D8063C6" w14:textId="77777777" w:rsidR="00C3421C" w:rsidRPr="0040343C" w:rsidRDefault="00C3421C" w:rsidP="00353F75">
            <w:pPr>
              <w:spacing w:after="160" w:line="259" w:lineRule="auto"/>
            </w:pPr>
            <w:r w:rsidRPr="0040343C">
              <w:t>Systematic review</w:t>
            </w:r>
          </w:p>
        </w:tc>
        <w:tc>
          <w:tcPr>
            <w:tcW w:w="2563" w:type="pct"/>
            <w:hideMark/>
          </w:tcPr>
          <w:p w14:paraId="318062B2" w14:textId="77777777" w:rsidR="00C3421C" w:rsidRPr="0040343C" w:rsidRDefault="00C3421C" w:rsidP="00353F75">
            <w:pPr>
              <w:spacing w:after="160" w:line="259" w:lineRule="auto"/>
            </w:pPr>
            <w:r w:rsidRPr="0040343C">
              <w:t>to systematically assess existing scientific evidence through an overview of SRs to evaluate the predictability of tooth movements with CAT and compare treatment outcomes between CAT and FA. By doing so, we seek to provide a comprehensive appraisal of the current knowledge on this topic.</w:t>
            </w:r>
          </w:p>
        </w:tc>
      </w:tr>
      <w:tr w:rsidR="00C3421C" w:rsidRPr="0040343C" w14:paraId="64E311BB" w14:textId="77777777" w:rsidTr="00353F75">
        <w:trPr>
          <w:trHeight w:val="632"/>
        </w:trPr>
        <w:tc>
          <w:tcPr>
            <w:tcW w:w="891" w:type="pct"/>
            <w:hideMark/>
          </w:tcPr>
          <w:p w14:paraId="1817029A" w14:textId="77777777" w:rsidR="00C3421C" w:rsidRPr="0040343C" w:rsidRDefault="00C3421C" w:rsidP="00353F75">
            <w:pPr>
              <w:spacing w:after="160" w:line="259" w:lineRule="auto"/>
            </w:pPr>
            <w:proofErr w:type="spellStart"/>
            <w:r w:rsidRPr="0040343C">
              <w:t>Castroflorio</w:t>
            </w:r>
            <w:proofErr w:type="spellEnd"/>
            <w:r w:rsidRPr="0040343C">
              <w:t xml:space="preserve"> et al</w:t>
            </w:r>
            <w:r>
              <w:t>.</w:t>
            </w:r>
            <w:r w:rsidRPr="0040343C">
              <w:t xml:space="preserve"> 2022</w:t>
            </w:r>
            <w:r>
              <w:t xml:space="preserve"> [4]</w:t>
            </w:r>
          </w:p>
        </w:tc>
        <w:tc>
          <w:tcPr>
            <w:tcW w:w="655" w:type="pct"/>
            <w:hideMark/>
          </w:tcPr>
          <w:p w14:paraId="45CB8CE3" w14:textId="77777777" w:rsidR="00C3421C" w:rsidRPr="0040343C" w:rsidRDefault="00C3421C" w:rsidP="00353F75">
            <w:pPr>
              <w:spacing w:after="160" w:line="259" w:lineRule="auto"/>
            </w:pPr>
            <w:r w:rsidRPr="0040343C">
              <w:t>Efficacy and efficiency of clear aligners</w:t>
            </w:r>
          </w:p>
        </w:tc>
        <w:tc>
          <w:tcPr>
            <w:tcW w:w="891" w:type="pct"/>
            <w:hideMark/>
          </w:tcPr>
          <w:p w14:paraId="2CE8AA1F" w14:textId="77777777" w:rsidR="00C3421C" w:rsidRPr="0040343C" w:rsidRDefault="00C3421C" w:rsidP="00353F75">
            <w:pPr>
              <w:spacing w:after="160" w:line="259" w:lineRule="auto"/>
            </w:pPr>
            <w:r w:rsidRPr="0040343C">
              <w:t>Prospective observational study</w:t>
            </w:r>
          </w:p>
        </w:tc>
        <w:tc>
          <w:tcPr>
            <w:tcW w:w="2563" w:type="pct"/>
            <w:hideMark/>
          </w:tcPr>
          <w:p w14:paraId="74D32FF0" w14:textId="77777777" w:rsidR="00C3421C" w:rsidRPr="0040343C" w:rsidRDefault="00C3421C" w:rsidP="00353F75">
            <w:pPr>
              <w:spacing w:after="160" w:line="259" w:lineRule="auto"/>
            </w:pPr>
            <w:r w:rsidRPr="0040343C">
              <w:t>to verify the hypothesis that clear aligner treatment does not completely fulfill the pretreatment goals at the end of the first set of aligners.</w:t>
            </w:r>
          </w:p>
        </w:tc>
      </w:tr>
      <w:tr w:rsidR="00C3421C" w:rsidRPr="0040343C" w14:paraId="30EC77C9" w14:textId="77777777" w:rsidTr="00353F75">
        <w:trPr>
          <w:trHeight w:val="737"/>
        </w:trPr>
        <w:tc>
          <w:tcPr>
            <w:tcW w:w="891" w:type="pct"/>
            <w:hideMark/>
          </w:tcPr>
          <w:p w14:paraId="762C2366" w14:textId="77777777" w:rsidR="00C3421C" w:rsidRPr="0040343C" w:rsidRDefault="00C3421C" w:rsidP="00353F75">
            <w:pPr>
              <w:spacing w:after="160" w:line="259" w:lineRule="auto"/>
            </w:pPr>
            <w:r w:rsidRPr="0040343C">
              <w:t>Li et al. 2023</w:t>
            </w:r>
            <w:r>
              <w:t xml:space="preserve"> [9]</w:t>
            </w:r>
          </w:p>
        </w:tc>
        <w:tc>
          <w:tcPr>
            <w:tcW w:w="655" w:type="pct"/>
            <w:hideMark/>
          </w:tcPr>
          <w:p w14:paraId="1656F28C" w14:textId="77777777" w:rsidR="00C3421C" w:rsidRPr="0040343C" w:rsidRDefault="00C3421C" w:rsidP="00353F75">
            <w:pPr>
              <w:spacing w:after="160" w:line="259" w:lineRule="auto"/>
            </w:pPr>
            <w:r w:rsidRPr="0040343C">
              <w:t>Quality of life and clear aligner treatment</w:t>
            </w:r>
          </w:p>
        </w:tc>
        <w:tc>
          <w:tcPr>
            <w:tcW w:w="891" w:type="pct"/>
            <w:hideMark/>
          </w:tcPr>
          <w:p w14:paraId="20A3AD51" w14:textId="77777777" w:rsidR="00C3421C" w:rsidRPr="0040343C" w:rsidRDefault="00C3421C" w:rsidP="00353F75">
            <w:pPr>
              <w:spacing w:after="160" w:line="259" w:lineRule="auto"/>
            </w:pPr>
            <w:r w:rsidRPr="0040343C">
              <w:t>Systematic review</w:t>
            </w:r>
          </w:p>
        </w:tc>
        <w:tc>
          <w:tcPr>
            <w:tcW w:w="2563" w:type="pct"/>
            <w:hideMark/>
          </w:tcPr>
          <w:p w14:paraId="423CC8B4" w14:textId="77777777" w:rsidR="00C3421C" w:rsidRPr="0040343C" w:rsidRDefault="00C3421C" w:rsidP="00353F75">
            <w:pPr>
              <w:spacing w:after="160" w:line="259" w:lineRule="auto"/>
            </w:pPr>
            <w:r w:rsidRPr="0040343C">
              <w:t>to compare the pain intensity and impacts on oral health-related quality of life between orthodontic patients treated with clear aligners and fixed appliances.</w:t>
            </w:r>
          </w:p>
        </w:tc>
      </w:tr>
      <w:tr w:rsidR="00C3421C" w:rsidRPr="0040343C" w14:paraId="7BC9C2D1" w14:textId="77777777" w:rsidTr="00353F75">
        <w:trPr>
          <w:trHeight w:val="632"/>
        </w:trPr>
        <w:tc>
          <w:tcPr>
            <w:tcW w:w="891" w:type="pct"/>
            <w:hideMark/>
          </w:tcPr>
          <w:p w14:paraId="7ABC1E0D" w14:textId="77777777" w:rsidR="00C3421C" w:rsidRPr="0040343C" w:rsidRDefault="00C3421C" w:rsidP="00353F75">
            <w:pPr>
              <w:spacing w:after="160" w:line="259" w:lineRule="auto"/>
            </w:pPr>
            <w:r>
              <w:t xml:space="preserve">Ali </w:t>
            </w:r>
            <w:r w:rsidRPr="0040343C">
              <w:t>Baeshen et al. 2023</w:t>
            </w:r>
            <w:r>
              <w:t xml:space="preserve"> [4]</w:t>
            </w:r>
          </w:p>
        </w:tc>
        <w:tc>
          <w:tcPr>
            <w:tcW w:w="655" w:type="pct"/>
            <w:hideMark/>
          </w:tcPr>
          <w:p w14:paraId="1DD9D63B" w14:textId="77777777" w:rsidR="00C3421C" w:rsidRPr="0040343C" w:rsidRDefault="00C3421C" w:rsidP="00353F75">
            <w:pPr>
              <w:spacing w:after="160" w:line="259" w:lineRule="auto"/>
            </w:pPr>
            <w:r w:rsidRPr="0040343C">
              <w:t>Side effects of clear aligner treatment</w:t>
            </w:r>
          </w:p>
        </w:tc>
        <w:tc>
          <w:tcPr>
            <w:tcW w:w="891" w:type="pct"/>
            <w:hideMark/>
          </w:tcPr>
          <w:p w14:paraId="48FC5280" w14:textId="77777777" w:rsidR="00C3421C" w:rsidRPr="0040343C" w:rsidRDefault="00C3421C" w:rsidP="00353F75">
            <w:pPr>
              <w:spacing w:after="160" w:line="259" w:lineRule="auto"/>
            </w:pPr>
            <w:r w:rsidRPr="0040343C">
              <w:t>Systematic review</w:t>
            </w:r>
          </w:p>
        </w:tc>
        <w:tc>
          <w:tcPr>
            <w:tcW w:w="2563" w:type="pct"/>
            <w:hideMark/>
          </w:tcPr>
          <w:p w14:paraId="12F5D3C4" w14:textId="77777777" w:rsidR="00C3421C" w:rsidRPr="0040343C" w:rsidRDefault="00C3421C" w:rsidP="00353F75">
            <w:pPr>
              <w:spacing w:after="160" w:line="259" w:lineRule="auto"/>
            </w:pPr>
            <w:r w:rsidRPr="0040343C">
              <w:t>To assess the effect of clear aligners on the speech of patients undergoing orthodontic therapy through a systematic review of the literature.</w:t>
            </w:r>
          </w:p>
        </w:tc>
      </w:tr>
      <w:tr w:rsidR="00C3421C" w:rsidRPr="0040343C" w14:paraId="7E7885AC" w14:textId="77777777" w:rsidTr="00353F75">
        <w:trPr>
          <w:trHeight w:val="632"/>
        </w:trPr>
        <w:tc>
          <w:tcPr>
            <w:tcW w:w="891" w:type="pct"/>
            <w:hideMark/>
          </w:tcPr>
          <w:p w14:paraId="0643CA1C" w14:textId="77777777" w:rsidR="00C3421C" w:rsidRPr="0040343C" w:rsidRDefault="00C3421C" w:rsidP="00353F75">
            <w:pPr>
              <w:spacing w:after="160" w:line="259" w:lineRule="auto"/>
            </w:pPr>
            <w:r w:rsidRPr="0040343C">
              <w:t>Raghavan et al</w:t>
            </w:r>
            <w:r>
              <w:t>.</w:t>
            </w:r>
            <w:r w:rsidRPr="0040343C">
              <w:t xml:space="preserve"> 2023</w:t>
            </w:r>
            <w:r>
              <w:t xml:space="preserve"> [13]</w:t>
            </w:r>
          </w:p>
        </w:tc>
        <w:tc>
          <w:tcPr>
            <w:tcW w:w="655" w:type="pct"/>
            <w:hideMark/>
          </w:tcPr>
          <w:p w14:paraId="71AD4326" w14:textId="77777777" w:rsidR="00C3421C" w:rsidRPr="0040343C" w:rsidRDefault="00C3421C" w:rsidP="00353F75">
            <w:pPr>
              <w:spacing w:after="160" w:line="259" w:lineRule="auto"/>
            </w:pPr>
            <w:r w:rsidRPr="0040343C">
              <w:t>Side effects of clear aligner treatment</w:t>
            </w:r>
          </w:p>
        </w:tc>
        <w:tc>
          <w:tcPr>
            <w:tcW w:w="891" w:type="pct"/>
            <w:hideMark/>
          </w:tcPr>
          <w:p w14:paraId="1EF604BD" w14:textId="77777777" w:rsidR="00C3421C" w:rsidRPr="0040343C" w:rsidRDefault="00C3421C" w:rsidP="00353F75">
            <w:pPr>
              <w:spacing w:after="160" w:line="259" w:lineRule="auto"/>
            </w:pPr>
            <w:r w:rsidRPr="0040343C">
              <w:t>Systematic review</w:t>
            </w:r>
          </w:p>
        </w:tc>
        <w:tc>
          <w:tcPr>
            <w:tcW w:w="2563" w:type="pct"/>
            <w:hideMark/>
          </w:tcPr>
          <w:p w14:paraId="5F208AC5" w14:textId="77777777" w:rsidR="00C3421C" w:rsidRPr="0040343C" w:rsidRDefault="00C3421C" w:rsidP="00353F75">
            <w:pPr>
              <w:spacing w:after="160" w:line="259" w:lineRule="auto"/>
            </w:pPr>
            <w:r w:rsidRPr="0040343C">
              <w:t xml:space="preserve">To </w:t>
            </w:r>
            <w:proofErr w:type="spellStart"/>
            <w:r w:rsidRPr="0040343C">
              <w:t>analyse</w:t>
            </w:r>
            <w:proofErr w:type="spellEnd"/>
            <w:r w:rsidRPr="0040343C">
              <w:t xml:space="preserve"> the available evidence regarding the incidence and severity of white spot lesions,</w:t>
            </w:r>
            <w:r>
              <w:t xml:space="preserve"> </w:t>
            </w:r>
            <w:r w:rsidRPr="0040343C">
              <w:t>plaque accumulation and salivary caries-associated bacteria in clear aligners verses conventional fixed orthodontic appliances.</w:t>
            </w:r>
          </w:p>
        </w:tc>
      </w:tr>
      <w:tr w:rsidR="00C3421C" w:rsidRPr="0040343C" w14:paraId="5EFBC20B" w14:textId="77777777" w:rsidTr="00353F75">
        <w:trPr>
          <w:trHeight w:val="737"/>
        </w:trPr>
        <w:tc>
          <w:tcPr>
            <w:tcW w:w="891" w:type="pct"/>
            <w:hideMark/>
          </w:tcPr>
          <w:p w14:paraId="70AD1D14" w14:textId="77777777" w:rsidR="00C3421C" w:rsidRPr="0040343C" w:rsidRDefault="00C3421C" w:rsidP="00353F75">
            <w:pPr>
              <w:spacing w:after="160" w:line="259" w:lineRule="auto"/>
            </w:pPr>
            <w:r w:rsidRPr="0040343C">
              <w:t>Zhang et al. 2024</w:t>
            </w:r>
            <w:r>
              <w:t xml:space="preserve"> [12]</w:t>
            </w:r>
          </w:p>
        </w:tc>
        <w:tc>
          <w:tcPr>
            <w:tcW w:w="655" w:type="pct"/>
            <w:hideMark/>
          </w:tcPr>
          <w:p w14:paraId="3C418360" w14:textId="77777777" w:rsidR="00C3421C" w:rsidRPr="0040343C" w:rsidRDefault="00C3421C" w:rsidP="00353F75">
            <w:pPr>
              <w:spacing w:after="160" w:line="259" w:lineRule="auto"/>
            </w:pPr>
            <w:r w:rsidRPr="0040343C">
              <w:t>Side effects of clear aligner treatment</w:t>
            </w:r>
          </w:p>
        </w:tc>
        <w:tc>
          <w:tcPr>
            <w:tcW w:w="891" w:type="pct"/>
            <w:hideMark/>
          </w:tcPr>
          <w:p w14:paraId="3859BE23" w14:textId="77777777" w:rsidR="00C3421C" w:rsidRPr="0040343C" w:rsidRDefault="00C3421C" w:rsidP="00353F75">
            <w:pPr>
              <w:spacing w:after="160" w:line="259" w:lineRule="auto"/>
            </w:pPr>
            <w:r w:rsidRPr="0040343C">
              <w:t>Systematic review</w:t>
            </w:r>
          </w:p>
        </w:tc>
        <w:tc>
          <w:tcPr>
            <w:tcW w:w="2563" w:type="pct"/>
            <w:hideMark/>
          </w:tcPr>
          <w:p w14:paraId="65E00A65" w14:textId="77777777" w:rsidR="00C3421C" w:rsidRPr="0040343C" w:rsidRDefault="00C3421C" w:rsidP="00353F75">
            <w:pPr>
              <w:spacing w:after="160" w:line="259" w:lineRule="auto"/>
            </w:pPr>
            <w:r w:rsidRPr="0040343C">
              <w:t>To evaluate the current evidence on clear aligners and root resorption using 3D and/or combined 2D and 3D methods from available systematic reviews and meta-analyses and to determine the relationship between root resorption and clear aligners using the AMSTAR 2 tool.</w:t>
            </w:r>
          </w:p>
        </w:tc>
      </w:tr>
      <w:tr w:rsidR="00C3421C" w:rsidRPr="0040343C" w14:paraId="58C7E474" w14:textId="77777777" w:rsidTr="00353F75">
        <w:trPr>
          <w:trHeight w:val="842"/>
        </w:trPr>
        <w:tc>
          <w:tcPr>
            <w:tcW w:w="891" w:type="pct"/>
            <w:hideMark/>
          </w:tcPr>
          <w:p w14:paraId="7B501BC6" w14:textId="77777777" w:rsidR="00C3421C" w:rsidRPr="0040343C" w:rsidRDefault="00C3421C" w:rsidP="00353F75">
            <w:pPr>
              <w:spacing w:after="160" w:line="259" w:lineRule="auto"/>
            </w:pPr>
            <w:r w:rsidRPr="0040343C">
              <w:t>Bruni et al</w:t>
            </w:r>
            <w:r>
              <w:t>.</w:t>
            </w:r>
            <w:r w:rsidRPr="0040343C">
              <w:t xml:space="preserve"> 2024</w:t>
            </w:r>
            <w:r>
              <w:t xml:space="preserve"> [20]</w:t>
            </w:r>
          </w:p>
        </w:tc>
        <w:tc>
          <w:tcPr>
            <w:tcW w:w="655" w:type="pct"/>
            <w:hideMark/>
          </w:tcPr>
          <w:p w14:paraId="4B467DD4" w14:textId="77777777" w:rsidR="00C3421C" w:rsidRPr="0040343C" w:rsidRDefault="00C3421C" w:rsidP="00353F75">
            <w:pPr>
              <w:spacing w:after="160" w:line="259" w:lineRule="auto"/>
            </w:pPr>
            <w:r w:rsidRPr="0040343C">
              <w:t>Clear aligners and growing patients</w:t>
            </w:r>
          </w:p>
        </w:tc>
        <w:tc>
          <w:tcPr>
            <w:tcW w:w="891" w:type="pct"/>
            <w:hideMark/>
          </w:tcPr>
          <w:p w14:paraId="6A561471" w14:textId="77777777" w:rsidR="00C3421C" w:rsidRPr="0040343C" w:rsidRDefault="00C3421C" w:rsidP="00353F75">
            <w:pPr>
              <w:spacing w:after="160" w:line="259" w:lineRule="auto"/>
            </w:pPr>
            <w:r w:rsidRPr="0040343C">
              <w:t>Randomized controlled trial</w:t>
            </w:r>
          </w:p>
        </w:tc>
        <w:tc>
          <w:tcPr>
            <w:tcW w:w="2563" w:type="pct"/>
            <w:hideMark/>
          </w:tcPr>
          <w:p w14:paraId="035B1882" w14:textId="77777777" w:rsidR="00C3421C" w:rsidRPr="0040343C" w:rsidRDefault="00C3421C" w:rsidP="00353F75">
            <w:pPr>
              <w:spacing w:after="160" w:line="259" w:lineRule="auto"/>
            </w:pPr>
            <w:r w:rsidRPr="0040343C">
              <w:t xml:space="preserve">to evaluate the efficacy of Invisalign First Phase I treatment compared with </w:t>
            </w:r>
            <w:proofErr w:type="spellStart"/>
            <w:r w:rsidRPr="0040343C">
              <w:t>toothborne</w:t>
            </w:r>
            <w:proofErr w:type="spellEnd"/>
            <w:r>
              <w:t xml:space="preserve"> </w:t>
            </w:r>
            <w:r w:rsidRPr="0040343C">
              <w:t>rapid maxillary expansion (RME) in mixed dentition patients by examining changes in palatal volume,</w:t>
            </w:r>
            <w:r>
              <w:t xml:space="preserve"> </w:t>
            </w:r>
            <w:r w:rsidRPr="0040343C">
              <w:lastRenderedPageBreak/>
              <w:t>palatal surface area, and maxillary interdental transverse measurements.</w:t>
            </w:r>
          </w:p>
        </w:tc>
      </w:tr>
      <w:tr w:rsidR="00C3421C" w:rsidRPr="0040343C" w14:paraId="6234E286" w14:textId="77777777" w:rsidTr="00353F75">
        <w:trPr>
          <w:trHeight w:val="632"/>
        </w:trPr>
        <w:tc>
          <w:tcPr>
            <w:tcW w:w="891" w:type="pct"/>
            <w:hideMark/>
          </w:tcPr>
          <w:p w14:paraId="07941CF2" w14:textId="77777777" w:rsidR="00C3421C" w:rsidRPr="0040343C" w:rsidRDefault="00C3421C" w:rsidP="00353F75">
            <w:pPr>
              <w:spacing w:after="160" w:line="259" w:lineRule="auto"/>
            </w:pPr>
            <w:r w:rsidRPr="0040343C">
              <w:lastRenderedPageBreak/>
              <w:t>Hosseini et al</w:t>
            </w:r>
            <w:r>
              <w:t>.</w:t>
            </w:r>
            <w:r w:rsidRPr="0040343C">
              <w:t xml:space="preserve"> 2023</w:t>
            </w:r>
            <w:r>
              <w:t xml:space="preserve"> [19]</w:t>
            </w:r>
          </w:p>
        </w:tc>
        <w:tc>
          <w:tcPr>
            <w:tcW w:w="655" w:type="pct"/>
            <w:hideMark/>
          </w:tcPr>
          <w:p w14:paraId="58272B7B" w14:textId="77777777" w:rsidR="00C3421C" w:rsidRPr="0040343C" w:rsidRDefault="00C3421C" w:rsidP="00353F75">
            <w:pPr>
              <w:spacing w:after="160" w:line="259" w:lineRule="auto"/>
            </w:pPr>
            <w:r w:rsidRPr="0040343C">
              <w:t>Clear aligners and growing patients</w:t>
            </w:r>
          </w:p>
        </w:tc>
        <w:tc>
          <w:tcPr>
            <w:tcW w:w="891" w:type="pct"/>
            <w:hideMark/>
          </w:tcPr>
          <w:p w14:paraId="71BBF708" w14:textId="77777777" w:rsidR="00C3421C" w:rsidRPr="0040343C" w:rsidRDefault="00C3421C" w:rsidP="00353F75">
            <w:pPr>
              <w:spacing w:after="160" w:line="259" w:lineRule="auto"/>
            </w:pPr>
            <w:r w:rsidRPr="0040343C">
              <w:t>retrospective controlled study</w:t>
            </w:r>
          </w:p>
        </w:tc>
        <w:tc>
          <w:tcPr>
            <w:tcW w:w="2563" w:type="pct"/>
            <w:hideMark/>
          </w:tcPr>
          <w:p w14:paraId="5300D695" w14:textId="77777777" w:rsidR="00C3421C" w:rsidRPr="0040343C" w:rsidRDefault="00C3421C" w:rsidP="00353F75">
            <w:pPr>
              <w:spacing w:after="160" w:line="259" w:lineRule="auto"/>
            </w:pPr>
            <w:r w:rsidRPr="0040343C">
              <w:t>to compare the skeletal and dental changes of patients with a Class II relationship treated with clear aligner mandibular advancement (MA) and Herbst appliances followed by comprehensive orthodontic treatment.</w:t>
            </w:r>
          </w:p>
        </w:tc>
      </w:tr>
      <w:tr w:rsidR="00C3421C" w:rsidRPr="0040343C" w14:paraId="5DDF9B63" w14:textId="77777777" w:rsidTr="00353F75">
        <w:trPr>
          <w:trHeight w:val="526"/>
        </w:trPr>
        <w:tc>
          <w:tcPr>
            <w:tcW w:w="891" w:type="pct"/>
            <w:hideMark/>
          </w:tcPr>
          <w:p w14:paraId="21E32B10" w14:textId="77777777" w:rsidR="00C3421C" w:rsidRPr="0040343C" w:rsidRDefault="00C3421C" w:rsidP="00353F75">
            <w:pPr>
              <w:spacing w:after="160" w:line="259" w:lineRule="auto"/>
            </w:pPr>
            <w:r w:rsidRPr="0040343C">
              <w:t>Lombardo et al. 2024</w:t>
            </w:r>
            <w:r>
              <w:t xml:space="preserve"> [18]</w:t>
            </w:r>
          </w:p>
        </w:tc>
        <w:tc>
          <w:tcPr>
            <w:tcW w:w="655" w:type="pct"/>
            <w:hideMark/>
          </w:tcPr>
          <w:p w14:paraId="22F7CC5F" w14:textId="77777777" w:rsidR="00C3421C" w:rsidRPr="0040343C" w:rsidRDefault="00C3421C" w:rsidP="00353F75">
            <w:pPr>
              <w:spacing w:after="160" w:line="259" w:lineRule="auto"/>
            </w:pPr>
            <w:r w:rsidRPr="0040343C">
              <w:t>Clear aligners and growing patients</w:t>
            </w:r>
          </w:p>
        </w:tc>
        <w:tc>
          <w:tcPr>
            <w:tcW w:w="891" w:type="pct"/>
            <w:hideMark/>
          </w:tcPr>
          <w:p w14:paraId="17681DE6" w14:textId="77777777" w:rsidR="00C3421C" w:rsidRPr="0040343C" w:rsidRDefault="00C3421C" w:rsidP="00353F75">
            <w:pPr>
              <w:spacing w:after="160" w:line="259" w:lineRule="auto"/>
            </w:pPr>
            <w:r w:rsidRPr="0040343C">
              <w:t>retrospective controlled study</w:t>
            </w:r>
          </w:p>
        </w:tc>
        <w:tc>
          <w:tcPr>
            <w:tcW w:w="2563" w:type="pct"/>
            <w:hideMark/>
          </w:tcPr>
          <w:p w14:paraId="104FBBAD" w14:textId="77777777" w:rsidR="00C3421C" w:rsidRPr="0040343C" w:rsidRDefault="00C3421C" w:rsidP="00353F75">
            <w:pPr>
              <w:spacing w:after="160" w:line="259" w:lineRule="auto"/>
            </w:pPr>
            <w:r w:rsidRPr="0040343C">
              <w:t xml:space="preserve">to compare the changes produced by the Twin </w:t>
            </w:r>
            <w:proofErr w:type="gramStart"/>
            <w:r w:rsidRPr="0040343C">
              <w:t xml:space="preserve">block </w:t>
            </w:r>
            <w:r>
              <w:t xml:space="preserve"> </w:t>
            </w:r>
            <w:r w:rsidRPr="0040343C">
              <w:t>versus</w:t>
            </w:r>
            <w:proofErr w:type="gramEnd"/>
            <w:r w:rsidRPr="0040343C">
              <w:t xml:space="preserve"> those by Mandibular Advanc</w:t>
            </w:r>
            <w:r>
              <w:t>e</w:t>
            </w:r>
            <w:r w:rsidRPr="0040343C">
              <w:t>ment.</w:t>
            </w:r>
          </w:p>
        </w:tc>
      </w:tr>
      <w:tr w:rsidR="00C3421C" w:rsidRPr="0040343C" w14:paraId="78518CB9" w14:textId="77777777" w:rsidTr="00353F75">
        <w:trPr>
          <w:trHeight w:val="574"/>
        </w:trPr>
        <w:tc>
          <w:tcPr>
            <w:tcW w:w="891" w:type="pct"/>
            <w:hideMark/>
          </w:tcPr>
          <w:p w14:paraId="66590000" w14:textId="77777777" w:rsidR="00C3421C" w:rsidRPr="0040343C" w:rsidRDefault="00C3421C" w:rsidP="00353F75">
            <w:pPr>
              <w:spacing w:after="160" w:line="259" w:lineRule="auto"/>
            </w:pPr>
            <w:r w:rsidRPr="0040343C">
              <w:t>Meade and Weir 2023</w:t>
            </w:r>
            <w:r>
              <w:t xml:space="preserve"> [22]</w:t>
            </w:r>
          </w:p>
        </w:tc>
        <w:tc>
          <w:tcPr>
            <w:tcW w:w="655" w:type="pct"/>
            <w:hideMark/>
          </w:tcPr>
          <w:p w14:paraId="7F61F46F" w14:textId="77777777" w:rsidR="00C3421C" w:rsidRPr="0040343C" w:rsidRDefault="00C3421C" w:rsidP="00353F75">
            <w:pPr>
              <w:spacing w:after="160" w:line="259" w:lineRule="auto"/>
            </w:pPr>
            <w:r w:rsidRPr="0040343C">
              <w:t>Clear aligners and growing patients</w:t>
            </w:r>
          </w:p>
        </w:tc>
        <w:tc>
          <w:tcPr>
            <w:tcW w:w="891" w:type="pct"/>
            <w:hideMark/>
          </w:tcPr>
          <w:p w14:paraId="6BEB50DD" w14:textId="77777777" w:rsidR="00C3421C" w:rsidRPr="0040343C" w:rsidRDefault="00C3421C" w:rsidP="00353F75">
            <w:pPr>
              <w:spacing w:after="160" w:line="259" w:lineRule="auto"/>
            </w:pPr>
            <w:r w:rsidRPr="0040343C">
              <w:t>retrospective controlled study</w:t>
            </w:r>
          </w:p>
        </w:tc>
        <w:tc>
          <w:tcPr>
            <w:tcW w:w="2563" w:type="pct"/>
            <w:hideMark/>
          </w:tcPr>
          <w:p w14:paraId="3D8A28F1" w14:textId="77777777" w:rsidR="00C3421C" w:rsidRPr="0040343C" w:rsidRDefault="00C3421C" w:rsidP="00353F75">
            <w:pPr>
              <w:spacing w:after="160" w:line="259" w:lineRule="auto"/>
            </w:pPr>
            <w:r w:rsidRPr="0040343C">
              <w:t>to determine whether the achieved changes in the treatment</w:t>
            </w:r>
            <w:r>
              <w:t xml:space="preserve"> </w:t>
            </w:r>
            <w:r w:rsidRPr="0040343C">
              <w:t>of Class II malocclusion were the same as those planned after the prescribed wear of an initial phase of Invisalign treatment with the mandibular advancement appliance (MAA)</w:t>
            </w:r>
          </w:p>
        </w:tc>
      </w:tr>
      <w:tr w:rsidR="00C3421C" w:rsidRPr="0040343C" w14:paraId="59B543D2" w14:textId="77777777" w:rsidTr="00353F75">
        <w:trPr>
          <w:trHeight w:val="526"/>
        </w:trPr>
        <w:tc>
          <w:tcPr>
            <w:tcW w:w="891" w:type="pct"/>
            <w:hideMark/>
          </w:tcPr>
          <w:p w14:paraId="6B9099FA" w14:textId="77777777" w:rsidR="00C3421C" w:rsidRPr="0040343C" w:rsidRDefault="00C3421C" w:rsidP="00353F75">
            <w:pPr>
              <w:spacing w:after="160" w:line="259" w:lineRule="auto"/>
            </w:pPr>
            <w:proofErr w:type="spellStart"/>
            <w:r w:rsidRPr="0040343C">
              <w:t>Zybutz</w:t>
            </w:r>
            <w:proofErr w:type="spellEnd"/>
            <w:r w:rsidRPr="0040343C">
              <w:t xml:space="preserve"> et al</w:t>
            </w:r>
            <w:r>
              <w:t>.</w:t>
            </w:r>
            <w:r w:rsidRPr="0040343C">
              <w:t xml:space="preserve"> 2021</w:t>
            </w:r>
            <w:r>
              <w:t xml:space="preserve"> [21]</w:t>
            </w:r>
          </w:p>
        </w:tc>
        <w:tc>
          <w:tcPr>
            <w:tcW w:w="655" w:type="pct"/>
            <w:hideMark/>
          </w:tcPr>
          <w:p w14:paraId="257006EE" w14:textId="77777777" w:rsidR="00C3421C" w:rsidRPr="0040343C" w:rsidRDefault="00C3421C" w:rsidP="00353F75">
            <w:pPr>
              <w:spacing w:after="160" w:line="259" w:lineRule="auto"/>
            </w:pPr>
            <w:r w:rsidRPr="0040343C">
              <w:t>Clear aligners and growing patients</w:t>
            </w:r>
          </w:p>
        </w:tc>
        <w:tc>
          <w:tcPr>
            <w:tcW w:w="891" w:type="pct"/>
            <w:hideMark/>
          </w:tcPr>
          <w:p w14:paraId="55C69CB8" w14:textId="77777777" w:rsidR="00C3421C" w:rsidRPr="0040343C" w:rsidRDefault="00C3421C" w:rsidP="00353F75">
            <w:pPr>
              <w:spacing w:after="160" w:line="259" w:lineRule="auto"/>
            </w:pPr>
            <w:r w:rsidRPr="0040343C">
              <w:t>cross-sectional observational survey</w:t>
            </w:r>
          </w:p>
        </w:tc>
        <w:tc>
          <w:tcPr>
            <w:tcW w:w="2563" w:type="pct"/>
            <w:hideMark/>
          </w:tcPr>
          <w:p w14:paraId="3F772AE4" w14:textId="77777777" w:rsidR="00C3421C" w:rsidRPr="0040343C" w:rsidRDefault="00C3421C" w:rsidP="00353F75">
            <w:pPr>
              <w:spacing w:after="160" w:line="259" w:lineRule="auto"/>
            </w:pPr>
            <w:r w:rsidRPr="0040343C">
              <w:t>To compare patients’ experiences with the Invisalign Teen with Mandibular Advancement (ITMA) and Twin Block (TB) appliances, both initially and after several months of wear.</w:t>
            </w:r>
          </w:p>
        </w:tc>
      </w:tr>
      <w:tr w:rsidR="00C3421C" w:rsidRPr="0040343C" w14:paraId="3E2006F2" w14:textId="77777777" w:rsidTr="00353F75">
        <w:trPr>
          <w:trHeight w:val="737"/>
        </w:trPr>
        <w:tc>
          <w:tcPr>
            <w:tcW w:w="891" w:type="pct"/>
            <w:hideMark/>
          </w:tcPr>
          <w:p w14:paraId="19F7A4B6" w14:textId="77777777" w:rsidR="00C3421C" w:rsidRPr="0040343C" w:rsidRDefault="00C3421C" w:rsidP="00353F75">
            <w:pPr>
              <w:spacing w:after="160" w:line="259" w:lineRule="auto"/>
            </w:pPr>
            <w:r w:rsidRPr="0040343C">
              <w:t>Jaber et al</w:t>
            </w:r>
            <w:r>
              <w:t xml:space="preserve">. </w:t>
            </w:r>
            <w:r w:rsidRPr="0040343C">
              <w:t>2023</w:t>
            </w:r>
            <w:r>
              <w:t xml:space="preserve"> [23]</w:t>
            </w:r>
          </w:p>
        </w:tc>
        <w:tc>
          <w:tcPr>
            <w:tcW w:w="655" w:type="pct"/>
            <w:hideMark/>
          </w:tcPr>
          <w:p w14:paraId="4C76904A" w14:textId="77777777" w:rsidR="00C3421C" w:rsidRPr="0040343C" w:rsidRDefault="00C3421C" w:rsidP="00353F75">
            <w:pPr>
              <w:spacing w:after="160" w:line="259" w:lineRule="auto"/>
            </w:pPr>
            <w:r w:rsidRPr="0040343C">
              <w:t>Clear aligners and extraction treatments</w:t>
            </w:r>
          </w:p>
        </w:tc>
        <w:tc>
          <w:tcPr>
            <w:tcW w:w="891" w:type="pct"/>
            <w:hideMark/>
          </w:tcPr>
          <w:p w14:paraId="7B8A4D3B" w14:textId="77777777" w:rsidR="00C3421C" w:rsidRPr="0040343C" w:rsidRDefault="00C3421C" w:rsidP="00353F75">
            <w:pPr>
              <w:spacing w:after="160" w:line="259" w:lineRule="auto"/>
            </w:pPr>
            <w:r w:rsidRPr="0040343C">
              <w:t>Randomized controlled trial</w:t>
            </w:r>
          </w:p>
        </w:tc>
        <w:tc>
          <w:tcPr>
            <w:tcW w:w="2563" w:type="pct"/>
            <w:hideMark/>
          </w:tcPr>
          <w:p w14:paraId="03C1D549" w14:textId="77777777" w:rsidR="00C3421C" w:rsidRPr="0040343C" w:rsidRDefault="00C3421C" w:rsidP="00353F75">
            <w:pPr>
              <w:spacing w:after="160" w:line="259" w:lineRule="auto"/>
            </w:pPr>
            <w:r w:rsidRPr="0040343C">
              <w:t>To compare the effectiveness of the clear aligners with the traditional fixed appliances in the treatment of premolars extraction complex cases using the American Board of Orthodontics Objective Grading System (ABO-OGS).</w:t>
            </w:r>
          </w:p>
        </w:tc>
      </w:tr>
      <w:tr w:rsidR="00C3421C" w:rsidRPr="0040343C" w14:paraId="51A70E89" w14:textId="77777777" w:rsidTr="00353F75">
        <w:trPr>
          <w:trHeight w:val="737"/>
        </w:trPr>
        <w:tc>
          <w:tcPr>
            <w:tcW w:w="891" w:type="pct"/>
            <w:hideMark/>
          </w:tcPr>
          <w:p w14:paraId="6DB738F2" w14:textId="77777777" w:rsidR="00C3421C" w:rsidRPr="0040343C" w:rsidRDefault="00C3421C" w:rsidP="00353F75">
            <w:pPr>
              <w:spacing w:after="160" w:line="259" w:lineRule="auto"/>
            </w:pPr>
            <w:r w:rsidRPr="0040343C">
              <w:t>Song et al</w:t>
            </w:r>
            <w:r>
              <w:t>.</w:t>
            </w:r>
            <w:r w:rsidRPr="0040343C">
              <w:t xml:space="preserve"> 2024</w:t>
            </w:r>
            <w:r>
              <w:t xml:space="preserve"> [24]</w:t>
            </w:r>
          </w:p>
        </w:tc>
        <w:tc>
          <w:tcPr>
            <w:tcW w:w="655" w:type="pct"/>
            <w:hideMark/>
          </w:tcPr>
          <w:p w14:paraId="29107D3F" w14:textId="77777777" w:rsidR="00C3421C" w:rsidRPr="0040343C" w:rsidRDefault="00C3421C" w:rsidP="00353F75">
            <w:pPr>
              <w:spacing w:after="160" w:line="259" w:lineRule="auto"/>
            </w:pPr>
            <w:r w:rsidRPr="0040343C">
              <w:t>Clear aligners and extraction treatments</w:t>
            </w:r>
          </w:p>
        </w:tc>
        <w:tc>
          <w:tcPr>
            <w:tcW w:w="891" w:type="pct"/>
            <w:hideMark/>
          </w:tcPr>
          <w:p w14:paraId="78A1B1ED" w14:textId="77777777" w:rsidR="00C3421C" w:rsidRPr="0040343C" w:rsidRDefault="00C3421C" w:rsidP="00353F75">
            <w:pPr>
              <w:spacing w:after="160" w:line="259" w:lineRule="auto"/>
            </w:pPr>
            <w:r w:rsidRPr="0040343C">
              <w:t>retrospective controlled study</w:t>
            </w:r>
          </w:p>
        </w:tc>
        <w:tc>
          <w:tcPr>
            <w:tcW w:w="2563" w:type="pct"/>
            <w:hideMark/>
          </w:tcPr>
          <w:p w14:paraId="6E33BB58" w14:textId="77777777" w:rsidR="00C3421C" w:rsidRPr="0040343C" w:rsidRDefault="00C3421C" w:rsidP="00353F75">
            <w:pPr>
              <w:spacing w:after="160" w:line="259" w:lineRule="auto"/>
            </w:pPr>
            <w:r w:rsidRPr="0040343C">
              <w:t>to compare the results of tooth movements after maximum retraction was performed with Invisalign and fixed appliances on the patients with the 4 first premolars extracted</w:t>
            </w:r>
          </w:p>
        </w:tc>
      </w:tr>
      <w:tr w:rsidR="00C3421C" w:rsidRPr="0040343C" w14:paraId="49D2F2E1" w14:textId="77777777" w:rsidTr="00353F75">
        <w:trPr>
          <w:trHeight w:val="632"/>
        </w:trPr>
        <w:tc>
          <w:tcPr>
            <w:tcW w:w="891" w:type="pct"/>
            <w:hideMark/>
          </w:tcPr>
          <w:p w14:paraId="10E58972" w14:textId="77777777" w:rsidR="00C3421C" w:rsidRPr="0040343C" w:rsidRDefault="00C3421C" w:rsidP="00353F75">
            <w:pPr>
              <w:spacing w:after="160" w:line="259" w:lineRule="auto"/>
            </w:pPr>
            <w:r w:rsidRPr="0040343C">
              <w:t>Di Spirito et al</w:t>
            </w:r>
            <w:r>
              <w:t>.</w:t>
            </w:r>
            <w:r w:rsidRPr="0040343C">
              <w:t xml:space="preserve"> 2023</w:t>
            </w:r>
            <w:r>
              <w:t xml:space="preserve"> [29]</w:t>
            </w:r>
          </w:p>
        </w:tc>
        <w:tc>
          <w:tcPr>
            <w:tcW w:w="655" w:type="pct"/>
            <w:hideMark/>
          </w:tcPr>
          <w:p w14:paraId="50D68E90" w14:textId="77777777" w:rsidR="00C3421C" w:rsidRPr="0040343C" w:rsidRDefault="00C3421C" w:rsidP="00353F75">
            <w:pPr>
              <w:spacing w:after="160" w:line="259" w:lineRule="auto"/>
            </w:pPr>
            <w:r w:rsidRPr="0040343C">
              <w:t>Clear aligners and periodontal health</w:t>
            </w:r>
          </w:p>
        </w:tc>
        <w:tc>
          <w:tcPr>
            <w:tcW w:w="891" w:type="pct"/>
            <w:hideMark/>
          </w:tcPr>
          <w:p w14:paraId="52281456" w14:textId="77777777" w:rsidR="00C3421C" w:rsidRPr="0040343C" w:rsidRDefault="00C3421C" w:rsidP="00353F75">
            <w:pPr>
              <w:spacing w:after="160" w:line="259" w:lineRule="auto"/>
            </w:pPr>
            <w:r w:rsidRPr="0040343C">
              <w:t>Systematic review</w:t>
            </w:r>
          </w:p>
        </w:tc>
        <w:tc>
          <w:tcPr>
            <w:tcW w:w="2563" w:type="pct"/>
            <w:hideMark/>
          </w:tcPr>
          <w:p w14:paraId="66A101E7" w14:textId="77777777" w:rsidR="00C3421C" w:rsidRPr="0040343C" w:rsidRDefault="00C3421C" w:rsidP="00353F75">
            <w:pPr>
              <w:spacing w:after="160" w:line="259" w:lineRule="auto"/>
            </w:pPr>
            <w:r w:rsidRPr="0040343C">
              <w:t xml:space="preserve">to summarize the current evidence </w:t>
            </w:r>
            <w:proofErr w:type="gramStart"/>
            <w:r w:rsidRPr="0040343C">
              <w:t>in order to</w:t>
            </w:r>
            <w:proofErr w:type="gramEnd"/>
            <w:r w:rsidRPr="0040343C">
              <w:t xml:space="preserve"> assess whether clear aligners are associated with a more beneficial impact on periodontal health status compared to fixed appliances in patients undergoing orthodontic treatment.</w:t>
            </w:r>
          </w:p>
        </w:tc>
      </w:tr>
    </w:tbl>
    <w:p w14:paraId="01E88FBF" w14:textId="77777777" w:rsidR="006F598D" w:rsidRDefault="006F598D"/>
    <w:sectPr w:rsidR="006F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1C"/>
    <w:rsid w:val="000267A1"/>
    <w:rsid w:val="000622E5"/>
    <w:rsid w:val="00074048"/>
    <w:rsid w:val="00084C73"/>
    <w:rsid w:val="00086566"/>
    <w:rsid w:val="000967CE"/>
    <w:rsid w:val="000A7BFF"/>
    <w:rsid w:val="000B5A86"/>
    <w:rsid w:val="000D2692"/>
    <w:rsid w:val="000E622A"/>
    <w:rsid w:val="00117213"/>
    <w:rsid w:val="0014364E"/>
    <w:rsid w:val="0015401E"/>
    <w:rsid w:val="0016382B"/>
    <w:rsid w:val="001664D7"/>
    <w:rsid w:val="001C5DDA"/>
    <w:rsid w:val="001E2837"/>
    <w:rsid w:val="00213E2E"/>
    <w:rsid w:val="0024450F"/>
    <w:rsid w:val="002642D1"/>
    <w:rsid w:val="00273493"/>
    <w:rsid w:val="0029280C"/>
    <w:rsid w:val="00294884"/>
    <w:rsid w:val="002B56C7"/>
    <w:rsid w:val="002C4DB7"/>
    <w:rsid w:val="002C6A09"/>
    <w:rsid w:val="00324A83"/>
    <w:rsid w:val="00333BED"/>
    <w:rsid w:val="00336434"/>
    <w:rsid w:val="00336A27"/>
    <w:rsid w:val="0034200E"/>
    <w:rsid w:val="00363BC9"/>
    <w:rsid w:val="003749EE"/>
    <w:rsid w:val="0037584F"/>
    <w:rsid w:val="00383790"/>
    <w:rsid w:val="003950E9"/>
    <w:rsid w:val="003A09C7"/>
    <w:rsid w:val="003A4E9F"/>
    <w:rsid w:val="003B5EA1"/>
    <w:rsid w:val="003C12E2"/>
    <w:rsid w:val="003D51F2"/>
    <w:rsid w:val="003D59DD"/>
    <w:rsid w:val="003E29D7"/>
    <w:rsid w:val="003E7160"/>
    <w:rsid w:val="003F1EA5"/>
    <w:rsid w:val="004238E9"/>
    <w:rsid w:val="00426C47"/>
    <w:rsid w:val="00437995"/>
    <w:rsid w:val="00437DEB"/>
    <w:rsid w:val="0044728C"/>
    <w:rsid w:val="004950A7"/>
    <w:rsid w:val="004A300F"/>
    <w:rsid w:val="004B7318"/>
    <w:rsid w:val="00502918"/>
    <w:rsid w:val="00530CE6"/>
    <w:rsid w:val="00543B08"/>
    <w:rsid w:val="0056608E"/>
    <w:rsid w:val="0057230D"/>
    <w:rsid w:val="00580CE3"/>
    <w:rsid w:val="00590285"/>
    <w:rsid w:val="005A3899"/>
    <w:rsid w:val="005B54CA"/>
    <w:rsid w:val="005E032E"/>
    <w:rsid w:val="005E2981"/>
    <w:rsid w:val="0060482E"/>
    <w:rsid w:val="00612FE6"/>
    <w:rsid w:val="00644672"/>
    <w:rsid w:val="00657748"/>
    <w:rsid w:val="00666450"/>
    <w:rsid w:val="00671784"/>
    <w:rsid w:val="006771AC"/>
    <w:rsid w:val="006A590F"/>
    <w:rsid w:val="006C1135"/>
    <w:rsid w:val="006E5BE6"/>
    <w:rsid w:val="006F598D"/>
    <w:rsid w:val="006F6330"/>
    <w:rsid w:val="007050F3"/>
    <w:rsid w:val="00733C5D"/>
    <w:rsid w:val="00753188"/>
    <w:rsid w:val="007632FA"/>
    <w:rsid w:val="00780DF7"/>
    <w:rsid w:val="00787288"/>
    <w:rsid w:val="007907CA"/>
    <w:rsid w:val="007A7013"/>
    <w:rsid w:val="007E4BEE"/>
    <w:rsid w:val="007F30D9"/>
    <w:rsid w:val="008032E3"/>
    <w:rsid w:val="00830176"/>
    <w:rsid w:val="00830B35"/>
    <w:rsid w:val="00837D6A"/>
    <w:rsid w:val="008418B5"/>
    <w:rsid w:val="00873390"/>
    <w:rsid w:val="008C762B"/>
    <w:rsid w:val="00912464"/>
    <w:rsid w:val="00914636"/>
    <w:rsid w:val="0092439F"/>
    <w:rsid w:val="00934870"/>
    <w:rsid w:val="009406CF"/>
    <w:rsid w:val="00945015"/>
    <w:rsid w:val="00973F0C"/>
    <w:rsid w:val="00991751"/>
    <w:rsid w:val="009A5988"/>
    <w:rsid w:val="009A6582"/>
    <w:rsid w:val="009C0A66"/>
    <w:rsid w:val="009C77A1"/>
    <w:rsid w:val="009F6CA6"/>
    <w:rsid w:val="00A120B1"/>
    <w:rsid w:val="00A13712"/>
    <w:rsid w:val="00A26E7E"/>
    <w:rsid w:val="00A73B5A"/>
    <w:rsid w:val="00A87C3B"/>
    <w:rsid w:val="00AB51FC"/>
    <w:rsid w:val="00AB7CCD"/>
    <w:rsid w:val="00B01460"/>
    <w:rsid w:val="00B04F5E"/>
    <w:rsid w:val="00B15A54"/>
    <w:rsid w:val="00B21DF7"/>
    <w:rsid w:val="00B27E74"/>
    <w:rsid w:val="00B54D60"/>
    <w:rsid w:val="00B65B37"/>
    <w:rsid w:val="00B86976"/>
    <w:rsid w:val="00B87B72"/>
    <w:rsid w:val="00BB3462"/>
    <w:rsid w:val="00BD0606"/>
    <w:rsid w:val="00BF32AB"/>
    <w:rsid w:val="00C00F65"/>
    <w:rsid w:val="00C06188"/>
    <w:rsid w:val="00C13640"/>
    <w:rsid w:val="00C25A55"/>
    <w:rsid w:val="00C276B7"/>
    <w:rsid w:val="00C3421C"/>
    <w:rsid w:val="00C44254"/>
    <w:rsid w:val="00C544C1"/>
    <w:rsid w:val="00C60184"/>
    <w:rsid w:val="00C673FF"/>
    <w:rsid w:val="00C87890"/>
    <w:rsid w:val="00C952F8"/>
    <w:rsid w:val="00CB1751"/>
    <w:rsid w:val="00CC1F5C"/>
    <w:rsid w:val="00CF0DAD"/>
    <w:rsid w:val="00CF6D93"/>
    <w:rsid w:val="00D1476C"/>
    <w:rsid w:val="00D20476"/>
    <w:rsid w:val="00D32F20"/>
    <w:rsid w:val="00D339A2"/>
    <w:rsid w:val="00D5178F"/>
    <w:rsid w:val="00D6244E"/>
    <w:rsid w:val="00D70B61"/>
    <w:rsid w:val="00D87834"/>
    <w:rsid w:val="00DA04C0"/>
    <w:rsid w:val="00DA4AAF"/>
    <w:rsid w:val="00DB41EF"/>
    <w:rsid w:val="00DC1794"/>
    <w:rsid w:val="00DC5CEB"/>
    <w:rsid w:val="00DC7720"/>
    <w:rsid w:val="00DD096B"/>
    <w:rsid w:val="00DD1FB2"/>
    <w:rsid w:val="00E05D43"/>
    <w:rsid w:val="00E07BF1"/>
    <w:rsid w:val="00E130FE"/>
    <w:rsid w:val="00E47C2B"/>
    <w:rsid w:val="00E560E4"/>
    <w:rsid w:val="00E62FB0"/>
    <w:rsid w:val="00E679A2"/>
    <w:rsid w:val="00E812FB"/>
    <w:rsid w:val="00E90CF0"/>
    <w:rsid w:val="00E935DC"/>
    <w:rsid w:val="00EB4C67"/>
    <w:rsid w:val="00EC6634"/>
    <w:rsid w:val="00ED3807"/>
    <w:rsid w:val="00EE294D"/>
    <w:rsid w:val="00EE43FD"/>
    <w:rsid w:val="00F127E3"/>
    <w:rsid w:val="00F25C69"/>
    <w:rsid w:val="00F40D6B"/>
    <w:rsid w:val="00F41921"/>
    <w:rsid w:val="00F667A7"/>
    <w:rsid w:val="00F729A9"/>
    <w:rsid w:val="00F86C47"/>
    <w:rsid w:val="00F959A6"/>
    <w:rsid w:val="00F97349"/>
    <w:rsid w:val="00F97D3F"/>
    <w:rsid w:val="00FB619E"/>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ecimalSymbol w:val="."/>
  <w:listSeparator w:val=";"/>
  <w14:docId w14:val="630A11A3"/>
  <w15:chartTrackingRefBased/>
  <w15:docId w15:val="{1A2AAD30-CA51-F34F-89BB-CD980BEA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421C"/>
    <w:pPr>
      <w:spacing w:after="200" w:line="276" w:lineRule="auto"/>
    </w:pPr>
    <w:rPr>
      <w:rFonts w:eastAsiaTheme="minorEastAsia"/>
      <w:kern w:val="0"/>
      <w:sz w:val="22"/>
      <w:szCs w:val="22"/>
      <w:lang w:val="en-US"/>
      <w14:ligatures w14:val="none"/>
    </w:rPr>
  </w:style>
  <w:style w:type="paragraph" w:styleId="Titolo1">
    <w:name w:val="heading 1"/>
    <w:basedOn w:val="Normale"/>
    <w:next w:val="Normale"/>
    <w:link w:val="Titolo1Carattere"/>
    <w:uiPriority w:val="9"/>
    <w:qFormat/>
    <w:rsid w:val="00C3421C"/>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it-CH"/>
      <w14:ligatures w14:val="standardContextual"/>
    </w:rPr>
  </w:style>
  <w:style w:type="paragraph" w:styleId="Titolo2">
    <w:name w:val="heading 2"/>
    <w:basedOn w:val="Normale"/>
    <w:next w:val="Normale"/>
    <w:link w:val="Titolo2Carattere"/>
    <w:uiPriority w:val="9"/>
    <w:semiHidden/>
    <w:unhideWhenUsed/>
    <w:qFormat/>
    <w:rsid w:val="00C3421C"/>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it-CH"/>
      <w14:ligatures w14:val="standardContextual"/>
    </w:rPr>
  </w:style>
  <w:style w:type="paragraph" w:styleId="Titolo3">
    <w:name w:val="heading 3"/>
    <w:basedOn w:val="Normale"/>
    <w:next w:val="Normale"/>
    <w:link w:val="Titolo3Carattere"/>
    <w:uiPriority w:val="9"/>
    <w:semiHidden/>
    <w:unhideWhenUsed/>
    <w:qFormat/>
    <w:rsid w:val="00C3421C"/>
    <w:pPr>
      <w:keepNext/>
      <w:keepLines/>
      <w:spacing w:before="160" w:after="80" w:line="240" w:lineRule="auto"/>
      <w:outlineLvl w:val="2"/>
    </w:pPr>
    <w:rPr>
      <w:rFonts w:eastAsiaTheme="majorEastAsia" w:cstheme="majorBidi"/>
      <w:color w:val="2F5496" w:themeColor="accent1" w:themeShade="BF"/>
      <w:kern w:val="2"/>
      <w:sz w:val="28"/>
      <w:szCs w:val="28"/>
      <w:lang w:val="it-CH"/>
      <w14:ligatures w14:val="standardContextual"/>
    </w:rPr>
  </w:style>
  <w:style w:type="paragraph" w:styleId="Titolo4">
    <w:name w:val="heading 4"/>
    <w:basedOn w:val="Normale"/>
    <w:next w:val="Normale"/>
    <w:link w:val="Titolo4Carattere"/>
    <w:uiPriority w:val="9"/>
    <w:semiHidden/>
    <w:unhideWhenUsed/>
    <w:qFormat/>
    <w:rsid w:val="00C3421C"/>
    <w:pPr>
      <w:keepNext/>
      <w:keepLines/>
      <w:spacing w:before="80" w:after="40" w:line="240" w:lineRule="auto"/>
      <w:outlineLvl w:val="3"/>
    </w:pPr>
    <w:rPr>
      <w:rFonts w:eastAsiaTheme="majorEastAsia" w:cstheme="majorBidi"/>
      <w:i/>
      <w:iCs/>
      <w:color w:val="2F5496" w:themeColor="accent1" w:themeShade="BF"/>
      <w:kern w:val="2"/>
      <w:sz w:val="24"/>
      <w:szCs w:val="24"/>
      <w:lang w:val="it-CH"/>
      <w14:ligatures w14:val="standardContextual"/>
    </w:rPr>
  </w:style>
  <w:style w:type="paragraph" w:styleId="Titolo5">
    <w:name w:val="heading 5"/>
    <w:basedOn w:val="Normale"/>
    <w:next w:val="Normale"/>
    <w:link w:val="Titolo5Carattere"/>
    <w:uiPriority w:val="9"/>
    <w:semiHidden/>
    <w:unhideWhenUsed/>
    <w:qFormat/>
    <w:rsid w:val="00C3421C"/>
    <w:pPr>
      <w:keepNext/>
      <w:keepLines/>
      <w:spacing w:before="80" w:after="40" w:line="240" w:lineRule="auto"/>
      <w:outlineLvl w:val="4"/>
    </w:pPr>
    <w:rPr>
      <w:rFonts w:eastAsiaTheme="majorEastAsia" w:cstheme="majorBidi"/>
      <w:color w:val="2F5496" w:themeColor="accent1" w:themeShade="BF"/>
      <w:kern w:val="2"/>
      <w:sz w:val="24"/>
      <w:szCs w:val="24"/>
      <w:lang w:val="it-CH"/>
      <w14:ligatures w14:val="standardContextual"/>
    </w:rPr>
  </w:style>
  <w:style w:type="paragraph" w:styleId="Titolo6">
    <w:name w:val="heading 6"/>
    <w:basedOn w:val="Normale"/>
    <w:next w:val="Normale"/>
    <w:link w:val="Titolo6Carattere"/>
    <w:uiPriority w:val="9"/>
    <w:semiHidden/>
    <w:unhideWhenUsed/>
    <w:qFormat/>
    <w:rsid w:val="00C3421C"/>
    <w:pPr>
      <w:keepNext/>
      <w:keepLines/>
      <w:spacing w:before="40" w:after="0" w:line="240" w:lineRule="auto"/>
      <w:outlineLvl w:val="5"/>
    </w:pPr>
    <w:rPr>
      <w:rFonts w:eastAsiaTheme="majorEastAsia" w:cstheme="majorBidi"/>
      <w:i/>
      <w:iCs/>
      <w:color w:val="595959" w:themeColor="text1" w:themeTint="A6"/>
      <w:kern w:val="2"/>
      <w:sz w:val="24"/>
      <w:szCs w:val="24"/>
      <w:lang w:val="it-CH"/>
      <w14:ligatures w14:val="standardContextual"/>
    </w:rPr>
  </w:style>
  <w:style w:type="paragraph" w:styleId="Titolo7">
    <w:name w:val="heading 7"/>
    <w:basedOn w:val="Normale"/>
    <w:next w:val="Normale"/>
    <w:link w:val="Titolo7Carattere"/>
    <w:uiPriority w:val="9"/>
    <w:semiHidden/>
    <w:unhideWhenUsed/>
    <w:qFormat/>
    <w:rsid w:val="00C3421C"/>
    <w:pPr>
      <w:keepNext/>
      <w:keepLines/>
      <w:spacing w:before="40" w:after="0" w:line="240" w:lineRule="auto"/>
      <w:outlineLvl w:val="6"/>
    </w:pPr>
    <w:rPr>
      <w:rFonts w:eastAsiaTheme="majorEastAsia" w:cstheme="majorBidi"/>
      <w:color w:val="595959" w:themeColor="text1" w:themeTint="A6"/>
      <w:kern w:val="2"/>
      <w:sz w:val="24"/>
      <w:szCs w:val="24"/>
      <w:lang w:val="it-CH"/>
      <w14:ligatures w14:val="standardContextual"/>
    </w:rPr>
  </w:style>
  <w:style w:type="paragraph" w:styleId="Titolo8">
    <w:name w:val="heading 8"/>
    <w:basedOn w:val="Normale"/>
    <w:next w:val="Normale"/>
    <w:link w:val="Titolo8Carattere"/>
    <w:uiPriority w:val="9"/>
    <w:semiHidden/>
    <w:unhideWhenUsed/>
    <w:qFormat/>
    <w:rsid w:val="00C3421C"/>
    <w:pPr>
      <w:keepNext/>
      <w:keepLines/>
      <w:spacing w:after="0" w:line="240" w:lineRule="auto"/>
      <w:outlineLvl w:val="7"/>
    </w:pPr>
    <w:rPr>
      <w:rFonts w:eastAsiaTheme="majorEastAsia" w:cstheme="majorBidi"/>
      <w:i/>
      <w:iCs/>
      <w:color w:val="272727" w:themeColor="text1" w:themeTint="D8"/>
      <w:kern w:val="2"/>
      <w:sz w:val="24"/>
      <w:szCs w:val="24"/>
      <w:lang w:val="it-CH"/>
      <w14:ligatures w14:val="standardContextual"/>
    </w:rPr>
  </w:style>
  <w:style w:type="paragraph" w:styleId="Titolo9">
    <w:name w:val="heading 9"/>
    <w:basedOn w:val="Normale"/>
    <w:next w:val="Normale"/>
    <w:link w:val="Titolo9Carattere"/>
    <w:uiPriority w:val="9"/>
    <w:semiHidden/>
    <w:unhideWhenUsed/>
    <w:qFormat/>
    <w:rsid w:val="00C3421C"/>
    <w:pPr>
      <w:keepNext/>
      <w:keepLines/>
      <w:spacing w:after="0" w:line="240" w:lineRule="auto"/>
      <w:outlineLvl w:val="8"/>
    </w:pPr>
    <w:rPr>
      <w:rFonts w:eastAsiaTheme="majorEastAsia" w:cstheme="majorBidi"/>
      <w:color w:val="272727" w:themeColor="text1" w:themeTint="D8"/>
      <w:kern w:val="2"/>
      <w:sz w:val="24"/>
      <w:szCs w:val="24"/>
      <w:lang w:val="it-CH"/>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421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3421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3421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3421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3421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3421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3421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3421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3421C"/>
    <w:rPr>
      <w:rFonts w:eastAsiaTheme="majorEastAsia" w:cstheme="majorBidi"/>
      <w:color w:val="272727" w:themeColor="text1" w:themeTint="D8"/>
    </w:rPr>
  </w:style>
  <w:style w:type="paragraph" w:styleId="Titolo">
    <w:name w:val="Title"/>
    <w:basedOn w:val="Normale"/>
    <w:next w:val="Normale"/>
    <w:link w:val="TitoloCarattere"/>
    <w:uiPriority w:val="10"/>
    <w:qFormat/>
    <w:rsid w:val="00C3421C"/>
    <w:pPr>
      <w:spacing w:after="80" w:line="240" w:lineRule="auto"/>
      <w:contextualSpacing/>
    </w:pPr>
    <w:rPr>
      <w:rFonts w:asciiTheme="majorHAnsi" w:eastAsiaTheme="majorEastAsia" w:hAnsiTheme="majorHAnsi" w:cstheme="majorBidi"/>
      <w:spacing w:val="-10"/>
      <w:kern w:val="28"/>
      <w:sz w:val="56"/>
      <w:szCs w:val="56"/>
      <w:lang w:val="it-CH"/>
      <w14:ligatures w14:val="standardContextual"/>
    </w:rPr>
  </w:style>
  <w:style w:type="character" w:customStyle="1" w:styleId="TitoloCarattere">
    <w:name w:val="Titolo Carattere"/>
    <w:basedOn w:val="Carpredefinitoparagrafo"/>
    <w:link w:val="Titolo"/>
    <w:uiPriority w:val="10"/>
    <w:rsid w:val="00C3421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3421C"/>
    <w:pPr>
      <w:numPr>
        <w:ilvl w:val="1"/>
      </w:numPr>
      <w:spacing w:after="160" w:line="240" w:lineRule="auto"/>
    </w:pPr>
    <w:rPr>
      <w:rFonts w:eastAsiaTheme="majorEastAsia" w:cstheme="majorBidi"/>
      <w:color w:val="595959" w:themeColor="text1" w:themeTint="A6"/>
      <w:spacing w:val="15"/>
      <w:kern w:val="2"/>
      <w:sz w:val="28"/>
      <w:szCs w:val="28"/>
      <w:lang w:val="it-CH"/>
      <w14:ligatures w14:val="standardContextual"/>
    </w:rPr>
  </w:style>
  <w:style w:type="character" w:customStyle="1" w:styleId="SottotitoloCarattere">
    <w:name w:val="Sottotitolo Carattere"/>
    <w:basedOn w:val="Carpredefinitoparagrafo"/>
    <w:link w:val="Sottotitolo"/>
    <w:uiPriority w:val="11"/>
    <w:rsid w:val="00C3421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3421C"/>
    <w:pPr>
      <w:spacing w:before="160" w:after="160" w:line="240" w:lineRule="auto"/>
      <w:jc w:val="center"/>
    </w:pPr>
    <w:rPr>
      <w:rFonts w:eastAsiaTheme="minorHAnsi"/>
      <w:i/>
      <w:iCs/>
      <w:color w:val="404040" w:themeColor="text1" w:themeTint="BF"/>
      <w:kern w:val="2"/>
      <w:sz w:val="24"/>
      <w:szCs w:val="24"/>
      <w:lang w:val="it-CH"/>
      <w14:ligatures w14:val="standardContextual"/>
    </w:rPr>
  </w:style>
  <w:style w:type="character" w:customStyle="1" w:styleId="CitazioneCarattere">
    <w:name w:val="Citazione Carattere"/>
    <w:basedOn w:val="Carpredefinitoparagrafo"/>
    <w:link w:val="Citazione"/>
    <w:uiPriority w:val="29"/>
    <w:rsid w:val="00C3421C"/>
    <w:rPr>
      <w:i/>
      <w:iCs/>
      <w:color w:val="404040" w:themeColor="text1" w:themeTint="BF"/>
    </w:rPr>
  </w:style>
  <w:style w:type="paragraph" w:styleId="Paragrafoelenco">
    <w:name w:val="List Paragraph"/>
    <w:basedOn w:val="Normale"/>
    <w:uiPriority w:val="34"/>
    <w:qFormat/>
    <w:rsid w:val="00C3421C"/>
    <w:pPr>
      <w:spacing w:after="0" w:line="240" w:lineRule="auto"/>
      <w:ind w:left="720"/>
      <w:contextualSpacing/>
    </w:pPr>
    <w:rPr>
      <w:rFonts w:eastAsiaTheme="minorHAnsi"/>
      <w:kern w:val="2"/>
      <w:sz w:val="24"/>
      <w:szCs w:val="24"/>
      <w:lang w:val="it-CH"/>
      <w14:ligatures w14:val="standardContextual"/>
    </w:rPr>
  </w:style>
  <w:style w:type="character" w:styleId="Enfasiintensa">
    <w:name w:val="Intense Emphasis"/>
    <w:basedOn w:val="Carpredefinitoparagrafo"/>
    <w:uiPriority w:val="21"/>
    <w:qFormat/>
    <w:rsid w:val="00C3421C"/>
    <w:rPr>
      <w:i/>
      <w:iCs/>
      <w:color w:val="2F5496" w:themeColor="accent1" w:themeShade="BF"/>
    </w:rPr>
  </w:style>
  <w:style w:type="paragraph" w:styleId="Citazioneintensa">
    <w:name w:val="Intense Quote"/>
    <w:basedOn w:val="Normale"/>
    <w:next w:val="Normale"/>
    <w:link w:val="CitazioneintensaCarattere"/>
    <w:uiPriority w:val="30"/>
    <w:qFormat/>
    <w:rsid w:val="00C3421C"/>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heme="minorHAnsi"/>
      <w:i/>
      <w:iCs/>
      <w:color w:val="2F5496" w:themeColor="accent1" w:themeShade="BF"/>
      <w:kern w:val="2"/>
      <w:sz w:val="24"/>
      <w:szCs w:val="24"/>
      <w:lang w:val="it-CH"/>
      <w14:ligatures w14:val="standardContextual"/>
    </w:rPr>
  </w:style>
  <w:style w:type="character" w:customStyle="1" w:styleId="CitazioneintensaCarattere">
    <w:name w:val="Citazione intensa Carattere"/>
    <w:basedOn w:val="Carpredefinitoparagrafo"/>
    <w:link w:val="Citazioneintensa"/>
    <w:uiPriority w:val="30"/>
    <w:rsid w:val="00C3421C"/>
    <w:rPr>
      <w:i/>
      <w:iCs/>
      <w:color w:val="2F5496" w:themeColor="accent1" w:themeShade="BF"/>
    </w:rPr>
  </w:style>
  <w:style w:type="character" w:styleId="Riferimentointenso">
    <w:name w:val="Intense Reference"/>
    <w:basedOn w:val="Carpredefinitoparagrafo"/>
    <w:uiPriority w:val="32"/>
    <w:qFormat/>
    <w:rsid w:val="00C3421C"/>
    <w:rPr>
      <w:b/>
      <w:bCs/>
      <w:smallCaps/>
      <w:color w:val="2F5496" w:themeColor="accent1" w:themeShade="BF"/>
      <w:spacing w:val="5"/>
    </w:rPr>
  </w:style>
  <w:style w:type="table" w:styleId="Grigliatabella">
    <w:name w:val="Table Grid"/>
    <w:basedOn w:val="Tabellanormale"/>
    <w:uiPriority w:val="39"/>
    <w:rsid w:val="00C3421C"/>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Franchi</dc:creator>
  <cp:keywords/>
  <dc:description/>
  <cp:lastModifiedBy>Lorenzo Franchi</cp:lastModifiedBy>
  <cp:revision>1</cp:revision>
  <dcterms:created xsi:type="dcterms:W3CDTF">2025-06-14T14:36:00Z</dcterms:created>
  <dcterms:modified xsi:type="dcterms:W3CDTF">2025-06-14T14:37:00Z</dcterms:modified>
</cp:coreProperties>
</file>