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4B8CE" w14:textId="295BAE54" w:rsidR="009E401E" w:rsidRPr="005853BB" w:rsidRDefault="009E401E" w:rsidP="005853BB">
      <w:pPr>
        <w:jc w:val="center"/>
        <w:rPr>
          <w:rFonts w:ascii="Times New Roman" w:hAnsi="Times New Roman" w:cs="Times New Roman" w:hint="eastAsia"/>
          <w:b/>
          <w:bCs/>
          <w:sz w:val="28"/>
          <w:szCs w:val="28"/>
        </w:rPr>
      </w:pPr>
      <w:r w:rsidRPr="009E401E">
        <w:rPr>
          <w:rFonts w:ascii="Times New Roman" w:hAnsi="Times New Roman" w:cs="Times New Roman"/>
          <w:b/>
          <w:bCs/>
          <w:sz w:val="28"/>
          <w:szCs w:val="28"/>
        </w:rPr>
        <w:t>Influence of sex and age on the gene expression of periodontal and pulp tissues during orthodontic tooth movement</w:t>
      </w:r>
    </w:p>
    <w:p w14:paraId="30127C98" w14:textId="77777777" w:rsidR="00F54712" w:rsidRPr="009E401E" w:rsidRDefault="00F54712" w:rsidP="009E401E">
      <w:pPr>
        <w:spacing w:afterLines="100" w:after="312"/>
        <w:rPr>
          <w:rFonts w:ascii="Times New Roman" w:hAnsi="Times New Roman" w:cs="Times New Roman"/>
          <w:b/>
          <w:bCs/>
          <w:sz w:val="24"/>
        </w:rPr>
      </w:pPr>
    </w:p>
    <w:p w14:paraId="5042B12E" w14:textId="77777777" w:rsidR="00AF066C" w:rsidRPr="00807B90" w:rsidRDefault="00AF066C" w:rsidP="00807B90">
      <w:pPr>
        <w:spacing w:afterLines="100" w:after="312"/>
        <w:jc w:val="center"/>
        <w:rPr>
          <w:rFonts w:ascii="Times New Roman" w:hAnsi="Times New Roman" w:cs="Times New Roman"/>
          <w:b/>
          <w:bCs/>
          <w:sz w:val="24"/>
        </w:rPr>
      </w:pPr>
      <w:r w:rsidRPr="00807B90">
        <w:rPr>
          <w:rFonts w:ascii="Times New Roman" w:hAnsi="Times New Roman" w:cs="Times New Roman"/>
          <w:b/>
          <w:bCs/>
          <w:sz w:val="24"/>
        </w:rPr>
        <w:t>Supplementary</w:t>
      </w:r>
      <w:r w:rsidR="00807B90" w:rsidRPr="00807B90">
        <w:rPr>
          <w:rFonts w:ascii="Times New Roman" w:hAnsi="Times New Roman" w:cs="Times New Roman"/>
          <w:b/>
          <w:bCs/>
          <w:sz w:val="24"/>
        </w:rPr>
        <w:t xml:space="preserve"> methods</w:t>
      </w:r>
    </w:p>
    <w:p w14:paraId="29940303" w14:textId="77777777" w:rsidR="00DE43D6" w:rsidRPr="00DE43D6" w:rsidRDefault="00DE43D6" w:rsidP="00807B90">
      <w:pPr>
        <w:spacing w:afterLines="50" w:after="156"/>
        <w:rPr>
          <w:rFonts w:ascii="Times New Roman" w:hAnsi="Times New Roman" w:cs="Times New Roman"/>
          <w:b/>
          <w:bCs/>
          <w:sz w:val="22"/>
          <w:szCs w:val="22"/>
        </w:rPr>
      </w:pPr>
      <w:r w:rsidRPr="00DE43D6">
        <w:rPr>
          <w:rFonts w:ascii="Times New Roman" w:hAnsi="Times New Roman" w:cs="Times New Roman"/>
          <w:b/>
          <w:bCs/>
          <w:sz w:val="22"/>
          <w:szCs w:val="22"/>
        </w:rPr>
        <w:t>Patient recruitment and selection criteria</w:t>
      </w:r>
    </w:p>
    <w:p w14:paraId="2E4440A4" w14:textId="7F02C8E4" w:rsidR="00DE43D6" w:rsidRDefault="00DE43D6" w:rsidP="00807B90">
      <w:pPr>
        <w:spacing w:afterLines="100" w:after="312"/>
        <w:rPr>
          <w:rFonts w:ascii="Times New Roman" w:hAnsi="Times New Roman" w:cs="Times New Roman"/>
          <w:sz w:val="22"/>
          <w:szCs w:val="22"/>
        </w:rPr>
      </w:pPr>
      <w:r w:rsidRPr="00DE43D6">
        <w:rPr>
          <w:rFonts w:ascii="Times New Roman" w:hAnsi="Times New Roman" w:cs="Times New Roman"/>
          <w:sz w:val="22"/>
          <w:szCs w:val="22"/>
        </w:rPr>
        <w:t xml:space="preserve">Healthy individuals (ASA I) requiring orthodontic treatment with fixed appliances who needed maxillary or mandibular premolar extraction for orthodontic purposes between January </w:t>
      </w:r>
      <w:proofErr w:type="gramStart"/>
      <w:r w:rsidRPr="00DE43D6">
        <w:rPr>
          <w:rFonts w:ascii="Times New Roman" w:hAnsi="Times New Roman" w:cs="Times New Roman"/>
          <w:sz w:val="22"/>
          <w:szCs w:val="22"/>
        </w:rPr>
        <w:t>2022</w:t>
      </w:r>
      <w:proofErr w:type="gramEnd"/>
      <w:r w:rsidRPr="00DE43D6">
        <w:rPr>
          <w:rFonts w:ascii="Times New Roman" w:hAnsi="Times New Roman" w:cs="Times New Roman"/>
          <w:sz w:val="22"/>
          <w:szCs w:val="22"/>
        </w:rPr>
        <w:t xml:space="preserve"> and May 2023 were invited to participate. The study had previously obtained approval from the Commission of Medical Ethics of </w:t>
      </w:r>
      <w:r w:rsidR="005853BB">
        <w:rPr>
          <w:rFonts w:ascii="Times New Roman" w:hAnsi="Times New Roman" w:cs="Times New Roman" w:hint="eastAsia"/>
          <w:sz w:val="22"/>
          <w:szCs w:val="22"/>
        </w:rPr>
        <w:t>XXX</w:t>
      </w:r>
      <w:r w:rsidRPr="00DE43D6">
        <w:rPr>
          <w:rFonts w:ascii="Times New Roman" w:hAnsi="Times New Roman" w:cs="Times New Roman"/>
          <w:sz w:val="22"/>
          <w:szCs w:val="22"/>
        </w:rPr>
        <w:t xml:space="preserve"> University and has been conducted in strict adherence to the principles of the Helsinki Declaration (‘World Medical Association declaration of Helsinki: Ethical principles for medical research involving human subjects’, 2013).</w:t>
      </w:r>
      <w:r w:rsidR="001368E0">
        <w:rPr>
          <w:rFonts w:ascii="Times New Roman" w:hAnsi="Times New Roman" w:cs="Times New Roman"/>
          <w:sz w:val="22"/>
          <w:szCs w:val="22"/>
        </w:rPr>
        <w:t xml:space="preserve"> (DOI: </w:t>
      </w:r>
      <w:r w:rsidR="001368E0" w:rsidRPr="001368E0">
        <w:rPr>
          <w:rFonts w:ascii="Times New Roman" w:hAnsi="Times New Roman" w:cs="Times New Roman"/>
          <w:sz w:val="22"/>
          <w:szCs w:val="22"/>
        </w:rPr>
        <w:t>10.1001/jama.2013.281053</w:t>
      </w:r>
      <w:r w:rsidR="001368E0">
        <w:rPr>
          <w:rFonts w:ascii="Times New Roman" w:hAnsi="Times New Roman" w:cs="Times New Roman"/>
          <w:sz w:val="22"/>
          <w:szCs w:val="22"/>
        </w:rPr>
        <w:t>)</w:t>
      </w:r>
      <w:r w:rsidRPr="00DE43D6">
        <w:rPr>
          <w:rFonts w:ascii="Times New Roman" w:hAnsi="Times New Roman" w:cs="Times New Roman"/>
          <w:sz w:val="22"/>
          <w:szCs w:val="22"/>
        </w:rPr>
        <w:t xml:space="preserve"> Informed consent was obtained from all participants before inclusion. In case they were minors, consent was also obtained from their parents or legal guardians. Patients with systemic diseases, history of smoking, antibiotic or anti-inflammatory treatment within 3 months prior to the premolar extractions were excluded. Patients with periodontal probing depth &gt;3 mm and alveolar bone resorption apparent in the diagnostic X-rays were also excluded, as well as premolars with endodontic treatment or with open apical foramen.</w:t>
      </w:r>
    </w:p>
    <w:p w14:paraId="0B70900C" w14:textId="77777777" w:rsidR="00DE43D6" w:rsidRPr="00DE43D6" w:rsidRDefault="00DE43D6" w:rsidP="00807B90">
      <w:pPr>
        <w:spacing w:afterLines="50" w:after="156"/>
        <w:rPr>
          <w:rFonts w:ascii="Times New Roman" w:hAnsi="Times New Roman" w:cs="Times New Roman"/>
          <w:b/>
          <w:bCs/>
          <w:sz w:val="22"/>
          <w:szCs w:val="22"/>
        </w:rPr>
      </w:pPr>
      <w:r w:rsidRPr="00DE43D6">
        <w:rPr>
          <w:rFonts w:ascii="Times New Roman" w:hAnsi="Times New Roman" w:cs="Times New Roman"/>
          <w:b/>
          <w:bCs/>
          <w:sz w:val="22"/>
          <w:szCs w:val="22"/>
        </w:rPr>
        <w:t>Orthodontic tooth movement</w:t>
      </w:r>
      <w:r>
        <w:rPr>
          <w:rFonts w:ascii="Times New Roman" w:hAnsi="Times New Roman" w:cs="Times New Roman" w:hint="eastAsia"/>
          <w:b/>
          <w:bCs/>
          <w:sz w:val="22"/>
          <w:szCs w:val="22"/>
        </w:rPr>
        <w:t xml:space="preserve"> model</w:t>
      </w:r>
    </w:p>
    <w:p w14:paraId="7852E63C" w14:textId="77777777" w:rsidR="00807B90" w:rsidRDefault="00DE43D6" w:rsidP="00807B90">
      <w:pPr>
        <w:spacing w:afterLines="100" w:after="312"/>
        <w:rPr>
          <w:rFonts w:ascii="Times New Roman" w:hAnsi="Times New Roman" w:cs="Times New Roman"/>
          <w:sz w:val="22"/>
          <w:szCs w:val="22"/>
        </w:rPr>
      </w:pPr>
      <w:r w:rsidRPr="00DE43D6">
        <w:rPr>
          <w:rFonts w:ascii="Times New Roman" w:hAnsi="Times New Roman" w:cs="Times New Roman"/>
          <w:sz w:val="22"/>
          <w:szCs w:val="22"/>
        </w:rPr>
        <w:t>Patients were randomly assigned to three different groups:</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Control Group (CG), 7- and 28-day group. In the CG, premolars were extracted prior to the start of orthodontic</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treatment and therefore did not receive any OF. In the 7-</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and</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28-</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day groups, the extraction of premolars occurred</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 xml:space="preserve">7 and 28 days after the application of </w:t>
      </w:r>
      <w:proofErr w:type="spellStart"/>
      <w:r w:rsidRPr="00DE43D6">
        <w:rPr>
          <w:rFonts w:ascii="Times New Roman" w:hAnsi="Times New Roman" w:cs="Times New Roman"/>
          <w:sz w:val="22"/>
          <w:szCs w:val="22"/>
        </w:rPr>
        <w:t>OF</w:t>
      </w:r>
      <w:proofErr w:type="spellEnd"/>
      <w:r w:rsidRPr="00DE43D6">
        <w:rPr>
          <w:rFonts w:ascii="Times New Roman" w:hAnsi="Times New Roman" w:cs="Times New Roman"/>
          <w:sz w:val="22"/>
          <w:szCs w:val="22"/>
        </w:rPr>
        <w:t>, respectively. OF</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was applied by starting the treatment with fixed appliances using a 0.014</w:t>
      </w:r>
      <w:r w:rsidR="001368E0">
        <w:rPr>
          <w:rFonts w:ascii="Times New Roman" w:hAnsi="Times New Roman" w:cs="Times New Roman"/>
          <w:sz w:val="22"/>
          <w:szCs w:val="22"/>
        </w:rPr>
        <w:t>’’</w:t>
      </w:r>
      <w:r w:rsidRPr="00DE43D6">
        <w:rPr>
          <w:rFonts w:ascii="Times New Roman" w:hAnsi="Times New Roman" w:cs="Times New Roman"/>
          <w:sz w:val="22"/>
          <w:szCs w:val="22"/>
        </w:rPr>
        <w:t xml:space="preserve"> nickel–titanium wire (INITIALLOY,</w:t>
      </w:r>
      <w:r w:rsidRPr="00DE43D6">
        <w:t xml:space="preserve"> </w:t>
      </w:r>
      <w:r w:rsidRPr="00DE43D6">
        <w:rPr>
          <w:rFonts w:ascii="Times New Roman" w:hAnsi="Times New Roman" w:cs="Times New Roman"/>
          <w:sz w:val="22"/>
          <w:szCs w:val="22"/>
        </w:rPr>
        <w:t xml:space="preserve">GC orthodontics Europe GmbH, </w:t>
      </w:r>
      <w:proofErr w:type="spellStart"/>
      <w:r w:rsidRPr="00DE43D6">
        <w:rPr>
          <w:rFonts w:ascii="Times New Roman" w:hAnsi="Times New Roman" w:cs="Times New Roman"/>
          <w:sz w:val="22"/>
          <w:szCs w:val="22"/>
        </w:rPr>
        <w:t>Breckerfeld</w:t>
      </w:r>
      <w:proofErr w:type="spellEnd"/>
      <w:r w:rsidRPr="00DE43D6">
        <w:rPr>
          <w:rFonts w:ascii="Times New Roman" w:hAnsi="Times New Roman" w:cs="Times New Roman"/>
          <w:sz w:val="22"/>
          <w:szCs w:val="22"/>
        </w:rPr>
        <w:t>, Germany).</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This wire, when having a deflection of &lt;1 mm, was designed to apply a force ranging between 50 and 100 g, as</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specified by the manufacturer.</w:t>
      </w:r>
    </w:p>
    <w:p w14:paraId="1F578FBF" w14:textId="77777777" w:rsidR="00DE43D6" w:rsidRPr="00DE43D6" w:rsidRDefault="00DE43D6" w:rsidP="00807B90">
      <w:pPr>
        <w:spacing w:afterLines="50" w:after="156"/>
        <w:rPr>
          <w:rFonts w:ascii="Times New Roman" w:hAnsi="Times New Roman" w:cs="Times New Roman"/>
          <w:b/>
          <w:bCs/>
          <w:sz w:val="22"/>
          <w:szCs w:val="22"/>
        </w:rPr>
      </w:pPr>
      <w:r w:rsidRPr="00DE43D6">
        <w:rPr>
          <w:rFonts w:ascii="Times New Roman" w:hAnsi="Times New Roman" w:cs="Times New Roman"/>
          <w:b/>
          <w:bCs/>
          <w:sz w:val="22"/>
          <w:szCs w:val="22"/>
        </w:rPr>
        <w:t>RNA preparation</w:t>
      </w:r>
    </w:p>
    <w:p w14:paraId="7D326747" w14:textId="4638877E" w:rsidR="00807B90" w:rsidRDefault="00DE43D6" w:rsidP="00807B90">
      <w:pPr>
        <w:spacing w:afterLines="100" w:after="312"/>
        <w:rPr>
          <w:rFonts w:ascii="Times New Roman" w:hAnsi="Times New Roman" w:cs="Times New Roman"/>
          <w:sz w:val="22"/>
          <w:szCs w:val="22"/>
        </w:rPr>
      </w:pPr>
      <w:r w:rsidRPr="00DE43D6">
        <w:rPr>
          <w:rFonts w:ascii="Times New Roman" w:hAnsi="Times New Roman" w:cs="Times New Roman"/>
          <w:sz w:val="22"/>
          <w:szCs w:val="22"/>
        </w:rPr>
        <w:t>Immediately following extraction, the teeth were placed</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 xml:space="preserve">in sterile Phosphate Buffered Saline (PBS) and transported to the lab from the operation room. </w:t>
      </w:r>
      <w:r w:rsidR="00807B90" w:rsidRPr="00DE43D6">
        <w:rPr>
          <w:rFonts w:ascii="Times New Roman" w:hAnsi="Times New Roman" w:cs="Times New Roman"/>
          <w:sz w:val="22"/>
          <w:szCs w:val="22"/>
        </w:rPr>
        <w:t>After washing four times with PBS, the PDL tissue was carefully</w:t>
      </w:r>
      <w:r w:rsidR="00807B90">
        <w:rPr>
          <w:rFonts w:ascii="Times New Roman" w:hAnsi="Times New Roman" w:cs="Times New Roman"/>
          <w:sz w:val="22"/>
          <w:szCs w:val="22"/>
        </w:rPr>
        <w:t xml:space="preserve"> </w:t>
      </w:r>
      <w:r w:rsidR="00807B90" w:rsidRPr="00DE43D6">
        <w:rPr>
          <w:rFonts w:ascii="Times New Roman" w:hAnsi="Times New Roman" w:cs="Times New Roman"/>
          <w:sz w:val="22"/>
          <w:szCs w:val="22"/>
        </w:rPr>
        <w:t>scraped from the middle third of the root with a sterile scalpel</w:t>
      </w:r>
      <w:r w:rsidR="00807B90">
        <w:rPr>
          <w:rFonts w:ascii="Times New Roman" w:hAnsi="Times New Roman" w:cs="Times New Roman"/>
          <w:sz w:val="22"/>
          <w:szCs w:val="22"/>
        </w:rPr>
        <w:t xml:space="preserve"> </w:t>
      </w:r>
      <w:r w:rsidR="00807B90" w:rsidRPr="00DE43D6">
        <w:rPr>
          <w:rFonts w:ascii="Times New Roman" w:hAnsi="Times New Roman" w:cs="Times New Roman"/>
          <w:sz w:val="22"/>
          <w:szCs w:val="22"/>
        </w:rPr>
        <w:t>blade (Swann Morton, Sheffield, UK) to effectively minimize</w:t>
      </w:r>
      <w:r w:rsidR="00807B90">
        <w:rPr>
          <w:rFonts w:ascii="Times New Roman" w:hAnsi="Times New Roman" w:cs="Times New Roman"/>
          <w:sz w:val="22"/>
          <w:szCs w:val="22"/>
        </w:rPr>
        <w:t xml:space="preserve"> </w:t>
      </w:r>
      <w:r w:rsidR="00807B90" w:rsidRPr="00DE43D6">
        <w:rPr>
          <w:rFonts w:ascii="Times New Roman" w:hAnsi="Times New Roman" w:cs="Times New Roman"/>
          <w:sz w:val="22"/>
          <w:szCs w:val="22"/>
        </w:rPr>
        <w:t>the potential cross-contamination with gingival tissue, alveolar</w:t>
      </w:r>
      <w:r w:rsidR="00807B90">
        <w:rPr>
          <w:rFonts w:ascii="Times New Roman" w:hAnsi="Times New Roman" w:cs="Times New Roman"/>
          <w:sz w:val="22"/>
          <w:szCs w:val="22"/>
        </w:rPr>
        <w:t xml:space="preserve"> </w:t>
      </w:r>
      <w:r w:rsidR="00807B90" w:rsidRPr="00DE43D6">
        <w:rPr>
          <w:rFonts w:ascii="Times New Roman" w:hAnsi="Times New Roman" w:cs="Times New Roman"/>
          <w:sz w:val="22"/>
          <w:szCs w:val="22"/>
        </w:rPr>
        <w:t>bone, blood, or root apex papilla.</w:t>
      </w:r>
      <w:r w:rsidR="00807B90">
        <w:rPr>
          <w:rFonts w:ascii="Times New Roman" w:hAnsi="Times New Roman" w:cs="Times New Roman"/>
          <w:sz w:val="22"/>
          <w:szCs w:val="22"/>
        </w:rPr>
        <w:t xml:space="preserve"> </w:t>
      </w:r>
      <w:r w:rsidRPr="00DE43D6">
        <w:rPr>
          <w:rFonts w:ascii="Times New Roman" w:hAnsi="Times New Roman" w:cs="Times New Roman"/>
          <w:sz w:val="22"/>
          <w:szCs w:val="22"/>
        </w:rPr>
        <w:t>The teeth</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were then immediately wrapped in RNase-free gauze</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and gloves and split to reveal the pulp chamber, enabling</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the gentle collection of DP tissue using RNA-free sterile</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 xml:space="preserve">tweezers. Subsequently, the harvested </w:t>
      </w:r>
      <w:r w:rsidR="00807B90">
        <w:rPr>
          <w:rFonts w:ascii="Times New Roman" w:hAnsi="Times New Roman" w:cs="Times New Roman"/>
          <w:sz w:val="22"/>
          <w:szCs w:val="22"/>
        </w:rPr>
        <w:t xml:space="preserve">PDL and </w:t>
      </w:r>
      <w:r w:rsidRPr="00DE43D6">
        <w:rPr>
          <w:rFonts w:ascii="Times New Roman" w:hAnsi="Times New Roman" w:cs="Times New Roman"/>
          <w:sz w:val="22"/>
          <w:szCs w:val="22"/>
        </w:rPr>
        <w:t>DP tissue was frozen and stored immediately in liquid nitrogen to maintain the integrity of the tissue for future RNA extraction</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w:t>
      </w:r>
      <w:r w:rsidR="001368E0">
        <w:rPr>
          <w:rFonts w:ascii="Times New Roman" w:hAnsi="Times New Roman" w:cs="Times New Roman"/>
          <w:sz w:val="22"/>
          <w:szCs w:val="22"/>
        </w:rPr>
        <w:t xml:space="preserve">DOI: </w:t>
      </w:r>
      <w:r w:rsidR="001368E0" w:rsidRPr="001368E0">
        <w:rPr>
          <w:rFonts w:ascii="Times New Roman" w:hAnsi="Times New Roman" w:cs="Times New Roman"/>
          <w:sz w:val="22"/>
          <w:szCs w:val="22"/>
        </w:rPr>
        <w:t>10.1007/s00441-005-0117-9</w:t>
      </w:r>
      <w:r w:rsidRPr="00DE43D6">
        <w:rPr>
          <w:rFonts w:ascii="Times New Roman" w:hAnsi="Times New Roman" w:cs="Times New Roman"/>
          <w:sz w:val="22"/>
          <w:szCs w:val="22"/>
        </w:rPr>
        <w:t xml:space="preserve">). </w:t>
      </w:r>
      <w:r w:rsidR="00807B90" w:rsidRPr="00DE43D6">
        <w:rPr>
          <w:rFonts w:ascii="Times New Roman" w:hAnsi="Times New Roman" w:cs="Times New Roman"/>
          <w:sz w:val="22"/>
          <w:szCs w:val="22"/>
        </w:rPr>
        <w:t xml:space="preserve">RNA </w:t>
      </w:r>
      <w:r w:rsidR="00807B90" w:rsidRPr="00DE43D6">
        <w:rPr>
          <w:rFonts w:ascii="Times New Roman" w:hAnsi="Times New Roman" w:cs="Times New Roman"/>
          <w:sz w:val="22"/>
          <w:szCs w:val="22"/>
        </w:rPr>
        <w:lastRenderedPageBreak/>
        <w:t xml:space="preserve">extraction from PDL tissue was performed by </w:t>
      </w:r>
      <w:proofErr w:type="spellStart"/>
      <w:r w:rsidR="00807B90" w:rsidRPr="00DE43D6">
        <w:rPr>
          <w:rFonts w:ascii="Times New Roman" w:hAnsi="Times New Roman" w:cs="Times New Roman"/>
          <w:sz w:val="22"/>
          <w:szCs w:val="22"/>
        </w:rPr>
        <w:t>Trizol</w:t>
      </w:r>
      <w:proofErr w:type="spellEnd"/>
      <w:r w:rsidR="00807B90">
        <w:rPr>
          <w:rFonts w:ascii="Times New Roman" w:hAnsi="Times New Roman" w:cs="Times New Roman"/>
          <w:sz w:val="22"/>
          <w:szCs w:val="22"/>
        </w:rPr>
        <w:t xml:space="preserve"> </w:t>
      </w:r>
      <w:r w:rsidR="00807B90" w:rsidRPr="00DE43D6">
        <w:rPr>
          <w:rFonts w:ascii="Times New Roman" w:hAnsi="Times New Roman" w:cs="Times New Roman"/>
          <w:sz w:val="22"/>
          <w:szCs w:val="22"/>
        </w:rPr>
        <w:t xml:space="preserve">reagent (Invitrogen, Carlsbad, CA, USA) </w:t>
      </w:r>
      <w:r w:rsidR="00807B90">
        <w:rPr>
          <w:rFonts w:ascii="Times New Roman" w:hAnsi="Times New Roman" w:cs="Times New Roman"/>
          <w:sz w:val="22"/>
          <w:szCs w:val="22"/>
        </w:rPr>
        <w:t xml:space="preserve">and </w:t>
      </w:r>
      <w:r w:rsidRPr="00DE43D6">
        <w:rPr>
          <w:rFonts w:ascii="Times New Roman" w:hAnsi="Times New Roman" w:cs="Times New Roman"/>
          <w:sz w:val="22"/>
          <w:szCs w:val="22"/>
        </w:rPr>
        <w:t>RNA extraction from DP tissue was</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then performed by RNeasy mini kit (QIAGEN, Hilden,</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Germany) strictly adhering to the manufacturer</w:t>
      </w:r>
      <w:r>
        <w:rPr>
          <w:rFonts w:ascii="Times New Roman" w:hAnsi="Times New Roman" w:cs="Times New Roman"/>
          <w:sz w:val="22"/>
          <w:szCs w:val="22"/>
        </w:rPr>
        <w:t>’</w:t>
      </w:r>
      <w:r w:rsidRPr="00DE43D6">
        <w:rPr>
          <w:rFonts w:ascii="Times New Roman" w:hAnsi="Times New Roman" w:cs="Times New Roman"/>
          <w:sz w:val="22"/>
          <w:szCs w:val="22"/>
        </w:rPr>
        <w:t xml:space="preserve">s instructions, </w:t>
      </w:r>
      <w:r w:rsidR="00807B90">
        <w:rPr>
          <w:rFonts w:ascii="Times New Roman" w:hAnsi="Times New Roman" w:cs="Times New Roman"/>
          <w:sz w:val="22"/>
          <w:szCs w:val="22"/>
        </w:rPr>
        <w:t xml:space="preserve">which two methods have been </w:t>
      </w:r>
      <w:r w:rsidRPr="00DE43D6">
        <w:rPr>
          <w:rFonts w:ascii="Times New Roman" w:hAnsi="Times New Roman" w:cs="Times New Roman"/>
          <w:sz w:val="22"/>
          <w:szCs w:val="22"/>
        </w:rPr>
        <w:t>reported to be efficient method</w:t>
      </w:r>
      <w:r w:rsidR="00807B90">
        <w:rPr>
          <w:rFonts w:ascii="Times New Roman" w:hAnsi="Times New Roman" w:cs="Times New Roman"/>
          <w:sz w:val="22"/>
          <w:szCs w:val="22"/>
        </w:rPr>
        <w:t>s</w:t>
      </w:r>
      <w:r w:rsidRPr="00DE43D6">
        <w:rPr>
          <w:rFonts w:ascii="Times New Roman" w:hAnsi="Times New Roman" w:cs="Times New Roman"/>
          <w:sz w:val="22"/>
          <w:szCs w:val="22"/>
        </w:rPr>
        <w:t xml:space="preserve"> for harvesting</w:t>
      </w:r>
      <w:r>
        <w:rPr>
          <w:rFonts w:ascii="Times New Roman" w:hAnsi="Times New Roman" w:cs="Times New Roman" w:hint="eastAsia"/>
          <w:sz w:val="22"/>
          <w:szCs w:val="22"/>
        </w:rPr>
        <w:t xml:space="preserve"> </w:t>
      </w:r>
      <w:r w:rsidRPr="00DE43D6">
        <w:rPr>
          <w:rFonts w:ascii="Times New Roman" w:hAnsi="Times New Roman" w:cs="Times New Roman"/>
          <w:sz w:val="22"/>
          <w:szCs w:val="22"/>
        </w:rPr>
        <w:t xml:space="preserve">high quantity, quality and integrity RNA from </w:t>
      </w:r>
      <w:r w:rsidR="00807B90">
        <w:rPr>
          <w:rFonts w:ascii="Times New Roman" w:hAnsi="Times New Roman" w:cs="Times New Roman"/>
          <w:sz w:val="22"/>
          <w:szCs w:val="22"/>
        </w:rPr>
        <w:t xml:space="preserve">PDL and </w:t>
      </w:r>
      <w:r w:rsidRPr="00DE43D6">
        <w:rPr>
          <w:rFonts w:ascii="Times New Roman" w:hAnsi="Times New Roman" w:cs="Times New Roman"/>
          <w:sz w:val="22"/>
          <w:szCs w:val="22"/>
        </w:rPr>
        <w:t>DP tissue</w:t>
      </w:r>
      <w:r>
        <w:rPr>
          <w:rFonts w:ascii="Times New Roman" w:hAnsi="Times New Roman" w:cs="Times New Roman"/>
          <w:sz w:val="22"/>
          <w:szCs w:val="22"/>
        </w:rPr>
        <w:t xml:space="preserve"> </w:t>
      </w:r>
      <w:r w:rsidRPr="00DE43D6">
        <w:rPr>
          <w:rFonts w:ascii="Times New Roman" w:hAnsi="Times New Roman" w:cs="Times New Roman"/>
          <w:sz w:val="22"/>
          <w:szCs w:val="22"/>
        </w:rPr>
        <w:t>for sequencing (</w:t>
      </w:r>
      <w:r w:rsidR="001368E0">
        <w:rPr>
          <w:rFonts w:ascii="Times New Roman" w:hAnsi="Times New Roman" w:cs="Times New Roman"/>
          <w:sz w:val="22"/>
          <w:szCs w:val="22"/>
        </w:rPr>
        <w:t xml:space="preserve">DOI: </w:t>
      </w:r>
      <w:r w:rsidR="001368E0" w:rsidRPr="001368E0">
        <w:rPr>
          <w:rFonts w:ascii="Times New Roman" w:hAnsi="Times New Roman" w:cs="Times New Roman"/>
          <w:sz w:val="22"/>
          <w:szCs w:val="22"/>
        </w:rPr>
        <w:t>10.1016/j.archoralbio.2023.105646</w:t>
      </w:r>
      <w:r w:rsidRPr="00DE43D6">
        <w:rPr>
          <w:rFonts w:ascii="Times New Roman" w:hAnsi="Times New Roman" w:cs="Times New Roman"/>
          <w:sz w:val="22"/>
          <w:szCs w:val="22"/>
        </w:rPr>
        <w:t>). The concentration and</w:t>
      </w:r>
      <w:r>
        <w:rPr>
          <w:rFonts w:ascii="Times New Roman" w:hAnsi="Times New Roman" w:cs="Times New Roman"/>
          <w:sz w:val="22"/>
          <w:szCs w:val="22"/>
        </w:rPr>
        <w:t xml:space="preserve"> </w:t>
      </w:r>
      <w:r w:rsidRPr="00DE43D6">
        <w:rPr>
          <w:rFonts w:ascii="Times New Roman" w:hAnsi="Times New Roman" w:cs="Times New Roman"/>
          <w:sz w:val="22"/>
          <w:szCs w:val="22"/>
        </w:rPr>
        <w:t xml:space="preserve">purity of RNA were measured by </w:t>
      </w:r>
      <w:proofErr w:type="spellStart"/>
      <w:r w:rsidRPr="00DE43D6">
        <w:rPr>
          <w:rFonts w:ascii="Times New Roman" w:hAnsi="Times New Roman" w:cs="Times New Roman"/>
          <w:sz w:val="22"/>
          <w:szCs w:val="22"/>
        </w:rPr>
        <w:t>NanoDrop</w:t>
      </w:r>
      <w:proofErr w:type="spellEnd"/>
      <w:r w:rsidRPr="00DE43D6">
        <w:rPr>
          <w:rFonts w:ascii="Times New Roman" w:hAnsi="Times New Roman" w:cs="Times New Roman"/>
          <w:sz w:val="22"/>
          <w:szCs w:val="22"/>
        </w:rPr>
        <w:t xml:space="preserve"> ND-</w:t>
      </w:r>
      <w:r w:rsidRPr="00DE43D6">
        <w:rPr>
          <w:rFonts w:ascii="Times New Roman" w:hAnsi="Times New Roman" w:cs="Times New Roman"/>
          <w:sz w:val="22"/>
          <w:szCs w:val="22"/>
        </w:rPr>
        <w:softHyphen/>
        <w:t>8000</w:t>
      </w:r>
      <w:r>
        <w:rPr>
          <w:rFonts w:ascii="Times New Roman" w:hAnsi="Times New Roman" w:cs="Times New Roman"/>
          <w:sz w:val="22"/>
          <w:szCs w:val="22"/>
        </w:rPr>
        <w:t xml:space="preserve"> </w:t>
      </w:r>
      <w:r w:rsidRPr="00DE43D6">
        <w:rPr>
          <w:rFonts w:ascii="Times New Roman" w:hAnsi="Times New Roman" w:cs="Times New Roman"/>
          <w:sz w:val="22"/>
          <w:szCs w:val="22"/>
        </w:rPr>
        <w:t>spectrophotometer (</w:t>
      </w:r>
      <w:proofErr w:type="spellStart"/>
      <w:r w:rsidRPr="00DE43D6">
        <w:rPr>
          <w:rFonts w:ascii="Times New Roman" w:hAnsi="Times New Roman" w:cs="Times New Roman"/>
          <w:sz w:val="22"/>
          <w:szCs w:val="22"/>
        </w:rPr>
        <w:t>Thermo</w:t>
      </w:r>
      <w:proofErr w:type="spellEnd"/>
      <w:r w:rsidRPr="00DE43D6">
        <w:rPr>
          <w:rFonts w:ascii="Times New Roman" w:hAnsi="Times New Roman" w:cs="Times New Roman"/>
          <w:sz w:val="22"/>
          <w:szCs w:val="22"/>
        </w:rPr>
        <w:t xml:space="preserve"> Fisher Scientific, MA, USA)</w:t>
      </w:r>
      <w:r>
        <w:rPr>
          <w:rFonts w:ascii="Times New Roman" w:hAnsi="Times New Roman" w:cs="Times New Roman"/>
          <w:sz w:val="22"/>
          <w:szCs w:val="22"/>
        </w:rPr>
        <w:t xml:space="preserve"> </w:t>
      </w:r>
      <w:r w:rsidRPr="00DE43D6">
        <w:rPr>
          <w:rFonts w:ascii="Times New Roman" w:hAnsi="Times New Roman" w:cs="Times New Roman"/>
          <w:sz w:val="22"/>
          <w:szCs w:val="22"/>
        </w:rPr>
        <w:t>and RNA integrity was evaluated using an Agilent 2100</w:t>
      </w:r>
      <w:r>
        <w:rPr>
          <w:rFonts w:ascii="Times New Roman" w:hAnsi="Times New Roman" w:cs="Times New Roman"/>
          <w:sz w:val="22"/>
          <w:szCs w:val="22"/>
        </w:rPr>
        <w:t xml:space="preserve"> </w:t>
      </w:r>
      <w:r w:rsidRPr="00DE43D6">
        <w:rPr>
          <w:rFonts w:ascii="Times New Roman" w:hAnsi="Times New Roman" w:cs="Times New Roman"/>
          <w:sz w:val="22"/>
          <w:szCs w:val="22"/>
        </w:rPr>
        <w:t>Bioanalyzer (Agilent Technologies, CA, USA). All samples</w:t>
      </w:r>
      <w:r>
        <w:rPr>
          <w:rFonts w:ascii="Times New Roman" w:hAnsi="Times New Roman" w:cs="Times New Roman"/>
          <w:sz w:val="22"/>
          <w:szCs w:val="22"/>
        </w:rPr>
        <w:t xml:space="preserve"> </w:t>
      </w:r>
      <w:r w:rsidRPr="00DE43D6">
        <w:rPr>
          <w:rFonts w:ascii="Times New Roman" w:hAnsi="Times New Roman" w:cs="Times New Roman"/>
          <w:sz w:val="22"/>
          <w:szCs w:val="22"/>
        </w:rPr>
        <w:t>had a RIN value ≥8.5. All materials used were RNase-</w:t>
      </w:r>
      <w:r w:rsidRPr="00DE43D6">
        <w:rPr>
          <w:rFonts w:ascii="Times New Roman" w:hAnsi="Times New Roman" w:cs="Times New Roman"/>
          <w:sz w:val="22"/>
          <w:szCs w:val="22"/>
        </w:rPr>
        <w:softHyphen/>
        <w:t>free.</w:t>
      </w:r>
      <w:r>
        <w:rPr>
          <w:rFonts w:ascii="Times New Roman" w:hAnsi="Times New Roman" w:cs="Times New Roman"/>
          <w:sz w:val="22"/>
          <w:szCs w:val="22"/>
        </w:rPr>
        <w:t xml:space="preserve"> </w:t>
      </w:r>
      <w:r w:rsidRPr="00DE43D6">
        <w:rPr>
          <w:rFonts w:ascii="Times New Roman" w:hAnsi="Times New Roman" w:cs="Times New Roman"/>
          <w:sz w:val="22"/>
          <w:szCs w:val="22"/>
        </w:rPr>
        <w:t>Tissue collection and RNA extraction were performed by</w:t>
      </w:r>
      <w:r>
        <w:rPr>
          <w:rFonts w:ascii="Times New Roman" w:hAnsi="Times New Roman" w:cs="Times New Roman"/>
          <w:sz w:val="22"/>
          <w:szCs w:val="22"/>
        </w:rPr>
        <w:t xml:space="preserve"> </w:t>
      </w:r>
      <w:r w:rsidRPr="00DE43D6">
        <w:rPr>
          <w:rFonts w:ascii="Times New Roman" w:hAnsi="Times New Roman" w:cs="Times New Roman"/>
          <w:sz w:val="22"/>
          <w:szCs w:val="22"/>
        </w:rPr>
        <w:t>the same investigator.</w:t>
      </w:r>
    </w:p>
    <w:p w14:paraId="11B10748" w14:textId="77777777" w:rsidR="00807B90" w:rsidRPr="00807B90" w:rsidRDefault="00807B90" w:rsidP="00807B90">
      <w:pPr>
        <w:spacing w:afterLines="50" w:after="156"/>
        <w:rPr>
          <w:rFonts w:ascii="Times New Roman" w:hAnsi="Times New Roman" w:cs="Times New Roman"/>
          <w:b/>
          <w:bCs/>
          <w:sz w:val="22"/>
          <w:szCs w:val="22"/>
        </w:rPr>
      </w:pPr>
      <w:r w:rsidRPr="00807B90">
        <w:rPr>
          <w:rFonts w:ascii="Times New Roman" w:hAnsi="Times New Roman" w:cs="Times New Roman"/>
          <w:b/>
          <w:bCs/>
          <w:sz w:val="22"/>
          <w:szCs w:val="22"/>
        </w:rPr>
        <w:t>Library Preparation and RNA-Sequencing</w:t>
      </w:r>
    </w:p>
    <w:p w14:paraId="4F710BA1" w14:textId="771E5E8F" w:rsidR="00807B90" w:rsidRPr="00DE43D6" w:rsidRDefault="00683A5E" w:rsidP="00807B90">
      <w:pPr>
        <w:spacing w:afterLines="100" w:after="312"/>
        <w:rPr>
          <w:rFonts w:ascii="Times New Roman" w:hAnsi="Times New Roman" w:cs="Times New Roman"/>
          <w:sz w:val="22"/>
          <w:szCs w:val="22"/>
        </w:rPr>
      </w:pPr>
      <w:r w:rsidRPr="00683A5E">
        <w:rPr>
          <w:rFonts w:ascii="Times New Roman" w:hAnsi="Times New Roman" w:cs="Times New Roman"/>
          <w:sz w:val="22"/>
          <w:szCs w:val="22"/>
        </w:rPr>
        <w:t>To ensure blinding, all tissue samples were anonymized with numerical codes immediately after collection. The personnel involved in RNA extraction and sequencing were blinded to group assignment, which was only revealed after data acquisition during the bioinformatic analysis stage</w:t>
      </w:r>
      <w:r>
        <w:rPr>
          <w:rFonts w:ascii="Times New Roman" w:hAnsi="Times New Roman" w:cs="Times New Roman"/>
          <w:sz w:val="22"/>
          <w:szCs w:val="22"/>
        </w:rPr>
        <w:t xml:space="preserve">. </w:t>
      </w:r>
      <w:r w:rsidR="00807B90" w:rsidRPr="00807B90">
        <w:rPr>
          <w:rFonts w:ascii="Times New Roman" w:hAnsi="Times New Roman" w:cs="Times New Roman"/>
          <w:sz w:val="22"/>
          <w:szCs w:val="22"/>
        </w:rPr>
        <w:t>After RNA extraction and assessment of RNA quality and</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quantity, RNA-seq was applied on an individual sample basis,</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rather than combining samples from each group for unified</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analysis and each sample was sequenced to approximately</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 xml:space="preserve">5–6 million reads. For this, the </w:t>
      </w:r>
      <w:proofErr w:type="spellStart"/>
      <w:r w:rsidR="00807B90" w:rsidRPr="00807B90">
        <w:rPr>
          <w:rFonts w:ascii="Times New Roman" w:hAnsi="Times New Roman" w:cs="Times New Roman"/>
          <w:sz w:val="22"/>
          <w:szCs w:val="22"/>
        </w:rPr>
        <w:t>Lexogen</w:t>
      </w:r>
      <w:proofErr w:type="spellEnd"/>
      <w:r w:rsidR="00807B90" w:rsidRPr="00807B90">
        <w:rPr>
          <w:rFonts w:ascii="Times New Roman" w:hAnsi="Times New Roman" w:cs="Times New Roman"/>
          <w:sz w:val="22"/>
          <w:szCs w:val="22"/>
        </w:rPr>
        <w:t xml:space="preserve"> QuantSeq3</w:t>
      </w:r>
      <w:r w:rsidR="00807B90">
        <w:rPr>
          <w:rFonts w:ascii="Times New Roman" w:hAnsi="Times New Roman" w:cs="Times New Roman"/>
          <w:sz w:val="22"/>
          <w:szCs w:val="22"/>
        </w:rPr>
        <w:t>’</w:t>
      </w:r>
      <w:r w:rsidR="00807B90" w:rsidRPr="00807B90">
        <w:rPr>
          <w:rFonts w:ascii="Times New Roman" w:hAnsi="Times New Roman" w:cs="Times New Roman"/>
          <w:sz w:val="22"/>
          <w:szCs w:val="22"/>
        </w:rPr>
        <w:t xml:space="preserve"> mRNA-Seq</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library prep kit (</w:t>
      </w:r>
      <w:proofErr w:type="spellStart"/>
      <w:r w:rsidR="00807B90" w:rsidRPr="00807B90">
        <w:rPr>
          <w:rFonts w:ascii="Times New Roman" w:hAnsi="Times New Roman" w:cs="Times New Roman"/>
          <w:sz w:val="22"/>
          <w:szCs w:val="22"/>
        </w:rPr>
        <w:t>Lexogen</w:t>
      </w:r>
      <w:proofErr w:type="spellEnd"/>
      <w:r w:rsidR="00807B90" w:rsidRPr="00807B90">
        <w:rPr>
          <w:rFonts w:ascii="Times New Roman" w:hAnsi="Times New Roman" w:cs="Times New Roman"/>
          <w:sz w:val="22"/>
          <w:szCs w:val="22"/>
        </w:rPr>
        <w:t>, Vienna, Austria) was applied</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according to the manufacturer</w:t>
      </w:r>
      <w:r w:rsidR="00807B90">
        <w:rPr>
          <w:rFonts w:ascii="Times New Roman" w:hAnsi="Times New Roman" w:cs="Times New Roman"/>
          <w:sz w:val="22"/>
          <w:szCs w:val="22"/>
        </w:rPr>
        <w:t>’</w:t>
      </w:r>
      <w:r w:rsidR="00807B90" w:rsidRPr="00807B90">
        <w:rPr>
          <w:rFonts w:ascii="Times New Roman" w:hAnsi="Times New Roman" w:cs="Times New Roman"/>
          <w:sz w:val="22"/>
          <w:szCs w:val="22"/>
        </w:rPr>
        <w:t>s protocol with 500 ng input.</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Following preparation, the libraries were measured with</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Qubit and placed on the Fragment analyzer to guarantee</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 xml:space="preserve">they could be pooled equimolar to 2 </w:t>
      </w:r>
      <w:proofErr w:type="spellStart"/>
      <w:r w:rsidR="00807B90" w:rsidRPr="00807B90">
        <w:rPr>
          <w:rFonts w:ascii="Times New Roman" w:hAnsi="Times New Roman" w:cs="Times New Roman"/>
          <w:sz w:val="22"/>
          <w:szCs w:val="22"/>
        </w:rPr>
        <w:t>nM.</w:t>
      </w:r>
      <w:proofErr w:type="spellEnd"/>
      <w:r w:rsidR="00807B90" w:rsidRPr="00807B90">
        <w:rPr>
          <w:rFonts w:ascii="Times New Roman" w:hAnsi="Times New Roman" w:cs="Times New Roman"/>
          <w:sz w:val="22"/>
          <w:szCs w:val="22"/>
        </w:rPr>
        <w:t xml:space="preserve"> The pool was subsequently quantified using RT-qPCR, and a final pool (2 </w:t>
      </w:r>
      <w:proofErr w:type="spellStart"/>
      <w:r w:rsidR="00807B90" w:rsidRPr="00807B90">
        <w:rPr>
          <w:rFonts w:ascii="Times New Roman" w:hAnsi="Times New Roman" w:cs="Times New Roman"/>
          <w:sz w:val="22"/>
          <w:szCs w:val="22"/>
        </w:rPr>
        <w:t>nM</w:t>
      </w:r>
      <w:proofErr w:type="spellEnd"/>
      <w:r w:rsidR="00807B90" w:rsidRPr="00807B90">
        <w:rPr>
          <w:rFonts w:ascii="Times New Roman" w:hAnsi="Times New Roman" w:cs="Times New Roman"/>
          <w:sz w:val="22"/>
          <w:szCs w:val="22"/>
        </w:rPr>
        <w:t>)</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was created for single-end 50-base pair (bp) sequencing on the</w:t>
      </w:r>
      <w:r w:rsidR="00807B90">
        <w:rPr>
          <w:rFonts w:ascii="Times New Roman" w:hAnsi="Times New Roman" w:cs="Times New Roman"/>
          <w:sz w:val="22"/>
          <w:szCs w:val="22"/>
        </w:rPr>
        <w:t xml:space="preserve"> </w:t>
      </w:r>
      <w:r w:rsidR="00807B90" w:rsidRPr="00807B90">
        <w:rPr>
          <w:rFonts w:ascii="Times New Roman" w:hAnsi="Times New Roman" w:cs="Times New Roman"/>
          <w:sz w:val="22"/>
          <w:szCs w:val="22"/>
        </w:rPr>
        <w:t>Illumina Inc. HiSeq4000.</w:t>
      </w:r>
    </w:p>
    <w:sectPr w:rsidR="00807B90" w:rsidRPr="00DE43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66C"/>
    <w:rsid w:val="000872BF"/>
    <w:rsid w:val="000E2C59"/>
    <w:rsid w:val="001368E0"/>
    <w:rsid w:val="002B3AD9"/>
    <w:rsid w:val="003468DD"/>
    <w:rsid w:val="005853BB"/>
    <w:rsid w:val="00623483"/>
    <w:rsid w:val="006506C5"/>
    <w:rsid w:val="0066377E"/>
    <w:rsid w:val="00683A5E"/>
    <w:rsid w:val="00807B90"/>
    <w:rsid w:val="009476EF"/>
    <w:rsid w:val="009E401E"/>
    <w:rsid w:val="00AF066C"/>
    <w:rsid w:val="00D94D97"/>
    <w:rsid w:val="00DE43D6"/>
    <w:rsid w:val="00DE59C0"/>
    <w:rsid w:val="00F54712"/>
    <w:rsid w:val="00FB5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4772FB8"/>
  <w15:chartTrackingRefBased/>
  <w15:docId w15:val="{9CC76B45-1CA1-1849-BB75-30DDBF621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F066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F066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F066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F066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F066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F066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F066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F066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F066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F066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F066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F066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F066C"/>
    <w:rPr>
      <w:rFonts w:cstheme="majorBidi"/>
      <w:color w:val="0F4761" w:themeColor="accent1" w:themeShade="BF"/>
      <w:sz w:val="28"/>
      <w:szCs w:val="28"/>
    </w:rPr>
  </w:style>
  <w:style w:type="character" w:customStyle="1" w:styleId="50">
    <w:name w:val="标题 5 字符"/>
    <w:basedOn w:val="a0"/>
    <w:link w:val="5"/>
    <w:uiPriority w:val="9"/>
    <w:semiHidden/>
    <w:rsid w:val="00AF066C"/>
    <w:rPr>
      <w:rFonts w:cstheme="majorBidi"/>
      <w:color w:val="0F4761" w:themeColor="accent1" w:themeShade="BF"/>
      <w:sz w:val="24"/>
    </w:rPr>
  </w:style>
  <w:style w:type="character" w:customStyle="1" w:styleId="60">
    <w:name w:val="标题 6 字符"/>
    <w:basedOn w:val="a0"/>
    <w:link w:val="6"/>
    <w:uiPriority w:val="9"/>
    <w:semiHidden/>
    <w:rsid w:val="00AF066C"/>
    <w:rPr>
      <w:rFonts w:cstheme="majorBidi"/>
      <w:b/>
      <w:bCs/>
      <w:color w:val="0F4761" w:themeColor="accent1" w:themeShade="BF"/>
    </w:rPr>
  </w:style>
  <w:style w:type="character" w:customStyle="1" w:styleId="70">
    <w:name w:val="标题 7 字符"/>
    <w:basedOn w:val="a0"/>
    <w:link w:val="7"/>
    <w:uiPriority w:val="9"/>
    <w:semiHidden/>
    <w:rsid w:val="00AF066C"/>
    <w:rPr>
      <w:rFonts w:cstheme="majorBidi"/>
      <w:b/>
      <w:bCs/>
      <w:color w:val="595959" w:themeColor="text1" w:themeTint="A6"/>
    </w:rPr>
  </w:style>
  <w:style w:type="character" w:customStyle="1" w:styleId="80">
    <w:name w:val="标题 8 字符"/>
    <w:basedOn w:val="a0"/>
    <w:link w:val="8"/>
    <w:uiPriority w:val="9"/>
    <w:semiHidden/>
    <w:rsid w:val="00AF066C"/>
    <w:rPr>
      <w:rFonts w:cstheme="majorBidi"/>
      <w:color w:val="595959" w:themeColor="text1" w:themeTint="A6"/>
    </w:rPr>
  </w:style>
  <w:style w:type="character" w:customStyle="1" w:styleId="90">
    <w:name w:val="标题 9 字符"/>
    <w:basedOn w:val="a0"/>
    <w:link w:val="9"/>
    <w:uiPriority w:val="9"/>
    <w:semiHidden/>
    <w:rsid w:val="00AF066C"/>
    <w:rPr>
      <w:rFonts w:eastAsiaTheme="majorEastAsia" w:cstheme="majorBidi"/>
      <w:color w:val="595959" w:themeColor="text1" w:themeTint="A6"/>
    </w:rPr>
  </w:style>
  <w:style w:type="paragraph" w:styleId="a3">
    <w:name w:val="Title"/>
    <w:basedOn w:val="a"/>
    <w:next w:val="a"/>
    <w:link w:val="a4"/>
    <w:uiPriority w:val="10"/>
    <w:qFormat/>
    <w:rsid w:val="00AF066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F06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06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F06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F066C"/>
    <w:pPr>
      <w:spacing w:before="160" w:after="160"/>
      <w:jc w:val="center"/>
    </w:pPr>
    <w:rPr>
      <w:i/>
      <w:iCs/>
      <w:color w:val="404040" w:themeColor="text1" w:themeTint="BF"/>
    </w:rPr>
  </w:style>
  <w:style w:type="character" w:customStyle="1" w:styleId="a8">
    <w:name w:val="引用 字符"/>
    <w:basedOn w:val="a0"/>
    <w:link w:val="a7"/>
    <w:uiPriority w:val="29"/>
    <w:rsid w:val="00AF066C"/>
    <w:rPr>
      <w:i/>
      <w:iCs/>
      <w:color w:val="404040" w:themeColor="text1" w:themeTint="BF"/>
    </w:rPr>
  </w:style>
  <w:style w:type="paragraph" w:styleId="a9">
    <w:name w:val="List Paragraph"/>
    <w:basedOn w:val="a"/>
    <w:uiPriority w:val="34"/>
    <w:qFormat/>
    <w:rsid w:val="00AF066C"/>
    <w:pPr>
      <w:ind w:left="720"/>
      <w:contextualSpacing/>
    </w:pPr>
  </w:style>
  <w:style w:type="character" w:styleId="aa">
    <w:name w:val="Intense Emphasis"/>
    <w:basedOn w:val="a0"/>
    <w:uiPriority w:val="21"/>
    <w:qFormat/>
    <w:rsid w:val="00AF066C"/>
    <w:rPr>
      <w:i/>
      <w:iCs/>
      <w:color w:val="0F4761" w:themeColor="accent1" w:themeShade="BF"/>
    </w:rPr>
  </w:style>
  <w:style w:type="paragraph" w:styleId="ab">
    <w:name w:val="Intense Quote"/>
    <w:basedOn w:val="a"/>
    <w:next w:val="a"/>
    <w:link w:val="ac"/>
    <w:uiPriority w:val="30"/>
    <w:qFormat/>
    <w:rsid w:val="00AF0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F066C"/>
    <w:rPr>
      <w:i/>
      <w:iCs/>
      <w:color w:val="0F4761" w:themeColor="accent1" w:themeShade="BF"/>
    </w:rPr>
  </w:style>
  <w:style w:type="character" w:styleId="ad">
    <w:name w:val="Intense Reference"/>
    <w:basedOn w:val="a0"/>
    <w:uiPriority w:val="32"/>
    <w:qFormat/>
    <w:rsid w:val="00AF06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695</Words>
  <Characters>3966</Characters>
  <Application>Microsoft Office Word</Application>
  <DocSecurity>0</DocSecurity>
  <Lines>33</Lines>
  <Paragraphs>9</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Zuodong Zhao</dc:creator>
  <cp:keywords/>
  <dc:description/>
  <cp:lastModifiedBy>Zuodong Zhao</cp:lastModifiedBy>
  <cp:revision>21</cp:revision>
  <dcterms:created xsi:type="dcterms:W3CDTF">2025-10-14T09:11:00Z</dcterms:created>
  <dcterms:modified xsi:type="dcterms:W3CDTF">2025-10-20T13:44:00Z</dcterms:modified>
</cp:coreProperties>
</file>