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42713" w14:textId="51310E76" w:rsidR="0031535F" w:rsidRPr="00550631" w:rsidRDefault="00BB485F" w:rsidP="0055063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550631">
        <w:rPr>
          <w:rFonts w:ascii="Arial" w:hAnsi="Arial" w:cs="Arial"/>
          <w:sz w:val="20"/>
          <w:szCs w:val="20"/>
          <w:lang w:val="en-US"/>
        </w:rPr>
        <w:t xml:space="preserve">Supplementary </w:t>
      </w:r>
      <w:r w:rsidR="00550631">
        <w:rPr>
          <w:rFonts w:ascii="Arial" w:hAnsi="Arial" w:cs="Arial"/>
          <w:sz w:val="20"/>
          <w:szCs w:val="20"/>
          <w:lang w:val="en-US"/>
        </w:rPr>
        <w:t>T</w:t>
      </w:r>
      <w:r w:rsidRPr="00550631">
        <w:rPr>
          <w:rFonts w:ascii="Arial" w:hAnsi="Arial" w:cs="Arial"/>
          <w:sz w:val="20"/>
          <w:szCs w:val="20"/>
          <w:lang w:val="en-US"/>
        </w:rPr>
        <w:t>able</w:t>
      </w:r>
      <w:r w:rsidR="00550631">
        <w:rPr>
          <w:rFonts w:ascii="Arial" w:hAnsi="Arial" w:cs="Arial"/>
          <w:sz w:val="20"/>
          <w:szCs w:val="20"/>
          <w:lang w:val="en-US"/>
        </w:rPr>
        <w:t xml:space="preserve"> 2.</w:t>
      </w:r>
      <w:r w:rsidR="005317AD" w:rsidRPr="00550631">
        <w:rPr>
          <w:rFonts w:ascii="Arial" w:hAnsi="Arial" w:cs="Arial"/>
          <w:sz w:val="20"/>
          <w:szCs w:val="20"/>
          <w:lang w:val="en-US"/>
        </w:rPr>
        <w:t xml:space="preserve"> Studies</w:t>
      </w:r>
      <w:r w:rsidRPr="00550631">
        <w:rPr>
          <w:rFonts w:ascii="Arial" w:hAnsi="Arial" w:cs="Arial"/>
          <w:sz w:val="20"/>
          <w:szCs w:val="20"/>
          <w:lang w:val="en-US"/>
        </w:rPr>
        <w:t xml:space="preserve"> identified from the literature search and excluded with reasons.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878"/>
        <w:gridCol w:w="1404"/>
        <w:gridCol w:w="1346"/>
      </w:tblGrid>
      <w:tr w:rsidR="00E33510" w:rsidRPr="00550631" w14:paraId="7601C369" w14:textId="77777777">
        <w:tc>
          <w:tcPr>
            <w:tcW w:w="0" w:type="auto"/>
          </w:tcPr>
          <w:p w14:paraId="679EC17D" w14:textId="7757DE6B" w:rsidR="00BB485F" w:rsidRPr="00550631" w:rsidRDefault="00BB485F" w:rsidP="0055063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Paper</w:t>
            </w:r>
          </w:p>
        </w:tc>
        <w:tc>
          <w:tcPr>
            <w:tcW w:w="0" w:type="auto"/>
          </w:tcPr>
          <w:p w14:paraId="5071BE63" w14:textId="61E032C2" w:rsidR="00BB485F" w:rsidRPr="00550631" w:rsidRDefault="00BB485F" w:rsidP="0055063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Author and year</w:t>
            </w:r>
          </w:p>
        </w:tc>
        <w:tc>
          <w:tcPr>
            <w:tcW w:w="0" w:type="auto"/>
          </w:tcPr>
          <w:p w14:paraId="36A1BDF9" w14:textId="37A58E3D" w:rsidR="00BB485F" w:rsidRPr="00550631" w:rsidRDefault="00BB485F" w:rsidP="0055063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Reason for exclusion</w:t>
            </w:r>
          </w:p>
        </w:tc>
      </w:tr>
      <w:tr w:rsidR="00862AC7" w:rsidRPr="00550631" w14:paraId="46C658DD" w14:textId="77777777" w:rsidTr="00902103">
        <w:tc>
          <w:tcPr>
            <w:tcW w:w="0" w:type="auto"/>
            <w:gridSpan w:val="3"/>
          </w:tcPr>
          <w:p w14:paraId="0E78AE60" w14:textId="19C54BE4" w:rsidR="00862AC7" w:rsidRPr="00550631" w:rsidRDefault="00862AC7" w:rsidP="0055063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Studies excluded after screening for title and abstract</w:t>
            </w:r>
          </w:p>
        </w:tc>
      </w:tr>
      <w:tr w:rsidR="00E33510" w:rsidRPr="00550631" w14:paraId="42AFDD4D" w14:textId="77777777">
        <w:tc>
          <w:tcPr>
            <w:tcW w:w="0" w:type="auto"/>
          </w:tcPr>
          <w:p w14:paraId="348EB672" w14:textId="77777777" w:rsidR="00BB485F" w:rsidRPr="00550631" w:rsidRDefault="00BB485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A Retrospective Study Regarding the Efficacy of </w:t>
            </w:r>
            <w:proofErr w:type="spell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Nuvola</w:t>
            </w:r>
            <w:proofErr w:type="spellEnd"/>
            <w:r w:rsidRPr="0055063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®</w:t>
            </w: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 OP Clear Aligners in Maxillary Arch Expansion in Adult Patients</w:t>
            </w:r>
          </w:p>
          <w:p w14:paraId="3CB277B3" w14:textId="77777777" w:rsidR="00BB485F" w:rsidRPr="00550631" w:rsidRDefault="00BB485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5A6DEE0" w14:textId="4A331EFD" w:rsidR="00BB485F" w:rsidRPr="00550631" w:rsidRDefault="00BB485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Bucur et al. 2025</w:t>
            </w:r>
          </w:p>
        </w:tc>
        <w:tc>
          <w:tcPr>
            <w:tcW w:w="0" w:type="auto"/>
          </w:tcPr>
          <w:p w14:paraId="0DC110D8" w14:textId="276E0333" w:rsidR="00BB485F" w:rsidRPr="00550631" w:rsidRDefault="00BB485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brand</w:t>
            </w:r>
            <w:r w:rsidR="006242A5"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of aligners</w:t>
            </w:r>
          </w:p>
        </w:tc>
      </w:tr>
      <w:tr w:rsidR="00E33510" w:rsidRPr="00550631" w14:paraId="2222DA43" w14:textId="77777777">
        <w:tc>
          <w:tcPr>
            <w:tcW w:w="0" w:type="auto"/>
          </w:tcPr>
          <w:p w14:paraId="4A414E91" w14:textId="77777777" w:rsidR="00BB485F" w:rsidRPr="00550631" w:rsidRDefault="00BB485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Nonsurgical treatment of an adult patient with severe transversal skeletal discrepancy: Tooth bone-borne tandem expander and hybrid aligner approach</w:t>
            </w:r>
          </w:p>
          <w:p w14:paraId="6FC99A9A" w14:textId="77777777" w:rsidR="00BB485F" w:rsidRPr="00550631" w:rsidRDefault="00BB485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43CF8AA" w14:textId="0FFA5339" w:rsidR="00BB485F" w:rsidRPr="00550631" w:rsidRDefault="00BB485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Pepe et al. 2024</w:t>
            </w:r>
          </w:p>
        </w:tc>
        <w:tc>
          <w:tcPr>
            <w:tcW w:w="0" w:type="auto"/>
          </w:tcPr>
          <w:p w14:paraId="521C48D4" w14:textId="66993A55" w:rsidR="00BB485F" w:rsidRPr="00550631" w:rsidRDefault="00BB485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22732" w:rsidRPr="00550631" w14:paraId="0254A911" w14:textId="77777777">
        <w:tc>
          <w:tcPr>
            <w:tcW w:w="0" w:type="auto"/>
          </w:tcPr>
          <w:p w14:paraId="495972E0" w14:textId="77777777" w:rsidR="00C10B36" w:rsidRPr="00550631" w:rsidRDefault="00C10B36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Maxillary dentition sequential distalization using clear aligners and </w:t>
            </w:r>
            <w:proofErr w:type="gram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mini-implants</w:t>
            </w:r>
            <w:proofErr w:type="gramEnd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in an adult with Class II Division 1 malocclusion</w:t>
            </w:r>
          </w:p>
          <w:p w14:paraId="2E1C0FBD" w14:textId="77777777" w:rsidR="00C10B36" w:rsidRPr="00550631" w:rsidRDefault="00C10B36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5947F82" w14:textId="0798DA9D" w:rsidR="00C10B36" w:rsidRPr="00550631" w:rsidRDefault="00C10B36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Sun et al. 2024</w:t>
            </w:r>
          </w:p>
        </w:tc>
        <w:tc>
          <w:tcPr>
            <w:tcW w:w="0" w:type="auto"/>
          </w:tcPr>
          <w:p w14:paraId="2CEC5A65" w14:textId="67004702" w:rsidR="00C10B36" w:rsidRPr="00550631" w:rsidRDefault="00C10B36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22732" w:rsidRPr="00550631" w14:paraId="0E44361E" w14:textId="77777777">
        <w:tc>
          <w:tcPr>
            <w:tcW w:w="0" w:type="auto"/>
          </w:tcPr>
          <w:p w14:paraId="04E69286" w14:textId="4E4CFCEB" w:rsidR="004035D9" w:rsidRPr="00550631" w:rsidRDefault="004035D9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How well does Invisalign work? A prospective clinical study evaluating the efficacy of tooth movement with Invisalign</w:t>
            </w:r>
          </w:p>
        </w:tc>
        <w:tc>
          <w:tcPr>
            <w:tcW w:w="0" w:type="auto"/>
          </w:tcPr>
          <w:p w14:paraId="1C8FCBA4" w14:textId="7A8FAEF7" w:rsidR="004035D9" w:rsidRPr="00550631" w:rsidRDefault="004035D9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Kravitz et al. 2009</w:t>
            </w:r>
          </w:p>
        </w:tc>
        <w:tc>
          <w:tcPr>
            <w:tcW w:w="0" w:type="auto"/>
          </w:tcPr>
          <w:p w14:paraId="53841C72" w14:textId="753833A3" w:rsidR="004035D9" w:rsidRPr="00550631" w:rsidRDefault="004035D9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22732" w:rsidRPr="00550631" w14:paraId="541D2772" w14:textId="77777777">
        <w:tc>
          <w:tcPr>
            <w:tcW w:w="0" w:type="auto"/>
          </w:tcPr>
          <w:p w14:paraId="616F5DDF" w14:textId="77777777" w:rsidR="00D0304B" w:rsidRPr="00550631" w:rsidRDefault="00D0304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Beauty and breathing: optimizing dentofacial cosmesis and function during adult maxillary expansion for sleep-disordered </w:t>
            </w:r>
            <w:proofErr w:type="gram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breathing</w:t>
            </w:r>
            <w:proofErr w:type="gramEnd"/>
          </w:p>
          <w:p w14:paraId="69DCDFE2" w14:textId="77777777" w:rsidR="00D0304B" w:rsidRPr="00550631" w:rsidRDefault="00D0304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985C9C6" w14:textId="08711FC3" w:rsidR="00D0304B" w:rsidRPr="00550631" w:rsidRDefault="00D0304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Pinter et al. 2024</w:t>
            </w:r>
          </w:p>
        </w:tc>
        <w:tc>
          <w:tcPr>
            <w:tcW w:w="0" w:type="auto"/>
          </w:tcPr>
          <w:p w14:paraId="7C9AA79D" w14:textId="427D966A" w:rsidR="00D0304B" w:rsidRPr="00550631" w:rsidRDefault="00D0304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22732" w:rsidRPr="00550631" w14:paraId="7259C84E" w14:textId="77777777">
        <w:tc>
          <w:tcPr>
            <w:tcW w:w="0" w:type="auto"/>
          </w:tcPr>
          <w:p w14:paraId="3D0A27C5" w14:textId="77777777" w:rsidR="00EF6B66" w:rsidRPr="00550631" w:rsidRDefault="00EF6B66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Class II treatment of transverse maxillary deficiency with a single bone-borne appliance and hybrid clear aligner approach in an adult patient: A case report</w:t>
            </w:r>
          </w:p>
          <w:p w14:paraId="7D7F3287" w14:textId="77777777" w:rsidR="00EF6B66" w:rsidRPr="00550631" w:rsidRDefault="00EF6B66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3C25763" w14:textId="49A47679" w:rsidR="00EF6B66" w:rsidRPr="00550631" w:rsidRDefault="00EF6B66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Palone et al. 2022</w:t>
            </w:r>
          </w:p>
        </w:tc>
        <w:tc>
          <w:tcPr>
            <w:tcW w:w="0" w:type="auto"/>
          </w:tcPr>
          <w:p w14:paraId="219F2BA3" w14:textId="4561EBDB" w:rsidR="00EF6B66" w:rsidRPr="00550631" w:rsidRDefault="00EF6B66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Case report</w:t>
            </w:r>
          </w:p>
        </w:tc>
      </w:tr>
      <w:tr w:rsidR="00E22732" w:rsidRPr="00550631" w14:paraId="66E40E65" w14:textId="77777777">
        <w:tc>
          <w:tcPr>
            <w:tcW w:w="0" w:type="auto"/>
          </w:tcPr>
          <w:p w14:paraId="79664C19" w14:textId="01C23029" w:rsidR="0062702A" w:rsidRPr="00550631" w:rsidRDefault="0062702A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"/>
              </w:rPr>
              <w:t xml:space="preserve">Influence of Invisalign treatment with interproximal enamel reduction (IER) on bone volume for adult crowding: a retrospective three-dimensional cone beam computed tomography study </w:t>
            </w:r>
          </w:p>
        </w:tc>
        <w:tc>
          <w:tcPr>
            <w:tcW w:w="0" w:type="auto"/>
          </w:tcPr>
          <w:p w14:paraId="64824D59" w14:textId="2C003416" w:rsidR="0062702A" w:rsidRPr="00550631" w:rsidRDefault="0062702A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Hellak et al. 2016</w:t>
            </w:r>
          </w:p>
        </w:tc>
        <w:tc>
          <w:tcPr>
            <w:tcW w:w="0" w:type="auto"/>
          </w:tcPr>
          <w:p w14:paraId="75DE2951" w14:textId="10B10427" w:rsidR="0062702A" w:rsidRPr="00550631" w:rsidRDefault="0062702A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22732" w:rsidRPr="00550631" w14:paraId="5AF8E88D" w14:textId="77777777">
        <w:tc>
          <w:tcPr>
            <w:tcW w:w="0" w:type="auto"/>
          </w:tcPr>
          <w:p w14:paraId="56093033" w14:textId="1A76A852" w:rsidR="006E286B" w:rsidRPr="00550631" w:rsidRDefault="006E286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"/>
              </w:rPr>
              <w:t xml:space="preserve">The Reliability </w:t>
            </w:r>
            <w:r w:rsidR="00E106C7" w:rsidRPr="00550631">
              <w:rPr>
                <w:rFonts w:ascii="Arial" w:hAnsi="Arial" w:cs="Arial"/>
                <w:sz w:val="20"/>
                <w:szCs w:val="20"/>
                <w:lang w:val="en"/>
              </w:rPr>
              <w:t>of</w:t>
            </w:r>
            <w:r w:rsidRPr="00550631">
              <w:rPr>
                <w:rFonts w:ascii="Arial" w:hAnsi="Arial" w:cs="Arial"/>
                <w:sz w:val="20"/>
                <w:szCs w:val="20"/>
                <w:lang w:val="en"/>
              </w:rPr>
              <w:t xml:space="preserve"> Clear Aligners </w:t>
            </w:r>
            <w:r w:rsidR="00E106C7" w:rsidRPr="00550631">
              <w:rPr>
                <w:rFonts w:ascii="Arial" w:hAnsi="Arial" w:cs="Arial"/>
                <w:sz w:val="20"/>
                <w:szCs w:val="20"/>
                <w:lang w:val="en"/>
              </w:rPr>
              <w:t>i</w:t>
            </w:r>
            <w:r w:rsidRPr="00550631">
              <w:rPr>
                <w:rFonts w:ascii="Arial" w:hAnsi="Arial" w:cs="Arial"/>
                <w:sz w:val="20"/>
                <w:szCs w:val="20"/>
                <w:lang w:val="en"/>
              </w:rPr>
              <w:t>n Resolving Crowding</w:t>
            </w:r>
          </w:p>
        </w:tc>
        <w:tc>
          <w:tcPr>
            <w:tcW w:w="0" w:type="auto"/>
          </w:tcPr>
          <w:p w14:paraId="398B09DE" w14:textId="1D16277C" w:rsidR="006E286B" w:rsidRPr="00550631" w:rsidRDefault="006E286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Barashi</w:t>
            </w:r>
            <w:proofErr w:type="spellEnd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et al. 2024</w:t>
            </w:r>
          </w:p>
        </w:tc>
        <w:tc>
          <w:tcPr>
            <w:tcW w:w="0" w:type="auto"/>
          </w:tcPr>
          <w:p w14:paraId="26064E5C" w14:textId="71F8F946" w:rsidR="006E286B" w:rsidRPr="00550631" w:rsidRDefault="006E286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22732" w:rsidRPr="00550631" w14:paraId="5DA6281C" w14:textId="77777777">
        <w:tc>
          <w:tcPr>
            <w:tcW w:w="0" w:type="auto"/>
          </w:tcPr>
          <w:p w14:paraId="19FE4DDB" w14:textId="7BA88077" w:rsidR="00DE6082" w:rsidRPr="00550631" w:rsidRDefault="00DE6082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"/>
              </w:rPr>
              <w:t>Assessment of Dental Arch Width Expansion Effectiveness Using a Novel Hybrid Aligner with Virtual Brackets and Nickel-Titanium Archwires: A Prospective Clinical Study</w:t>
            </w:r>
          </w:p>
        </w:tc>
        <w:tc>
          <w:tcPr>
            <w:tcW w:w="0" w:type="auto"/>
          </w:tcPr>
          <w:p w14:paraId="4BFD7BDC" w14:textId="0A55476D" w:rsidR="00DE6082" w:rsidRPr="00550631" w:rsidRDefault="00DE6082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Leon-Valencia et al. 2025</w:t>
            </w:r>
          </w:p>
        </w:tc>
        <w:tc>
          <w:tcPr>
            <w:tcW w:w="0" w:type="auto"/>
          </w:tcPr>
          <w:p w14:paraId="568594B1" w14:textId="777FD99A" w:rsidR="00DE6082" w:rsidRPr="00550631" w:rsidRDefault="00DE6082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22732" w:rsidRPr="00550631" w14:paraId="434EE2A5" w14:textId="77777777">
        <w:tc>
          <w:tcPr>
            <w:tcW w:w="0" w:type="auto"/>
          </w:tcPr>
          <w:p w14:paraId="4A5DA3E5" w14:textId="7583A25B" w:rsidR="00983695" w:rsidRPr="00550631" w:rsidRDefault="00983695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"/>
              </w:rPr>
              <w:t>Quality of occlusal outcome in adult patients with posterior crossbite treated with completely customized lingual appliances and CAD/CAM archwires for maxillary expansion and mandibular compression compared to adult Class I patients: A retrospective study</w:t>
            </w:r>
          </w:p>
        </w:tc>
        <w:tc>
          <w:tcPr>
            <w:tcW w:w="0" w:type="auto"/>
          </w:tcPr>
          <w:p w14:paraId="05656D59" w14:textId="3504D1E4" w:rsidR="00983695" w:rsidRPr="00550631" w:rsidRDefault="00983695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Janssens et al. 2025</w:t>
            </w:r>
          </w:p>
        </w:tc>
        <w:tc>
          <w:tcPr>
            <w:tcW w:w="0" w:type="auto"/>
          </w:tcPr>
          <w:p w14:paraId="1F20AB0D" w14:textId="7ECBEDCA" w:rsidR="00983695" w:rsidRPr="00550631" w:rsidRDefault="00983695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22732" w:rsidRPr="00550631" w14:paraId="79C57259" w14:textId="77777777">
        <w:tc>
          <w:tcPr>
            <w:tcW w:w="0" w:type="auto"/>
          </w:tcPr>
          <w:p w14:paraId="4459B460" w14:textId="707FA498" w:rsidR="00F202A4" w:rsidRPr="00550631" w:rsidRDefault="00F202A4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"/>
              </w:rPr>
              <w:t>Maxillary alveolar bone evaluation following dentoalveolar expansion with clear aligners in adults: A cone-beam computed tomography study</w:t>
            </w:r>
          </w:p>
        </w:tc>
        <w:tc>
          <w:tcPr>
            <w:tcW w:w="0" w:type="auto"/>
          </w:tcPr>
          <w:p w14:paraId="406997F3" w14:textId="6BDA5C8C" w:rsidR="00F202A4" w:rsidRPr="00550631" w:rsidRDefault="00F202A4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De Figueiredo et al.  2023</w:t>
            </w:r>
          </w:p>
        </w:tc>
        <w:tc>
          <w:tcPr>
            <w:tcW w:w="0" w:type="auto"/>
          </w:tcPr>
          <w:p w14:paraId="2DF70D49" w14:textId="706E6088" w:rsidR="00F202A4" w:rsidRPr="00550631" w:rsidRDefault="00F202A4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Different outcome</w:t>
            </w:r>
          </w:p>
        </w:tc>
      </w:tr>
      <w:tr w:rsidR="00E22732" w:rsidRPr="00550631" w14:paraId="499601F0" w14:textId="77777777">
        <w:tc>
          <w:tcPr>
            <w:tcW w:w="0" w:type="auto"/>
          </w:tcPr>
          <w:p w14:paraId="26C0AF74" w14:textId="04EE9D47" w:rsidR="00F202A4" w:rsidRPr="00550631" w:rsidRDefault="00F202A4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"/>
              </w:rPr>
              <w:t>Factors influencing fenestration and dehiscence in the anterior teeth after clear aligner treatment: a multicenter retrospective study</w:t>
            </w:r>
          </w:p>
        </w:tc>
        <w:tc>
          <w:tcPr>
            <w:tcW w:w="0" w:type="auto"/>
          </w:tcPr>
          <w:p w14:paraId="4917B701" w14:textId="1564ECC0" w:rsidR="00F202A4" w:rsidRPr="00550631" w:rsidRDefault="00F202A4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Song et al. 2025</w:t>
            </w:r>
          </w:p>
        </w:tc>
        <w:tc>
          <w:tcPr>
            <w:tcW w:w="0" w:type="auto"/>
          </w:tcPr>
          <w:p w14:paraId="2DD46E3E" w14:textId="557A2EE0" w:rsidR="00F202A4" w:rsidRPr="00550631" w:rsidRDefault="00F202A4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22732" w:rsidRPr="00550631" w14:paraId="59C8FD7B" w14:textId="77777777">
        <w:tc>
          <w:tcPr>
            <w:tcW w:w="0" w:type="auto"/>
          </w:tcPr>
          <w:p w14:paraId="1AD51D9F" w14:textId="5A589597" w:rsidR="00F202A4" w:rsidRPr="00550631" w:rsidRDefault="00F202A4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"/>
              </w:rPr>
              <w:lastRenderedPageBreak/>
              <w:t>Assessment of linear and angular positions of central incisors in the maxilla and mandible related to planned overbite changes with clear aligner therapy</w:t>
            </w:r>
          </w:p>
        </w:tc>
        <w:tc>
          <w:tcPr>
            <w:tcW w:w="0" w:type="auto"/>
          </w:tcPr>
          <w:p w14:paraId="7CDE1089" w14:textId="136FA6C9" w:rsidR="00F202A4" w:rsidRPr="00550631" w:rsidRDefault="00F202A4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Meade et al. 2025</w:t>
            </w:r>
          </w:p>
        </w:tc>
        <w:tc>
          <w:tcPr>
            <w:tcW w:w="0" w:type="auto"/>
          </w:tcPr>
          <w:p w14:paraId="6E2D4550" w14:textId="4B652FC0" w:rsidR="00F202A4" w:rsidRPr="00550631" w:rsidRDefault="00F202A4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22732" w:rsidRPr="00550631" w14:paraId="53462DC3" w14:textId="77777777">
        <w:tc>
          <w:tcPr>
            <w:tcW w:w="0" w:type="auto"/>
          </w:tcPr>
          <w:p w14:paraId="0A2487D5" w14:textId="77777777" w:rsidR="00E22732" w:rsidRPr="00550631" w:rsidRDefault="00E22732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Invisalign technique in the treatment of adults with pre-restorative concerns</w:t>
            </w:r>
          </w:p>
          <w:p w14:paraId="0EB1356C" w14:textId="77777777" w:rsidR="00E22732" w:rsidRPr="00550631" w:rsidRDefault="00E22732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F5B2CA0" w14:textId="367BA79C" w:rsidR="00E22732" w:rsidRPr="00550631" w:rsidRDefault="00E22732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Mampieri</w:t>
            </w:r>
            <w:proofErr w:type="spellEnd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et al. 2013</w:t>
            </w:r>
          </w:p>
        </w:tc>
        <w:tc>
          <w:tcPr>
            <w:tcW w:w="0" w:type="auto"/>
          </w:tcPr>
          <w:p w14:paraId="27CBDF67" w14:textId="40D9CC1C" w:rsidR="00E22732" w:rsidRPr="00550631" w:rsidRDefault="00E22732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Patients in mixed dentition</w:t>
            </w:r>
          </w:p>
        </w:tc>
      </w:tr>
      <w:tr w:rsidR="0045622B" w:rsidRPr="00550631" w14:paraId="34F0B77A" w14:textId="77777777">
        <w:tc>
          <w:tcPr>
            <w:tcW w:w="0" w:type="auto"/>
          </w:tcPr>
          <w:p w14:paraId="0433FAE6" w14:textId="77777777" w:rsidR="0045622B" w:rsidRPr="00550631" w:rsidRDefault="0045622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The predictability of maxillary curve of Wilson leveling with the Invisalign appliance</w:t>
            </w:r>
          </w:p>
          <w:p w14:paraId="46566649" w14:textId="77777777" w:rsidR="0045622B" w:rsidRPr="00550631" w:rsidRDefault="0045622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B9ECD31" w14:textId="592CF649" w:rsidR="0045622B" w:rsidRPr="00550631" w:rsidRDefault="0045622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Lim et al. 2023</w:t>
            </w:r>
          </w:p>
        </w:tc>
        <w:tc>
          <w:tcPr>
            <w:tcW w:w="0" w:type="auto"/>
          </w:tcPr>
          <w:p w14:paraId="1632C65E" w14:textId="03E5B391" w:rsidR="0045622B" w:rsidRPr="00550631" w:rsidRDefault="0045622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BB2D07" w:rsidRPr="00550631" w14:paraId="6979E995" w14:textId="77777777">
        <w:tc>
          <w:tcPr>
            <w:tcW w:w="0" w:type="auto"/>
          </w:tcPr>
          <w:p w14:paraId="11BB870F" w14:textId="4163D7FB" w:rsidR="00BB2D07" w:rsidRPr="00550631" w:rsidRDefault="00BB2D07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Maxillary molar distalization with a 2-week clear aligner protocol in patients with Class II malocclusion: A retrospective study</w:t>
            </w:r>
          </w:p>
        </w:tc>
        <w:tc>
          <w:tcPr>
            <w:tcW w:w="0" w:type="auto"/>
          </w:tcPr>
          <w:p w14:paraId="623905B7" w14:textId="2E61886F" w:rsidR="00BB2D07" w:rsidRPr="00550631" w:rsidRDefault="00BB2D07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Li et al. 2023</w:t>
            </w:r>
          </w:p>
        </w:tc>
        <w:tc>
          <w:tcPr>
            <w:tcW w:w="0" w:type="auto"/>
          </w:tcPr>
          <w:p w14:paraId="409D3152" w14:textId="6EBBD267" w:rsidR="00BB2D07" w:rsidRPr="00550631" w:rsidRDefault="00BB2D07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outcomes</w:t>
            </w:r>
          </w:p>
        </w:tc>
      </w:tr>
      <w:tr w:rsidR="006C697C" w:rsidRPr="00550631" w14:paraId="5A437474" w14:textId="77777777">
        <w:tc>
          <w:tcPr>
            <w:tcW w:w="0" w:type="auto"/>
          </w:tcPr>
          <w:p w14:paraId="0502EE52" w14:textId="0ED9CBDB" w:rsidR="006C697C" w:rsidRPr="00550631" w:rsidRDefault="006C697C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How well does Invisalign work? A prospective clinical study evaluating the efficacy of tooth movement with Invisalign</w:t>
            </w:r>
          </w:p>
        </w:tc>
        <w:tc>
          <w:tcPr>
            <w:tcW w:w="0" w:type="auto"/>
          </w:tcPr>
          <w:p w14:paraId="5C7D768F" w14:textId="546E586A" w:rsidR="006C697C" w:rsidRPr="00550631" w:rsidRDefault="006C697C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Kravitz et al. 2009</w:t>
            </w:r>
          </w:p>
        </w:tc>
        <w:tc>
          <w:tcPr>
            <w:tcW w:w="0" w:type="auto"/>
          </w:tcPr>
          <w:p w14:paraId="543A43AF" w14:textId="2842BBC4" w:rsidR="006C697C" w:rsidRPr="00550631" w:rsidRDefault="006C697C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F474F" w:rsidRPr="00550631" w14:paraId="5B9F90AE" w14:textId="77777777">
        <w:tc>
          <w:tcPr>
            <w:tcW w:w="0" w:type="auto"/>
          </w:tcPr>
          <w:p w14:paraId="68D764D9" w14:textId="67DA947F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Analysis of Maxillary First Molar </w:t>
            </w:r>
            <w:proofErr w:type="spell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Derotation</w:t>
            </w:r>
            <w:proofErr w:type="spellEnd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with Invisalign Clear Aligners in Permanent Dentition</w:t>
            </w:r>
          </w:p>
        </w:tc>
        <w:tc>
          <w:tcPr>
            <w:tcW w:w="0" w:type="auto"/>
          </w:tcPr>
          <w:p w14:paraId="2A44C973" w14:textId="477FA7A0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Lione et al. 2022</w:t>
            </w:r>
          </w:p>
        </w:tc>
        <w:tc>
          <w:tcPr>
            <w:tcW w:w="0" w:type="auto"/>
          </w:tcPr>
          <w:p w14:paraId="2BF11AD8" w14:textId="4C6628C3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F474F" w:rsidRPr="00550631" w14:paraId="29B46A26" w14:textId="77777777">
        <w:tc>
          <w:tcPr>
            <w:tcW w:w="0" w:type="auto"/>
          </w:tcPr>
          <w:p w14:paraId="137E569B" w14:textId="682A89C1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Clear aligner treatment in adult patients with class III malocclusion: lower distalization and class III elastics vs class III elastics alone - a RCT</w:t>
            </w:r>
          </w:p>
        </w:tc>
        <w:tc>
          <w:tcPr>
            <w:tcW w:w="0" w:type="auto"/>
          </w:tcPr>
          <w:p w14:paraId="70CD214B" w14:textId="42F3ADF2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Gazzani</w:t>
            </w:r>
            <w:proofErr w:type="spellEnd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et al. 2025</w:t>
            </w:r>
          </w:p>
        </w:tc>
        <w:tc>
          <w:tcPr>
            <w:tcW w:w="0" w:type="auto"/>
          </w:tcPr>
          <w:p w14:paraId="088321CD" w14:textId="583034CB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F474F" w:rsidRPr="00550631" w14:paraId="0CC537FE" w14:textId="77777777">
        <w:tc>
          <w:tcPr>
            <w:tcW w:w="0" w:type="auto"/>
          </w:tcPr>
          <w:p w14:paraId="4F21F564" w14:textId="77777777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Finite Element Simulation of Biomechanical Effects on Periodontal Ligaments During Maxillary Arch Expansion with Thermoformed Aligners</w:t>
            </w:r>
          </w:p>
          <w:p w14:paraId="095901E2" w14:textId="77777777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6A9F8EB" w14:textId="64CFE10E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Rojas et al. 2025</w:t>
            </w:r>
          </w:p>
        </w:tc>
        <w:tc>
          <w:tcPr>
            <w:tcW w:w="0" w:type="auto"/>
          </w:tcPr>
          <w:p w14:paraId="31BF2397" w14:textId="0ADCEB01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F474F" w:rsidRPr="00550631" w14:paraId="50572A03" w14:textId="77777777">
        <w:tc>
          <w:tcPr>
            <w:tcW w:w="0" w:type="auto"/>
          </w:tcPr>
          <w:p w14:paraId="2B42D634" w14:textId="77777777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Management of the anterior open bite using clear aligner therapy and surgery-first: Case example and scoping review of the literature</w:t>
            </w:r>
          </w:p>
          <w:p w14:paraId="0501C07A" w14:textId="77777777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F41BA73" w14:textId="3E206235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Newman et al. 2025</w:t>
            </w:r>
          </w:p>
        </w:tc>
        <w:tc>
          <w:tcPr>
            <w:tcW w:w="0" w:type="auto"/>
          </w:tcPr>
          <w:p w14:paraId="079A951D" w14:textId="7B645282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Scoping review</w:t>
            </w:r>
          </w:p>
        </w:tc>
      </w:tr>
      <w:tr w:rsidR="00EF474F" w:rsidRPr="00550631" w14:paraId="2B5A9C64" w14:textId="77777777">
        <w:tc>
          <w:tcPr>
            <w:tcW w:w="0" w:type="auto"/>
          </w:tcPr>
          <w:p w14:paraId="3AF3A2EF" w14:textId="52BE3B76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Vertical and transverse treatment effects of Invisalign First system compared to Hyrax maxillary expanders with fixed appliances in mixed dentition patients</w:t>
            </w:r>
          </w:p>
        </w:tc>
        <w:tc>
          <w:tcPr>
            <w:tcW w:w="0" w:type="auto"/>
          </w:tcPr>
          <w:p w14:paraId="2FBE8F9B" w14:textId="66FC0FFB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Torbaty</w:t>
            </w:r>
            <w:proofErr w:type="spellEnd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et al. 2024</w:t>
            </w:r>
          </w:p>
        </w:tc>
        <w:tc>
          <w:tcPr>
            <w:tcW w:w="0" w:type="auto"/>
          </w:tcPr>
          <w:p w14:paraId="3C97EC8C" w14:textId="2DC3D449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Patients in </w:t>
            </w:r>
            <w:r w:rsidR="006242A5" w:rsidRPr="00550631">
              <w:rPr>
                <w:rFonts w:ascii="Arial" w:hAnsi="Arial" w:cs="Arial"/>
                <w:sz w:val="20"/>
                <w:szCs w:val="20"/>
                <w:lang w:val="en-US"/>
              </w:rPr>
              <w:t>mixed</w:t>
            </w: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dentition</w:t>
            </w:r>
          </w:p>
        </w:tc>
      </w:tr>
      <w:tr w:rsidR="00EF474F" w:rsidRPr="00550631" w14:paraId="375FB366" w14:textId="77777777">
        <w:tc>
          <w:tcPr>
            <w:tcW w:w="0" w:type="auto"/>
          </w:tcPr>
          <w:p w14:paraId="21B3AF90" w14:textId="77777777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Comparison of the efficiency of initial dental alignment with Invisalign® aligners changed every 7 or 14 days in mature adults: Randomized clinical </w:t>
            </w:r>
            <w:proofErr w:type="gram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trial</w:t>
            </w:r>
            <w:proofErr w:type="gramEnd"/>
          </w:p>
          <w:p w14:paraId="4E2E6086" w14:textId="77777777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439D75C" w14:textId="0562FBE9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Fialho et al. 2024</w:t>
            </w:r>
          </w:p>
        </w:tc>
        <w:tc>
          <w:tcPr>
            <w:tcW w:w="0" w:type="auto"/>
          </w:tcPr>
          <w:p w14:paraId="1A07C6BB" w14:textId="4166CFE5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EF474F" w:rsidRPr="00550631" w14:paraId="6FF0B554" w14:textId="77777777">
        <w:tc>
          <w:tcPr>
            <w:tcW w:w="0" w:type="auto"/>
          </w:tcPr>
          <w:p w14:paraId="20424B27" w14:textId="77777777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Evaluation of the success of predicted dental changes with clear-aligner treatment: A pilot </w:t>
            </w:r>
            <w:proofErr w:type="gram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study</w:t>
            </w:r>
            <w:proofErr w:type="gramEnd"/>
          </w:p>
          <w:p w14:paraId="6D72241F" w14:textId="77777777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EE0B1D2" w14:textId="2A49CB2B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Caldas et al. 2024</w:t>
            </w:r>
          </w:p>
        </w:tc>
        <w:tc>
          <w:tcPr>
            <w:tcW w:w="0" w:type="auto"/>
          </w:tcPr>
          <w:p w14:paraId="1D12A92C" w14:textId="6C040CB5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Pilot study</w:t>
            </w:r>
          </w:p>
        </w:tc>
      </w:tr>
      <w:tr w:rsidR="00EF474F" w:rsidRPr="00550631" w14:paraId="51B1004B" w14:textId="77777777">
        <w:tc>
          <w:tcPr>
            <w:tcW w:w="0" w:type="auto"/>
          </w:tcPr>
          <w:p w14:paraId="72685EA8" w14:textId="77777777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A digitalized analysis of incisal changes among orthodontically treated patients: A retrospective comparative study</w:t>
            </w:r>
          </w:p>
          <w:p w14:paraId="00694823" w14:textId="77777777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2011A7D" w14:textId="29044A3E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Ajwa et al. 2024</w:t>
            </w:r>
          </w:p>
        </w:tc>
        <w:tc>
          <w:tcPr>
            <w:tcW w:w="0" w:type="auto"/>
          </w:tcPr>
          <w:p w14:paraId="5F621AF5" w14:textId="24A10611" w:rsidR="00EF474F" w:rsidRPr="00550631" w:rsidRDefault="00EF474F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1510AB" w:rsidRPr="00550631" w14:paraId="04A0D0E6" w14:textId="77777777">
        <w:tc>
          <w:tcPr>
            <w:tcW w:w="0" w:type="auto"/>
          </w:tcPr>
          <w:p w14:paraId="117CC3B9" w14:textId="77777777" w:rsidR="001510AB" w:rsidRPr="00550631" w:rsidRDefault="001510A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Clear aligner treatment: different perspectives between orthodontists and general dentists</w:t>
            </w:r>
          </w:p>
          <w:p w14:paraId="1E1E0453" w14:textId="77777777" w:rsidR="001510AB" w:rsidRPr="00550631" w:rsidRDefault="001510A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0989529" w14:textId="7A6D5609" w:rsidR="001510AB" w:rsidRPr="00550631" w:rsidRDefault="001510A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D’apuzzo</w:t>
            </w:r>
            <w:proofErr w:type="spellEnd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et al. 2019</w:t>
            </w:r>
          </w:p>
        </w:tc>
        <w:tc>
          <w:tcPr>
            <w:tcW w:w="0" w:type="auto"/>
          </w:tcPr>
          <w:p w14:paraId="789EF16D" w14:textId="0EFC9496" w:rsidR="001510AB" w:rsidRPr="00550631" w:rsidRDefault="001510A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  <w:tr w:rsidR="001510AB" w:rsidRPr="00550631" w14:paraId="2F9FEE7F" w14:textId="77777777" w:rsidTr="004C40F6">
        <w:tc>
          <w:tcPr>
            <w:tcW w:w="0" w:type="auto"/>
            <w:gridSpan w:val="3"/>
          </w:tcPr>
          <w:p w14:paraId="40C062ED" w14:textId="3C7F3A69" w:rsidR="001510AB" w:rsidRPr="00550631" w:rsidRDefault="001510AB" w:rsidP="0055063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Studies excluded after reading full text</w:t>
            </w:r>
          </w:p>
        </w:tc>
      </w:tr>
      <w:tr w:rsidR="001510AB" w:rsidRPr="00550631" w14:paraId="11854925" w14:textId="77777777">
        <w:tc>
          <w:tcPr>
            <w:tcW w:w="0" w:type="auto"/>
          </w:tcPr>
          <w:p w14:paraId="258D5428" w14:textId="48B9584F" w:rsidR="001510AB" w:rsidRPr="00550631" w:rsidRDefault="001510A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The Predictability of Transverse Changes in Patients Treated with Clear Aligners</w:t>
            </w:r>
          </w:p>
        </w:tc>
        <w:tc>
          <w:tcPr>
            <w:tcW w:w="0" w:type="auto"/>
          </w:tcPr>
          <w:p w14:paraId="39E24A17" w14:textId="097DBC2C" w:rsidR="001510AB" w:rsidRPr="00550631" w:rsidRDefault="001510A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D’antò</w:t>
            </w:r>
            <w:proofErr w:type="spellEnd"/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 xml:space="preserve"> et al. 2023</w:t>
            </w:r>
          </w:p>
        </w:tc>
        <w:tc>
          <w:tcPr>
            <w:tcW w:w="0" w:type="auto"/>
          </w:tcPr>
          <w:p w14:paraId="394119BD" w14:textId="5640CCC5" w:rsidR="001510AB" w:rsidRPr="00550631" w:rsidRDefault="006242A5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1510AB" w:rsidRPr="00550631">
              <w:rPr>
                <w:rFonts w:ascii="Arial" w:hAnsi="Arial" w:cs="Arial"/>
                <w:sz w:val="20"/>
                <w:szCs w:val="20"/>
                <w:lang w:val="en-US"/>
              </w:rPr>
              <w:t>ifferent brand of aligners</w:t>
            </w:r>
          </w:p>
        </w:tc>
      </w:tr>
      <w:tr w:rsidR="001510AB" w:rsidRPr="00550631" w14:paraId="73233317" w14:textId="77777777">
        <w:tc>
          <w:tcPr>
            <w:tcW w:w="0" w:type="auto"/>
          </w:tcPr>
          <w:p w14:paraId="562C8D4B" w14:textId="73CCDE18" w:rsidR="001510AB" w:rsidRPr="00550631" w:rsidRDefault="001510A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Evaluation of Maxillary Dentoalveolar Expansion with Clear Aligners: A Retrospective CBCT Study</w:t>
            </w:r>
          </w:p>
        </w:tc>
        <w:tc>
          <w:tcPr>
            <w:tcW w:w="0" w:type="auto"/>
          </w:tcPr>
          <w:p w14:paraId="06355BC7" w14:textId="157123CD" w:rsidR="001510AB" w:rsidRPr="00550631" w:rsidRDefault="001510A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Macrì et al. 2025</w:t>
            </w:r>
          </w:p>
        </w:tc>
        <w:tc>
          <w:tcPr>
            <w:tcW w:w="0" w:type="auto"/>
          </w:tcPr>
          <w:p w14:paraId="480E997D" w14:textId="1E267AD9" w:rsidR="001510AB" w:rsidRPr="00550631" w:rsidRDefault="001510AB" w:rsidP="005506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0631">
              <w:rPr>
                <w:rFonts w:ascii="Arial" w:hAnsi="Arial" w:cs="Arial"/>
                <w:sz w:val="20"/>
                <w:szCs w:val="20"/>
                <w:lang w:val="en-US"/>
              </w:rPr>
              <w:t>Different outcome</w:t>
            </w:r>
          </w:p>
        </w:tc>
      </w:tr>
    </w:tbl>
    <w:p w14:paraId="5227C161" w14:textId="77777777" w:rsidR="00BB485F" w:rsidRPr="00550631" w:rsidRDefault="00BB485F" w:rsidP="00550631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BB485F" w:rsidRPr="005506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5F"/>
    <w:rsid w:val="00130559"/>
    <w:rsid w:val="001510AB"/>
    <w:rsid w:val="001B3BE5"/>
    <w:rsid w:val="00274F04"/>
    <w:rsid w:val="002F562D"/>
    <w:rsid w:val="0031535F"/>
    <w:rsid w:val="00394C4B"/>
    <w:rsid w:val="003B5F3F"/>
    <w:rsid w:val="004035D9"/>
    <w:rsid w:val="0045622B"/>
    <w:rsid w:val="00485C40"/>
    <w:rsid w:val="005317AD"/>
    <w:rsid w:val="00550631"/>
    <w:rsid w:val="005E1544"/>
    <w:rsid w:val="006242A5"/>
    <w:rsid w:val="0062702A"/>
    <w:rsid w:val="00660293"/>
    <w:rsid w:val="00662F71"/>
    <w:rsid w:val="006A0EE0"/>
    <w:rsid w:val="006C697C"/>
    <w:rsid w:val="006E286B"/>
    <w:rsid w:val="006F163F"/>
    <w:rsid w:val="007C7870"/>
    <w:rsid w:val="00853F99"/>
    <w:rsid w:val="0085483B"/>
    <w:rsid w:val="00862AC7"/>
    <w:rsid w:val="00983695"/>
    <w:rsid w:val="00A82440"/>
    <w:rsid w:val="00AE128D"/>
    <w:rsid w:val="00B80D9C"/>
    <w:rsid w:val="00BB2D07"/>
    <w:rsid w:val="00BB485F"/>
    <w:rsid w:val="00BD2A11"/>
    <w:rsid w:val="00C10B36"/>
    <w:rsid w:val="00CB4635"/>
    <w:rsid w:val="00CF55E9"/>
    <w:rsid w:val="00D0304B"/>
    <w:rsid w:val="00D4793D"/>
    <w:rsid w:val="00D8058D"/>
    <w:rsid w:val="00D84836"/>
    <w:rsid w:val="00DE6082"/>
    <w:rsid w:val="00E106C7"/>
    <w:rsid w:val="00E22732"/>
    <w:rsid w:val="00E33510"/>
    <w:rsid w:val="00E9619C"/>
    <w:rsid w:val="00EF474F"/>
    <w:rsid w:val="00EF6B66"/>
    <w:rsid w:val="00F011EF"/>
    <w:rsid w:val="00F202A4"/>
    <w:rsid w:val="00F9414B"/>
    <w:rsid w:val="00F9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EA28"/>
  <w15:chartTrackingRefBased/>
  <w15:docId w15:val="{4AC23DC8-68F7-4E72-B1FB-B694A1D9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4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4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4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4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4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4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4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4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4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4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48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48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48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48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48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48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4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4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4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4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4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48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48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48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4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48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485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B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DE60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608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60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boccalari</dc:creator>
  <cp:keywords/>
  <dc:description/>
  <cp:lastModifiedBy>Marco Serafin</cp:lastModifiedBy>
  <cp:revision>44</cp:revision>
  <dcterms:created xsi:type="dcterms:W3CDTF">2025-11-24T11:49:00Z</dcterms:created>
  <dcterms:modified xsi:type="dcterms:W3CDTF">2025-12-08T21:45:00Z</dcterms:modified>
</cp:coreProperties>
</file>