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C0F06" w14:textId="0B44BFF3" w:rsidR="00246712" w:rsidRPr="000B22C8" w:rsidRDefault="00246712" w:rsidP="005304A6">
      <w:pPr>
        <w:ind w:left="-13230"/>
        <w:rPr>
          <w:rFonts w:asciiTheme="minorBidi" w:hAnsiTheme="minorBidi"/>
          <w:sz w:val="18"/>
          <w:szCs w:val="18"/>
        </w:rPr>
      </w:pPr>
      <w:r w:rsidRPr="000B22C8">
        <w:rPr>
          <w:rFonts w:asciiTheme="minorBidi" w:hAnsiTheme="minorBidi"/>
          <w:b/>
          <w:bCs/>
          <w:sz w:val="18"/>
          <w:szCs w:val="18"/>
        </w:rPr>
        <w:t>Table S1.</w:t>
      </w:r>
      <w:r w:rsidRPr="000B22C8">
        <w:rPr>
          <w:rFonts w:asciiTheme="minorBidi" w:hAnsiTheme="minorBidi"/>
          <w:sz w:val="18"/>
          <w:szCs w:val="18"/>
        </w:rPr>
        <w:t xml:space="preserve"> </w:t>
      </w:r>
      <w:proofErr w:type="spellStart"/>
      <w:r>
        <w:rPr>
          <w:rFonts w:asciiTheme="minorBidi" w:hAnsiTheme="minorBidi"/>
          <w:sz w:val="18"/>
          <w:szCs w:val="18"/>
        </w:rPr>
        <w:t>RoB</w:t>
      </w:r>
      <w:proofErr w:type="spellEnd"/>
      <w:r w:rsidRPr="000B22C8">
        <w:rPr>
          <w:rFonts w:asciiTheme="minorBidi" w:hAnsiTheme="minorBidi"/>
          <w:sz w:val="18"/>
          <w:szCs w:val="18"/>
        </w:rPr>
        <w:t xml:space="preserve"> assessment of purely in vitro studies using the QUIN tool</w:t>
      </w:r>
      <w:r w:rsidR="00506899">
        <w:rPr>
          <w:rFonts w:asciiTheme="minorBidi" w:hAnsiTheme="minorBidi"/>
          <w:sz w:val="18"/>
          <w:szCs w:val="18"/>
        </w:rPr>
        <w:t xml:space="preserve"> (72 studies)</w:t>
      </w:r>
      <w:r w:rsidRPr="000B22C8">
        <w:rPr>
          <w:rFonts w:asciiTheme="minorBidi" w:hAnsiTheme="minorBidi"/>
          <w:sz w:val="18"/>
          <w:szCs w:val="18"/>
        </w:rPr>
        <w:t>.</w:t>
      </w:r>
    </w:p>
    <w:tbl>
      <w:tblPr>
        <w:tblW w:w="28862" w:type="dxa"/>
        <w:tblInd w:w="-13122" w:type="dxa"/>
        <w:tblLook w:val="04A0" w:firstRow="1" w:lastRow="0" w:firstColumn="1" w:lastColumn="0" w:noHBand="0" w:noVBand="1"/>
      </w:tblPr>
      <w:tblGrid>
        <w:gridCol w:w="3080"/>
        <w:gridCol w:w="2507"/>
        <w:gridCol w:w="1969"/>
        <w:gridCol w:w="1969"/>
        <w:gridCol w:w="2000"/>
        <w:gridCol w:w="2174"/>
        <w:gridCol w:w="1588"/>
        <w:gridCol w:w="2427"/>
        <w:gridCol w:w="2238"/>
        <w:gridCol w:w="1621"/>
        <w:gridCol w:w="1525"/>
        <w:gridCol w:w="1731"/>
        <w:gridCol w:w="2112"/>
        <w:gridCol w:w="1921"/>
      </w:tblGrid>
      <w:tr w:rsidR="005304A6" w:rsidRPr="000B22C8" w14:paraId="6B587E59" w14:textId="77777777" w:rsidTr="005304A6">
        <w:trPr>
          <w:trHeight w:val="321"/>
        </w:trPr>
        <w:tc>
          <w:tcPr>
            <w:tcW w:w="3080" w:type="dxa"/>
            <w:tcBorders>
              <w:top w:val="single" w:sz="4" w:space="0" w:color="auto"/>
              <w:left w:val="nil"/>
              <w:bottom w:val="single" w:sz="4" w:space="0" w:color="auto"/>
              <w:right w:val="nil"/>
            </w:tcBorders>
            <w:shd w:val="clear" w:color="auto" w:fill="auto"/>
            <w:noWrap/>
            <w:hideMark/>
          </w:tcPr>
          <w:p w14:paraId="3F892263"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Citation</w:t>
            </w:r>
          </w:p>
        </w:tc>
        <w:tc>
          <w:tcPr>
            <w:tcW w:w="2507" w:type="dxa"/>
            <w:tcBorders>
              <w:top w:val="single" w:sz="4" w:space="0" w:color="auto"/>
              <w:left w:val="nil"/>
              <w:bottom w:val="single" w:sz="4" w:space="0" w:color="auto"/>
              <w:right w:val="nil"/>
            </w:tcBorders>
            <w:shd w:val="clear" w:color="auto" w:fill="auto"/>
            <w:noWrap/>
            <w:hideMark/>
          </w:tcPr>
          <w:p w14:paraId="0AF8F534"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Clearly stated aims/objectives</w:t>
            </w:r>
          </w:p>
        </w:tc>
        <w:tc>
          <w:tcPr>
            <w:tcW w:w="1969" w:type="dxa"/>
            <w:tcBorders>
              <w:top w:val="single" w:sz="4" w:space="0" w:color="auto"/>
              <w:left w:val="nil"/>
              <w:bottom w:val="single" w:sz="4" w:space="0" w:color="auto"/>
              <w:right w:val="nil"/>
            </w:tcBorders>
            <w:shd w:val="clear" w:color="auto" w:fill="auto"/>
            <w:noWrap/>
            <w:hideMark/>
          </w:tcPr>
          <w:p w14:paraId="0BE37913"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Detailed explanation of sample size calculation</w:t>
            </w:r>
          </w:p>
        </w:tc>
        <w:tc>
          <w:tcPr>
            <w:tcW w:w="1969" w:type="dxa"/>
            <w:tcBorders>
              <w:top w:val="single" w:sz="4" w:space="0" w:color="auto"/>
              <w:left w:val="nil"/>
              <w:bottom w:val="single" w:sz="4" w:space="0" w:color="auto"/>
              <w:right w:val="nil"/>
            </w:tcBorders>
            <w:shd w:val="clear" w:color="auto" w:fill="auto"/>
            <w:noWrap/>
            <w:hideMark/>
          </w:tcPr>
          <w:p w14:paraId="30A895AF"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Detailed explanation of sampling technique</w:t>
            </w:r>
          </w:p>
        </w:tc>
        <w:tc>
          <w:tcPr>
            <w:tcW w:w="2000" w:type="dxa"/>
            <w:tcBorders>
              <w:top w:val="single" w:sz="4" w:space="0" w:color="auto"/>
              <w:left w:val="nil"/>
              <w:bottom w:val="single" w:sz="4" w:space="0" w:color="auto"/>
              <w:right w:val="nil"/>
            </w:tcBorders>
            <w:shd w:val="clear" w:color="auto" w:fill="auto"/>
            <w:noWrap/>
            <w:hideMark/>
          </w:tcPr>
          <w:p w14:paraId="4E8334DD"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Details of comparison group</w:t>
            </w:r>
          </w:p>
        </w:tc>
        <w:tc>
          <w:tcPr>
            <w:tcW w:w="2174" w:type="dxa"/>
            <w:tcBorders>
              <w:top w:val="single" w:sz="4" w:space="0" w:color="auto"/>
              <w:left w:val="nil"/>
              <w:bottom w:val="single" w:sz="4" w:space="0" w:color="auto"/>
              <w:right w:val="nil"/>
            </w:tcBorders>
            <w:shd w:val="clear" w:color="auto" w:fill="auto"/>
            <w:noWrap/>
            <w:hideMark/>
          </w:tcPr>
          <w:p w14:paraId="1A8FD768"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Detailed explanation of methodology</w:t>
            </w:r>
          </w:p>
        </w:tc>
        <w:tc>
          <w:tcPr>
            <w:tcW w:w="1588" w:type="dxa"/>
            <w:tcBorders>
              <w:top w:val="single" w:sz="4" w:space="0" w:color="auto"/>
              <w:left w:val="nil"/>
              <w:bottom w:val="single" w:sz="4" w:space="0" w:color="auto"/>
              <w:right w:val="nil"/>
            </w:tcBorders>
            <w:shd w:val="clear" w:color="auto" w:fill="auto"/>
            <w:noWrap/>
            <w:hideMark/>
          </w:tcPr>
          <w:p w14:paraId="1B477172"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 xml:space="preserve">Operator details </w:t>
            </w:r>
          </w:p>
        </w:tc>
        <w:tc>
          <w:tcPr>
            <w:tcW w:w="2427" w:type="dxa"/>
            <w:tcBorders>
              <w:top w:val="single" w:sz="4" w:space="0" w:color="auto"/>
              <w:left w:val="nil"/>
              <w:bottom w:val="single" w:sz="4" w:space="0" w:color="auto"/>
              <w:right w:val="nil"/>
            </w:tcBorders>
            <w:shd w:val="clear" w:color="auto" w:fill="auto"/>
            <w:noWrap/>
            <w:hideMark/>
          </w:tcPr>
          <w:p w14:paraId="1ED7F2E4"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Randomization</w:t>
            </w:r>
          </w:p>
        </w:tc>
        <w:tc>
          <w:tcPr>
            <w:tcW w:w="2238" w:type="dxa"/>
            <w:tcBorders>
              <w:top w:val="single" w:sz="4" w:space="0" w:color="auto"/>
              <w:left w:val="nil"/>
              <w:bottom w:val="single" w:sz="4" w:space="0" w:color="auto"/>
              <w:right w:val="nil"/>
            </w:tcBorders>
            <w:shd w:val="clear" w:color="auto" w:fill="auto"/>
            <w:noWrap/>
            <w:hideMark/>
          </w:tcPr>
          <w:p w14:paraId="5D8DCB73"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Method of measurement of outcome</w:t>
            </w:r>
          </w:p>
        </w:tc>
        <w:tc>
          <w:tcPr>
            <w:tcW w:w="1621" w:type="dxa"/>
            <w:tcBorders>
              <w:top w:val="single" w:sz="4" w:space="0" w:color="auto"/>
              <w:left w:val="nil"/>
              <w:bottom w:val="single" w:sz="4" w:space="0" w:color="auto"/>
              <w:right w:val="nil"/>
            </w:tcBorders>
            <w:shd w:val="clear" w:color="auto" w:fill="auto"/>
            <w:noWrap/>
            <w:hideMark/>
          </w:tcPr>
          <w:p w14:paraId="23C2E494"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Outcome assessor details</w:t>
            </w:r>
          </w:p>
        </w:tc>
        <w:tc>
          <w:tcPr>
            <w:tcW w:w="1525" w:type="dxa"/>
            <w:tcBorders>
              <w:top w:val="single" w:sz="4" w:space="0" w:color="auto"/>
              <w:left w:val="nil"/>
              <w:bottom w:val="single" w:sz="4" w:space="0" w:color="auto"/>
              <w:right w:val="nil"/>
            </w:tcBorders>
            <w:shd w:val="clear" w:color="auto" w:fill="auto"/>
            <w:noWrap/>
            <w:hideMark/>
          </w:tcPr>
          <w:p w14:paraId="06C7C787"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Blinding</w:t>
            </w:r>
          </w:p>
        </w:tc>
        <w:tc>
          <w:tcPr>
            <w:tcW w:w="1731" w:type="dxa"/>
            <w:tcBorders>
              <w:top w:val="single" w:sz="4" w:space="0" w:color="auto"/>
              <w:left w:val="nil"/>
              <w:bottom w:val="single" w:sz="4" w:space="0" w:color="auto"/>
              <w:right w:val="nil"/>
            </w:tcBorders>
            <w:shd w:val="clear" w:color="auto" w:fill="auto"/>
            <w:noWrap/>
            <w:hideMark/>
          </w:tcPr>
          <w:p w14:paraId="393E3DA4"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Statistical analysis</w:t>
            </w:r>
          </w:p>
        </w:tc>
        <w:tc>
          <w:tcPr>
            <w:tcW w:w="2112" w:type="dxa"/>
            <w:tcBorders>
              <w:top w:val="single" w:sz="4" w:space="0" w:color="auto"/>
              <w:left w:val="nil"/>
              <w:bottom w:val="single" w:sz="4" w:space="0" w:color="auto"/>
              <w:right w:val="nil"/>
            </w:tcBorders>
            <w:shd w:val="clear" w:color="auto" w:fill="auto"/>
            <w:noWrap/>
            <w:hideMark/>
          </w:tcPr>
          <w:p w14:paraId="23CF8DE1"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Presentation of results</w:t>
            </w:r>
          </w:p>
        </w:tc>
        <w:tc>
          <w:tcPr>
            <w:tcW w:w="1921" w:type="dxa"/>
            <w:tcBorders>
              <w:top w:val="single" w:sz="4" w:space="0" w:color="auto"/>
              <w:left w:val="nil"/>
              <w:bottom w:val="single" w:sz="4" w:space="0" w:color="auto"/>
              <w:right w:val="nil"/>
            </w:tcBorders>
            <w:shd w:val="clear" w:color="auto" w:fill="auto"/>
            <w:noWrap/>
            <w:hideMark/>
          </w:tcPr>
          <w:p w14:paraId="6C82A749"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Cumulative score (%)</w:t>
            </w:r>
          </w:p>
        </w:tc>
      </w:tr>
      <w:tr w:rsidR="007D5124" w:rsidRPr="000B22C8" w14:paraId="1569E626" w14:textId="77777777" w:rsidTr="005304A6">
        <w:trPr>
          <w:trHeight w:val="321"/>
        </w:trPr>
        <w:tc>
          <w:tcPr>
            <w:tcW w:w="3080" w:type="dxa"/>
            <w:tcBorders>
              <w:top w:val="single" w:sz="4" w:space="0" w:color="auto"/>
              <w:left w:val="nil"/>
              <w:bottom w:val="nil"/>
              <w:right w:val="nil"/>
            </w:tcBorders>
            <w:shd w:val="clear" w:color="auto" w:fill="auto"/>
            <w:noWrap/>
            <w:hideMark/>
          </w:tcPr>
          <w:p w14:paraId="3CF40CA6" w14:textId="7E14A670"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Ahmed &amp; Ismail,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{"citationItems":[{"id":"ITEM-1","itemData":{"DOI":"10.1155/adv/6251993","author":[{"dropping-particle":"","family":"Yar Ahmed","given":"G","non-dropping-particle":"","parse-names":false,"suffix":""},{"dropping-particle":"","family":"Ismail","given":"H","non-dropping-particle":"","parse-names":false,"suffix":""}],"container-title":"Advances in Polymer Technology","id":"ITEM-1","issue":"1","issued":{"date-parts":[["2025"]]},"note":"Export Date: 18 March 2026","title":"Dimensional Stability and Weight Change of Orthodontic Clear Aligners Exposed to Hot and Cold Beverages: An In Vitro Study","type":"article-journal","volume":"2025"},"uris":["http://www.mendeley.com/documents/?uuid=3caffc9b-0b10-485c-b6c5-402da09d19e1"]}],"mendeley":{"formattedCitation":"[65]","plainTextFormattedCitation":"[65]","previouslyFormattedCitation":"[65]"},"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[65]</w:t>
            </w:r>
            <w:r w:rsidRPr="000B22C8">
              <w:rPr>
                <w:rFonts w:asciiTheme="minorBidi" w:hAnsiTheme="minorBidi"/>
                <w:color w:val="000000"/>
                <w:sz w:val="16"/>
                <w:szCs w:val="16"/>
              </w:rPr>
              <w:fldChar w:fldCharType="end"/>
            </w:r>
          </w:p>
        </w:tc>
        <w:tc>
          <w:tcPr>
            <w:tcW w:w="2507" w:type="dxa"/>
            <w:tcBorders>
              <w:top w:val="single" w:sz="4" w:space="0" w:color="auto"/>
              <w:left w:val="nil"/>
              <w:bottom w:val="nil"/>
              <w:right w:val="nil"/>
            </w:tcBorders>
            <w:shd w:val="clear" w:color="auto" w:fill="auto"/>
            <w:noWrap/>
            <w:hideMark/>
          </w:tcPr>
          <w:p w14:paraId="799620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single" w:sz="4" w:space="0" w:color="auto"/>
              <w:left w:val="nil"/>
              <w:bottom w:val="nil"/>
              <w:right w:val="nil"/>
            </w:tcBorders>
            <w:shd w:val="clear" w:color="auto" w:fill="auto"/>
            <w:noWrap/>
            <w:hideMark/>
          </w:tcPr>
          <w:p w14:paraId="0F7A487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single" w:sz="4" w:space="0" w:color="auto"/>
              <w:left w:val="nil"/>
              <w:bottom w:val="nil"/>
              <w:right w:val="nil"/>
            </w:tcBorders>
            <w:shd w:val="clear" w:color="auto" w:fill="auto"/>
            <w:noWrap/>
            <w:hideMark/>
          </w:tcPr>
          <w:p w14:paraId="613BD1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single" w:sz="4" w:space="0" w:color="auto"/>
              <w:left w:val="nil"/>
              <w:bottom w:val="nil"/>
              <w:right w:val="nil"/>
            </w:tcBorders>
            <w:shd w:val="clear" w:color="auto" w:fill="auto"/>
            <w:noWrap/>
            <w:hideMark/>
          </w:tcPr>
          <w:p w14:paraId="4EDA6F4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single" w:sz="4" w:space="0" w:color="auto"/>
              <w:left w:val="nil"/>
              <w:bottom w:val="nil"/>
              <w:right w:val="nil"/>
            </w:tcBorders>
            <w:shd w:val="clear" w:color="auto" w:fill="auto"/>
            <w:noWrap/>
            <w:hideMark/>
          </w:tcPr>
          <w:p w14:paraId="2CEB3E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single" w:sz="4" w:space="0" w:color="auto"/>
              <w:left w:val="nil"/>
              <w:bottom w:val="nil"/>
              <w:right w:val="nil"/>
            </w:tcBorders>
            <w:shd w:val="clear" w:color="auto" w:fill="auto"/>
            <w:noWrap/>
            <w:hideMark/>
          </w:tcPr>
          <w:p w14:paraId="57D5E43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single" w:sz="4" w:space="0" w:color="auto"/>
              <w:left w:val="nil"/>
              <w:bottom w:val="nil"/>
              <w:right w:val="nil"/>
            </w:tcBorders>
            <w:shd w:val="clear" w:color="auto" w:fill="auto"/>
            <w:noWrap/>
            <w:hideMark/>
          </w:tcPr>
          <w:p w14:paraId="43A006D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single" w:sz="4" w:space="0" w:color="auto"/>
              <w:left w:val="nil"/>
              <w:bottom w:val="nil"/>
              <w:right w:val="nil"/>
            </w:tcBorders>
            <w:shd w:val="clear" w:color="auto" w:fill="auto"/>
            <w:noWrap/>
            <w:hideMark/>
          </w:tcPr>
          <w:p w14:paraId="6D3334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single" w:sz="4" w:space="0" w:color="auto"/>
              <w:left w:val="nil"/>
              <w:bottom w:val="nil"/>
              <w:right w:val="nil"/>
            </w:tcBorders>
            <w:shd w:val="clear" w:color="auto" w:fill="auto"/>
            <w:noWrap/>
            <w:hideMark/>
          </w:tcPr>
          <w:p w14:paraId="6065ACE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single" w:sz="4" w:space="0" w:color="auto"/>
              <w:left w:val="nil"/>
              <w:bottom w:val="nil"/>
              <w:right w:val="nil"/>
            </w:tcBorders>
            <w:shd w:val="clear" w:color="auto" w:fill="auto"/>
            <w:noWrap/>
            <w:hideMark/>
          </w:tcPr>
          <w:p w14:paraId="37A67B2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single" w:sz="4" w:space="0" w:color="auto"/>
              <w:left w:val="nil"/>
              <w:bottom w:val="nil"/>
              <w:right w:val="nil"/>
            </w:tcBorders>
            <w:shd w:val="clear" w:color="auto" w:fill="auto"/>
            <w:noWrap/>
            <w:hideMark/>
          </w:tcPr>
          <w:p w14:paraId="08CE3B5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single" w:sz="4" w:space="0" w:color="auto"/>
              <w:left w:val="nil"/>
              <w:bottom w:val="nil"/>
              <w:right w:val="nil"/>
            </w:tcBorders>
            <w:shd w:val="clear" w:color="auto" w:fill="auto"/>
            <w:noWrap/>
            <w:hideMark/>
          </w:tcPr>
          <w:p w14:paraId="6AC8363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single" w:sz="4" w:space="0" w:color="auto"/>
              <w:left w:val="nil"/>
              <w:bottom w:val="nil"/>
              <w:right w:val="nil"/>
            </w:tcBorders>
            <w:shd w:val="clear" w:color="auto" w:fill="auto"/>
            <w:noWrap/>
            <w:hideMark/>
          </w:tcPr>
          <w:p w14:paraId="1DD527F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356D78CA" w14:textId="77777777" w:rsidTr="005304A6">
        <w:trPr>
          <w:trHeight w:val="321"/>
        </w:trPr>
        <w:tc>
          <w:tcPr>
            <w:tcW w:w="3080" w:type="dxa"/>
            <w:tcBorders>
              <w:top w:val="nil"/>
              <w:left w:val="nil"/>
              <w:bottom w:val="nil"/>
              <w:right w:val="nil"/>
            </w:tcBorders>
            <w:shd w:val="clear" w:color="auto" w:fill="auto"/>
            <w:noWrap/>
            <w:hideMark/>
          </w:tcPr>
          <w:p w14:paraId="1AAF0FFB" w14:textId="7749DC70"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Ajwa et al., 2025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{"citationItems":[{"id":"ITEM-1","itemData":{"DOI":"10.1038/s41598-025-85293-8","ISSN":"2045-2322","abstract":"Objective To evaluate the stain resistance and color stability of four Clear aligners (CA) brands against various beverages at different intervals, along with assessing the elaboration of cleaning agents. Methods In a strictly controlled lab environment, 48 CAs from four different companies (Invisalign, EON, Clear Cap, and K clear) were immersed for seven days in six different beverages based on their pH (Pepsi, orange juice, milk, coffee, and black tea), as well as a control solution (distilled water). The VITA Easy-Shade compact colorimeter used the Commission International lightening L*a*b* color scheme to evaluate the color change of the aligners at four intervals. T0: before immersing in the solution; T1: twelve hours after immersion; T2: seven days after immersion; and T3/T4: fifteen minutes after exposure to two cleaning agents. The color values were then converted into National Bureau of Standards System (NBS) units. The statistical analysis was carried out using SPSS. A one-way ANOVA test was used to compare the mean color change values of all aligners and staining agents. Results A significant color change in aligners was observed after immersion in the stated solutions (p = 0.01). Additionally, there is a difference when washing with Invisalign foam and M3 cleaners (p &lt; 0.001). Similarly, there were significant color variations between twelve hours and seven days after soaking (p = 0.01). Nonetheless, there were no significant differences in discoloration among the CAs' manufacturing materials. Conclusions CAs' staining ability at different time intervals after immersion in various solutions was clearly visible. Aligner cleanser use has a substantial influence on reducing acquired pigmentation. However, there were minimal differences in discoloration across CA brands.","author":[{"dropping-particle":"","family":"Ajwa","given":"Nancy","non-dropping-particle":"","parse-names":false,"suffix":""},{"dropping-particle":"","family":"Radhi","given":"Fatimah","non-dropping-particle":"","parse-names":false,"suffix":""},{"dropping-particle":"","family":"Aloraini","given":"Rana","non-dropping-particle":"","parse-names":false,"suffix":""},{"dropping-particle":"","family":"AlSaydalani","given":"Ghadi","non-dropping-particle":"","parse-names":false,"suffix":""}],"container-title":"Scientific Reports","id":"ITEM-1","issue":"1","issued":{"date-parts":[["2025","1","15"]]},"language":"English","note":"From Duplicate 2 (Comparative color stability assessment of orthodontic clear aligners: an in vitro study - Ajwa, Nancy; Radhi, Fatimah; Aloraini, Rana; AlSaydalani, Ghadi)\n\nFrom Duplicate 2 (Comparative color stability assessment of orthodontic clear aligners: an in vitro study - Ajwa, N; Radhi, F; Aloraini, R; Alsaydalani, G)\n\nTimes Cited in Web of Science Core Collection: 3\nTotal Times Cited: 3\nCited Reference Count: 17","page":"2041","publisher-place":"Riyadh Elm Univ, Coll Med &amp; Dent, Prevent Dent Dept, Riyadh, Saudi Arabia","title":"Comparative color stability assessment of orthodontic clear aligners: an in vitro study","type":"article-journal","volume":"15"},"uris":["http://www.mendeley.com/documents/?uuid=1553fb1d-3915-4c06-be5f-386e34438cca"]}],"mendeley":{"formattedCitation":"[55]","plainTextFormattedCitation":"[55]","previouslyFormattedCitation":"[55]"},"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[55]</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4904D14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8DE248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D2C39A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04AD1AC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7FEA27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5506C56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7FD10FD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25A514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2DECC91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6FEA547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731" w:type="dxa"/>
            <w:tcBorders>
              <w:top w:val="nil"/>
              <w:left w:val="nil"/>
              <w:bottom w:val="nil"/>
              <w:right w:val="nil"/>
            </w:tcBorders>
            <w:shd w:val="clear" w:color="auto" w:fill="auto"/>
            <w:noWrap/>
            <w:hideMark/>
          </w:tcPr>
          <w:p w14:paraId="0BB7110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0916060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21" w:type="dxa"/>
            <w:tcBorders>
              <w:top w:val="nil"/>
              <w:left w:val="nil"/>
              <w:bottom w:val="nil"/>
              <w:right w:val="nil"/>
            </w:tcBorders>
            <w:shd w:val="clear" w:color="auto" w:fill="auto"/>
            <w:noWrap/>
            <w:hideMark/>
          </w:tcPr>
          <w:p w14:paraId="2CF1058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79.2</w:t>
            </w:r>
          </w:p>
        </w:tc>
      </w:tr>
      <w:tr w:rsidR="007D5124" w:rsidRPr="000B22C8" w14:paraId="268178EB" w14:textId="77777777" w:rsidTr="005304A6">
        <w:trPr>
          <w:trHeight w:val="321"/>
        </w:trPr>
        <w:tc>
          <w:tcPr>
            <w:tcW w:w="3080" w:type="dxa"/>
            <w:tcBorders>
              <w:top w:val="nil"/>
              <w:left w:val="nil"/>
              <w:bottom w:val="nil"/>
              <w:right w:val="nil"/>
            </w:tcBorders>
            <w:shd w:val="clear" w:color="auto" w:fill="auto"/>
            <w:noWrap/>
            <w:hideMark/>
          </w:tcPr>
          <w:p w14:paraId="43BF9D12" w14:textId="32CFFAF5"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Albertini et al., 2022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{"citationItems":[{"id":"ITEM-1","itemData":{"DOI":"10.3390/bioengineering9080349","ISSN":"2306-5354","abstract":"We aimed to investigate the stress relaxation properties of five different thermoplastic aligner materials subjected to 14 days of constant deflection. Five different thermoplastic aligner materials were selected, whose elastic properties varied: F22 Evoflex, F22 Aligner, Durasoft, Erkoloc-Pro and Duran. The static properties of these materials—in particular, stiffness, stress–strain curve and yield stress—were measured with a three-point bending test. For all the tests that were performed, a minimum of three samples per material were tested. The yield load, yield strength, deformation and particularly the stiffness of each material were found to be similar in the single-layer samples, while the double-layer samples showed far lower stiffness values and were similar one to another. F22 Evoflex and Erkoloc-Pro maintained the highest percentages of stress, 39.2% and 36.9%, respectively, during the 15-day period. Duran and Durasoft obtained the lowest final stress values, 0.5 MPa and 0.4 MPa, respectively, and the lowest percentage of normalized stress, 4.6% and 3.9%, respectively, during the 15-day period. All the materials that we tested showed a rapidity of stress decay during the first few hours of application, before reaching a plateau phase. The F22 Evoflex material showed the greatest level of final stress, with relatively constant stress release during the entire 15-day period. Further research after in vivo aging is necessary in order to study the real aligners’ behavior during orthodontic treatment.","author":[{"dropping-particle":"","family":"Albertini","given":"Paolo","non-dropping-particle":"","parse-names":false,"suffix":""},{"dropping-particle":"","family":"Mazzanti","given":"Valentina","non-dropping-particle":"","parse-names":false,"suffix":""},{"dropping-particle":"","family":"Mollica","given":"Francesco","non-dropping-particle":"","parse-names":false,"suffix":""},{"dropping-particle":"","family":"Pellitteri","given":"Federica","non-dropping-particle":"","parse-names":false,"suffix":""},{"dropping-particle":"","family":"Palone","given":"Mario","non-dropping-particle":"","parse-names":false,"suffix":""},{"dropping-particle":"","family":"Lombardo","given":"Luca","non-dropping-particle":"","parse-names":false,"suffix":""}],"container-title":"Bioengineering","id":"ITEM-1","issue":"8","issued":{"date-parts":[["2022","7","28"]]},"page":"349","title":"Stress Relaxation Properties of Five Orthodontic Aligner Materials: A 14-Day In-Vitro Study","type":"article-journal","volume":"9"},"uris":["http://www.mendeley.com/documents/?uuid=21159afd-f7a4-44df-a50d-336c5d964fb3"]}],"mendeley":{"formattedCitation":"[84]","plainTextFormattedCitation":"[84]","previouslyFormattedCitation":"[87]"},"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[84]</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8F9A48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0C2921C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210200F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64EB377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hideMark/>
          </w:tcPr>
          <w:p w14:paraId="2EBB3A6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5FBD46E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B560DE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2F60CFD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3011E1B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390DF4D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775B1A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292CD7D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21" w:type="dxa"/>
            <w:tcBorders>
              <w:top w:val="nil"/>
              <w:left w:val="nil"/>
              <w:bottom w:val="nil"/>
              <w:right w:val="nil"/>
            </w:tcBorders>
            <w:shd w:val="clear" w:color="auto" w:fill="auto"/>
            <w:noWrap/>
            <w:hideMark/>
          </w:tcPr>
          <w:p w14:paraId="386219B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41.7</w:t>
            </w:r>
          </w:p>
        </w:tc>
      </w:tr>
      <w:tr w:rsidR="007D5124" w:rsidRPr="000B22C8" w14:paraId="2E0AFC73" w14:textId="77777777" w:rsidTr="005304A6">
        <w:trPr>
          <w:trHeight w:val="321"/>
        </w:trPr>
        <w:tc>
          <w:tcPr>
            <w:tcW w:w="3080" w:type="dxa"/>
            <w:tcBorders>
              <w:top w:val="nil"/>
              <w:left w:val="nil"/>
              <w:bottom w:val="nil"/>
              <w:right w:val="nil"/>
            </w:tcBorders>
            <w:shd w:val="clear" w:color="auto" w:fill="auto"/>
            <w:noWrap/>
            <w:hideMark/>
          </w:tcPr>
          <w:p w14:paraId="50089760" w14:textId="4EE76494"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Alhendi</w:t>
            </w:r>
            <w:proofErr w:type="spellEnd"/>
            <w:r w:rsidRPr="000B22C8">
              <w:rPr>
                <w:rFonts w:asciiTheme="minorBidi" w:eastAsia="Times New Roman" w:hAnsiTheme="minorBidi"/>
                <w:color w:val="000000"/>
                <w:kern w:val="0"/>
                <w:sz w:val="16"/>
                <w:szCs w:val="16"/>
                <w14:ligatures w14:val="none"/>
              </w:rPr>
              <w:t xml:space="preserve"> et al., 2022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{"citationItems":[{"id":"ITEM-1","itemData":{"DOI":"10.3390/dj10050073","ISSN":"2304-6767","abstract":"The aim of this study was to evaluate the structural conformations of three clear aligner systems, Eon®, SureSmile®, and Clarity®, and compare them with the most commonly used system, Invisalign®. Clear aligner samples from Invisalign®, Eon®, SureSmile®, and Clarity® were cut into 5 × 5 mm squares and exposed to artificial saliva for 2 weeks. The specimens were then subjected to a Vickers hardness test by applying three separate indentations with a 25 gf load for 15 s. Hardness was calculated using the following formula: Vickers hardness number = 1.854 (F/D2). Fourier transform infrared spectroscopy (FTIR) analysis was performed, with a diamond hemisphere and infrared beam being allowed to pass through each specimen. A mid-infrared range from 4000 to 375 cm−1 was recorded. The samples were also evaluated using scanning electron microscopy (SEM) combined with energy-dispersive X-ray microanalysis spectroscopy at different magnifications. No statistically significant differences were observed between the included systems with regard to hardness. All systems showed a polyurethane-based material, as illustrated by the FTIR analysis. Some structural variations were noted in the Invisalign® system, which had a more homogeneous architecture. Statistically significant differences in the carbon weights were found among the systems. The four systems presented comparable hardness levels. Mild molecular composition differences were found, but all systems had the similarity of being composed of a polyurethane-based material. Carbon and oxygen were the main elements, as they were located in all studied clear aligners. The SEM analysis revealed that Invisalign® had a smoother surface than the other three systems. All included clear aligners had similar characteristics with minimal differences, providing a wide variety of options for clinical orthodontic treatment according to patients’ demands.","author":[{"dropping-particle":"","family":"Alhendi","given":"Aseel","non-dropping-particle":"","parse-names":false,"suffix":""},{"dropping-particle":"","family":"Khounganian","given":"Rita","non-dropping-particle":"","parse-names":false,"suffix":""},{"dropping-particle":"","family":"Ali","given":"Raisuddin","non-dropping-particle":"","parse-names":false,"suffix":""},{"dropping-particle":"","family":"Syed","given":"Saeed Ali","non-dropping-particle":"","parse-names":false,"suffix":""},{"dropping-particle":"","family":"Almudhi","given":"Abdullazez","non-dropping-particle":"","parse-names":false,"suffix":""}],"container-title":"Dentistry Journal","id":"ITEM-1","issue":"5","issued":{"date-parts":[["2022","4","30"]]},"page":"73","title":"Structural Conformation Comparison of Different Clear Aligner Systems: An In Vitro Study","type":"article-journal","volume":"10"},"uris":["http://www.mendeley.com/documents/?uuid=a70d6a82-967d-4cc4-949e-59c3c54df201"]}],"mendeley":{"formattedCitation":"[40]","plainTextFormattedCitation":"[40]","previouslyFormattedCitation":"[40]"},"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[40]</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74A42D1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961D44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191A297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1BB5D3D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298C7A2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0D3719F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15EBCC8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2115E6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3F5FAB0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5431E1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18A2B6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53DF9B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25A10A0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62.5</w:t>
            </w:r>
          </w:p>
        </w:tc>
      </w:tr>
      <w:tr w:rsidR="007D5124" w:rsidRPr="000B22C8" w14:paraId="719F8C7E" w14:textId="77777777" w:rsidTr="005304A6">
        <w:trPr>
          <w:trHeight w:val="321"/>
        </w:trPr>
        <w:tc>
          <w:tcPr>
            <w:tcW w:w="3080" w:type="dxa"/>
            <w:tcBorders>
              <w:top w:val="nil"/>
              <w:left w:val="nil"/>
              <w:bottom w:val="nil"/>
              <w:right w:val="nil"/>
            </w:tcBorders>
            <w:shd w:val="clear" w:color="auto" w:fill="auto"/>
            <w:noWrap/>
            <w:hideMark/>
          </w:tcPr>
          <w:p w14:paraId="768380F2" w14:textId="108B4269"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noProof/>
                <w:sz w:val="16"/>
                <w:szCs w:val="16"/>
              </w:rPr>
              <w:t xml:space="preserve">Aljumaily &amp; Al-Khatib, 2023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{"citationItems":[{"id":"ITEM-1","itemData":{"ISSN":"1512-0112","PMID":"37522779","abstract":"Orthodontic clear aligners as an alternative to traditional braces have become increasingly ubiquitous in the last few years. Therefore, understanding the properties of the aligner materials can help to produce more accurate results of the treatment and provide more data for orthodontists who are currently using or intend to use this technology. This study aimed to investigate the effect of thermocycling on some mechanical properties (Hardness and Elastic Modulus) of two thermoplastic products used in the fabrication of orthodontic aligners. Two thermoplastic products of Duran® 0.75 mm and Erkodur® 1 mm were used in this study. A specially prepared disk fabricated from risen material with dimensions of (15mm) in diameter and (6mm) in thickness which was fabricated with a 3D printer was used for hardness assessment. Twenty sheets were thermoformed over the round disk for each product. Whereas, for elastic modulus, a Dog bone specimen with dimensions 8 mm in width and 150 mm in length was made from resin by using a 3D printer. The shore D hardness test was used to measure the hardness of the two products before and after thermocycling. For elastic modulus, thermoplastic sheets that were less than 1mm in thickness were measured according to the ASTMD 882-02 and those with 1mm were measured according to the ASTMD 638-02a. The elastic modulus was measured using a tensile test by a universal testing machine before and after thermocycling. Erkodur model® was higher than Duran® in the hardness test before and after thermocycling. But, Erkodur model® showed significant, however, Duran® showed no significant change in hardness before and after thermocycling. The elastic modulus test for the two materials showed a significant difference between Duran® and Erkodur® models. The elastic modulus of Duran® was higher than Erkodur® before and after thermocycling. The hardness of the Erkodur® product was higher than that of Duran®, whereas the elastic modulus of the Duran® product was higher than Erkodur® before and after thermocycling. On the other hand, thermocycling reduces the hardness of the Erkodur® product more than that of Duran® and did not affect the elastic modulus of each product.","author":[{"dropping-particle":"","family":"Aljumaily","given":"E","non-dropping-particle":"","parse-names":false,"suffix":""},{"dropping-particle":"","family":"Al-Khatib","given":"A","non-dropping-particle":"","parse-names":false,"suffix":""}],"container-title":"Georgian medical news","id":"ITEM-1","issue":"339","issued":{"date-parts":[["2023","6"]]},"page":"77-82","title":"HARDNESS AND ELASTIC MODULUS ASSESSMENT FOR TWO ALIGNER MATERIALS BEFORE AND AFTER THERMOCYCLING: A COMPARATIVE STUDY.","type":"article-journal"},"uris":["http://www.mendeley.com/documents/?uuid=59c0bac7-969b-4976-8f90-8d38943588b1"]}],"mendeley":{"formattedCitation":"[78]","plainTextFormattedCitation":"[78]","previouslyFormattedCitation":"[78]"},"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[78]</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DF6B47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6C75BFB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7C49FB0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3D2FD9B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6FC1094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5B8E4FB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D953F2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61A497E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2655A8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054DE6E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18A0C05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69FF4A1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01CB5C4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5074D717" w14:textId="77777777" w:rsidTr="005304A6">
        <w:trPr>
          <w:trHeight w:val="321"/>
        </w:trPr>
        <w:tc>
          <w:tcPr>
            <w:tcW w:w="3080" w:type="dxa"/>
            <w:tcBorders>
              <w:top w:val="nil"/>
              <w:left w:val="nil"/>
              <w:bottom w:val="nil"/>
              <w:right w:val="nil"/>
            </w:tcBorders>
            <w:shd w:val="clear" w:color="auto" w:fill="auto"/>
            <w:noWrap/>
            <w:hideMark/>
          </w:tcPr>
          <w:p w14:paraId="10DDBE48" w14:textId="3B56A42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Alwaneen</w:t>
            </w:r>
            <w:proofErr w:type="spellEnd"/>
            <w:r w:rsidRPr="000B22C8">
              <w:rPr>
                <w:rFonts w:asciiTheme="minorBidi" w:eastAsia="Times New Roman" w:hAnsiTheme="minorBidi"/>
                <w:color w:val="000000"/>
                <w:kern w:val="0"/>
                <w:sz w:val="16"/>
                <w:szCs w:val="16"/>
                <w14:ligatures w14:val="none"/>
              </w:rPr>
              <w:t xml:space="preserve"> &amp; Alqahtani, 2025a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{"citationItems":[{"id":"ITEM-1","itemData":{"DOI":"10.1007/s44445-025-00026-x","ISSN":"1013-9052","abstract":"Although guidelines recommend removing aligners before eating, many patients wear them while consuming food or beverages. Understanding the response of a material to high temperatures is crucial for predicting treatment outcomes. This study aimed to assess the effects of elevated beverage temperatures on the physical and mechanical properties of Invisalign clear aligners. Sixty Invisalign aligner specimens were thermocycled and divided into four groups. The specimens in the first and second groups were immersed in coffee and tea at 57 °C, respectively, whereas the third and fourth groups consisted of raw and thermocycled specimens, respectively. Each specimen from group 1 and 2 was immersed in each solution and subsequently in artificial saliva to simulate an intermittent drinking process, which was repeated 200 times, with each immersion lasting 2 s. The elastic moduli and hardnesses of the materials were measured and compared with those of the raw and thermocycled specimens. Statistically significant differences were observed in mean hardness and elastic modulus values ( p &lt; 0.0001 and p = 0.025, respectively). The mean hardness of the raw specimens was significantly higher than those of the other three groups ( p &lt; 0.0001 each), and the elastic modulus was lower than that of the coffee group ( p = 0.018) but not statistically different from those of the thermocycling and tea groups ( p = 0.413 and p = 0.309, respectively). Thermocycling and exposure to beverages at 57 °C significantly decreased the hardness of Invisalign clear aligners. The coffee-exposed group exhibited an increased elastic modulus, indicating greater rigidity. Investigating the effects of increased temperature on thermoplastic materials is crucial to ensuring the durability and safety of orthodontic treatment, which directly impacts patient care.","author":[{"dropping-particle":"","family":"Alweneen","given":"Athar","non-dropping-particle":"","parse-names":false,"suffix":""},{"dropping-particle":"","family":"Alqahtani","given":"Nasser","non-dropping-particle":"","parse-names":false,"suffix":""}],"container-title":"The Saudi Dental Journal","id":"ITEM-1","issue":"4-6","issued":{"date-parts":[["2025","7","11"]]},"page":"18","title":"Effect of elevated beverage temperatures on the physical and mechanical properties of invisalign clear aligners: an in-vitro simulation study","type":"article-journal","volume":"37"},"uris":["http://www.mendeley.com/documents/?uuid=5ddad017-55c5-48e9-8865-daaf5b208afb"]}],"mendeley":{"formattedCitation":"[74]","plainTextFormattedCitation":"[74]","previouslyFormattedCitation":"[74]"},"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[74]</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5D987F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542680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7F9D7EB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5813898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008FBF8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5B2B24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536EDF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F8CD12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3840386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12C1B27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2BE79B2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6F37010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2C30352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44857A6D" w14:textId="77777777" w:rsidTr="005304A6">
        <w:trPr>
          <w:trHeight w:val="321"/>
        </w:trPr>
        <w:tc>
          <w:tcPr>
            <w:tcW w:w="3080" w:type="dxa"/>
            <w:tcBorders>
              <w:top w:val="nil"/>
              <w:left w:val="nil"/>
              <w:bottom w:val="nil"/>
              <w:right w:val="nil"/>
            </w:tcBorders>
            <w:shd w:val="clear" w:color="auto" w:fill="auto"/>
            <w:noWrap/>
            <w:hideMark/>
          </w:tcPr>
          <w:p w14:paraId="2D6C5BBB" w14:textId="22783FBA"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Barile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10.1016/j.jmbbm.2024.106451","ISSN":"17516161","author":[{"dropping-particle":"","family":"Barile","given":"Claudia","non-dropping-particle":"","parse-names":false,"suffix":""},{"dropping-particle":"","family":"Cianci","given":"Claudia","non-dropping-particle":"","parse-names":false,"suffix":""},{"dropping-particle":"","family":"Paramsamy Kannan","given":"Vimalathithan","non-dropping-particle":"","parse-names":false,"suffix":""},{"dropping-particle":"","family":"Pappalettera","given":"Giovanni","non-dropping-particle":"","parse-names":false,"suffix":""},{"dropping-particle":"","family":"Pappalettere","given":"Carmine","non-dropping-particle":"","parse-names":false,"suffix":""},{"dropping-particle":"","family":"Casavola","given":"Caterina","non-dropping-particle":"","parse-names":false,"suffix":""},{"dropping-particle":"","family":"Suriano","given":"Carmela","non-dropping-particle":"","parse-names":false,"suffix":""},{"dropping-particle":"","family":"Ciavarella","given":"Domenico","non-dropping-particle":"","parse-names":false,"suffix":""}],"container-title":"Journal of the Mechanical Behavior of Biomedical Materials","id":"ITEM-1","issued":{"date-parts":[["2024","4"]]},"page":"106451","title":"Thermoplastic clear dental aligners under cyclic compression loading: A mechanical performance analysis using acoustic emission technique","type":"article-journal","volume":"152"},"uris":["http://www.mendeley.com/documents/?uuid=1e739793-4599-4257-88b4-d912146b2443"]}],"mendeley":{"formattedCitation":"[89]","plainTextFormattedCitation":"[89]","previouslyFormattedCitation":"[88]"},"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[89]</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3107EEA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85A33D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5784608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0C78F51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175E399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14D4E48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64EB94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52683C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419B335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7A0DE26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1B37A0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5D5D856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7D3D4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5EFF9F41" w14:textId="77777777" w:rsidTr="005304A6">
        <w:trPr>
          <w:trHeight w:val="321"/>
        </w:trPr>
        <w:tc>
          <w:tcPr>
            <w:tcW w:w="3080" w:type="dxa"/>
            <w:tcBorders>
              <w:top w:val="nil"/>
              <w:left w:val="nil"/>
              <w:bottom w:val="nil"/>
              <w:right w:val="nil"/>
            </w:tcBorders>
            <w:shd w:val="clear" w:color="auto" w:fill="auto"/>
            <w:noWrap/>
            <w:hideMark/>
          </w:tcPr>
          <w:p w14:paraId="4FB66E41" w14:textId="5930DD82"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Barile et al., 2025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{"citationItems":[{"id":"ITEM-1","itemData":{"DOI":"10.1371/journal.pone.0318207","ISSN":"1932-6203","abstract":"The widespread adoption of clear aligners in orthodontic treatments in recent years has necessitated a more precise examination of the mechanical properties of the devices currently available in orthodontics. Recent studies indicate that aligners, when exposed to the forces exerted during swallowing, undergo fatigue-like phenomena, leading to chip formation and cracks. The cumulative damage results in a compromised fit between the tooth and aligner, which is crucial for the effective execution of orthodontic treatment. Additionally, the formation of chips poses a potential risk to patients, as there is a possibility of inadvertently ingesting microplastics that become detached from the aligner over time. This study attempts to assess the release of microplastics from the aligners subjected to cyclic compressive loading. Three different aligners (Essix Ace, Ghost Aligner and Invisalign) are tested to simulate swallowing conditions over the aligner usage period. The mechanical performance is studied in terms of the energy absorbed by the aligner, which shows that the Essix Ace has a stable energy absorption behaviour, while the energy absorbed by the Invisalign is significantly higher than their counterparts. Ghost Aligner did not perform well in the cyclic compression tests. The microplastics (MPs) released by the aligners are examined under an optical microscope. A dimensional analysis based on k-means image segmentation and edge detection algorithm is developed to analyse the MPs. The dimensional analysis of the MPs revealed that the ingestion of the MPs released by all the three aligners does not pose a health risk.","author":[{"dropping-particle":"","family":"Barile","given":"Claudia","non-dropping-particle":"","parse-names":false,"suffix":""},{"dropping-particle":"","family":"Cianci","given":"Claudia","non-dropping-particle":"","parse-names":false,"suffix":""},{"dropping-particle":"","family":"Paramsamy Kannan","given":"Vimalathithan","non-dropping-particle":"","parse-names":false,"suffix":""},{"dropping-particle":"","family":"Pappalettera","given":"Giovanni","non-dropping-particle":"","parse-names":false,"suffix":""},{"dropping-particle":"","family":"Pappalettere","given":"Carmine","non-dropping-particle":"","parse-names":false,"suffix":""},{"dropping-particle":"","family":"Casavola","given":"Caterina","non-dropping-particle":"","parse-names":false,"suffix":""},{"dropping-particle":"","family":"Laurenziello","given":"Michele","non-dropping-particle":"","parse-names":false,"suffix":""},{"dropping-particle":"","family":"Ciavarella","given":"Domenico","non-dropping-particle":"","parse-names":false,"suffix":""}],"container-title":"PLOS ONE","editor":[{"dropping-particle":"","family":"Mukherjee","given":"Amitava","non-dropping-particle":"","parse-names":false,"suffix":""}],"id":"ITEM-1","issue":"2","issued":{"date-parts":[["2025","2","5"]]},"page":"e0318207","title":"Experimental assessment of damage and microplastic release during cyclic loading of clear aligners","type":"article-journal","volume":"20"},"uris":["http://www.mendeley.com/documents/?uuid=2a8027b5-172f-4c8f-948a-a55cfb393a6b"]}],"mendeley":{"formattedCitation":"[93]","plainTextFormattedCitation":"[93]","previouslyFormattedCitation":"[92]"},"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[93]</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4B0987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5D5F9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1CDD0EE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6790ACA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343D21A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84084A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E2D6F4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4012DF9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2F198EA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0282B03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AAE875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448A12C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7FFE6F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4890A63C" w14:textId="77777777" w:rsidTr="005304A6">
        <w:trPr>
          <w:trHeight w:val="321"/>
        </w:trPr>
        <w:tc>
          <w:tcPr>
            <w:tcW w:w="3080" w:type="dxa"/>
            <w:tcBorders>
              <w:top w:val="nil"/>
              <w:left w:val="nil"/>
              <w:bottom w:val="nil"/>
              <w:right w:val="nil"/>
            </w:tcBorders>
            <w:shd w:val="clear" w:color="auto" w:fill="auto"/>
            <w:noWrap/>
            <w:hideMark/>
          </w:tcPr>
          <w:p w14:paraId="0F8D5DC1" w14:textId="43A1996E"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Bernard et al., 2020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10.1186/s13005-020-00218-2","ISSN":"1746-160X","author":[{"dropping-particle":"","family":"Bernard","given":"Gabrielle","non-dropping-particle":"","parse-names":false,"suffix":""},{"dropping-particle":"","family":"Rompré","given":"Pierre","non-dropping-particle":"","parse-names":false,"suffix":""},{"dropping-particle":"","family":"Tavares","given":"Jason Robert","non-dropping-particle":"","parse-names":false,"suffix":""},{"dropping-particle":"","family":"Montpetit","given":"Andrée","non-dropping-particle":"","parse-names":false,"suffix":""}],"container-title":"Head &amp; Face Medicine","id":"ITEM-1","issue":"1","issued":{"date-parts":[["2020","12","18"]]},"page":"2","title":"Colorimetric and spectrophotometric measurements of orthodontic thermoplastic aligners exposed to various staining sources and cleaning methods","type":"article-journal","volume":"16"},"uris":["http://www.mendeley.com/documents/?uuid=c2c924c4-8926-4698-a870-7732692b83fc"]}],"mendeley":{"formattedCitation":"[24]","plainTextFormattedCitation":"[24]","previouslyFormattedCitation":"[24]"},"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[24]</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3D52601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C3E692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215468C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3E44D7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7211624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1FF4245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74241D9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2890E65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59E1EE2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4B791CE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056137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0134D43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2BEB0C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62.5</w:t>
            </w:r>
          </w:p>
        </w:tc>
      </w:tr>
      <w:tr w:rsidR="007D5124" w:rsidRPr="000B22C8" w14:paraId="56B0D55B" w14:textId="77777777" w:rsidTr="005304A6">
        <w:trPr>
          <w:trHeight w:val="321"/>
        </w:trPr>
        <w:tc>
          <w:tcPr>
            <w:tcW w:w="3080" w:type="dxa"/>
            <w:tcBorders>
              <w:top w:val="nil"/>
              <w:left w:val="nil"/>
              <w:bottom w:val="nil"/>
              <w:right w:val="nil"/>
            </w:tcBorders>
            <w:shd w:val="clear" w:color="auto" w:fill="auto"/>
            <w:noWrap/>
            <w:hideMark/>
          </w:tcPr>
          <w:p w14:paraId="70462615" w14:textId="5CDD5C70"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Bhate &amp; Nagesh,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10.7759/cureus.64933","ISSN":"2168-8184","author":[{"dropping-particle":"","family":"Bhate","given":"Manjiri","non-dropping-particle":"","parse-names":false,"suffix":""},{"dropping-particle":"","family":"Nagesh","given":"Shweta","non-dropping-particle":"","parse-names":false,"suffix":""}],"container-title":"Cureus","id":"ITEM-1","issued":{"date-parts":[["2024","7","19"]]},"title":"Assessment of the Effect of Thermoforming Process and Simulated Aging on the Mechanical Properties of Clear Aligner Material","type":"article-journal"},"uris":["http://www.mendeley.com/documents/?uuid=7623b19f-bc40-4171-96fc-816cb8b3692e"]}],"mendeley":{"formattedCitation":"[83]","plainTextFormattedCitation":"[83]","previouslyFormattedCitation":"[83]"},"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[83]</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4E2FEF1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FF4EC3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216310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7862A9F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hideMark/>
          </w:tcPr>
          <w:p w14:paraId="7C20125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56CA61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642C9E6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EC53AA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F6891E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39B143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083BC6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8DEE76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A6102A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606B2588" w14:textId="77777777" w:rsidTr="005304A6">
        <w:trPr>
          <w:trHeight w:val="321"/>
        </w:trPr>
        <w:tc>
          <w:tcPr>
            <w:tcW w:w="3080" w:type="dxa"/>
            <w:tcBorders>
              <w:top w:val="nil"/>
              <w:left w:val="nil"/>
              <w:bottom w:val="nil"/>
              <w:right w:val="nil"/>
            </w:tcBorders>
            <w:shd w:val="clear" w:color="auto" w:fill="auto"/>
            <w:noWrap/>
          </w:tcPr>
          <w:p w14:paraId="58F5DF78" w14:textId="58AC800E"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Casavola</w:t>
            </w:r>
            <w:proofErr w:type="spellEnd"/>
            <w:r w:rsidRPr="000B22C8">
              <w:rPr>
                <w:rFonts w:asciiTheme="minorBidi" w:eastAsia="Times New Roman" w:hAnsiTheme="minorBidi"/>
                <w:color w:val="000000"/>
                <w:kern w:val="0"/>
                <w:sz w:val="16"/>
                <w:szCs w:val="16"/>
                <w14:ligatures w14:val="none"/>
              </w:rPr>
              <w:t xml:space="preserve"> et al., 2022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10.1016/j.jmbbm.2022.105391","ISSN":"17516161","author":[{"dropping-particle":"","family":"Casavola","given":"Caterina","non-dropping-particle":"","parse-names":false,"suffix":""},{"dropping-particle":"","family":"Pappalettera","given":"Giovanni","non-dropping-particle":"","parse-names":false,"suffix":""},{"dropping-particle":"","family":"Pappalettere","given":"Carmine","non-dropping-particle":"","parse-names":false,"suffix":""},{"dropping-particle":"","family":"Patronelli","given":"Marika","non-dropping-particle":"","parse-names":false,"suffix":""},{"dropping-particle":"","family":"Renna","given":"Gilda","non-dropping-particle":"","parse-names":false,"suffix":""},{"dropping-particle":"","family":"Laurenziello","given":"Michele","non-dropping-particle":"","parse-names":false,"suffix":""},{"dropping-particle":"","family":"Ciavarella","given":"Domenico","non-dropping-particle":"","parse-names":false,"suffix":""}],"container-title":"Journal of the Mechanical Behavior of Biomedical Materials","id":"ITEM-1","issued":{"date-parts":[["2022","10"]]},"page":"105391","title":"A full-field DIC analysis of the mechanical-deformation behavior of polyethylene terephthalate glycol (PET-G) aligners","type":"article-journal","volume":"134"},"uris":["http://www.mendeley.com/documents/?uuid=ee839bce-c490-4eb9-be67-cfe688081851"]}],"mendeley":{"formattedCitation":"[91]","plainTextFormattedCitation":"[91]","previouslyFormattedCitation":"[90]"},"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[91]</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6B8AEF8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4C13442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tcPr>
          <w:p w14:paraId="1A2AD58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tcPr>
          <w:p w14:paraId="784D6BF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tcPr>
          <w:p w14:paraId="4D339BC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4FEAF76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042319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518D2B8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2FCBD47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39A31E8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41D691C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112" w:type="dxa"/>
            <w:tcBorders>
              <w:top w:val="nil"/>
              <w:left w:val="nil"/>
              <w:bottom w:val="nil"/>
              <w:right w:val="nil"/>
            </w:tcBorders>
            <w:shd w:val="clear" w:color="auto" w:fill="auto"/>
            <w:noWrap/>
          </w:tcPr>
          <w:p w14:paraId="5FA2973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7B900DB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41.7</w:t>
            </w:r>
          </w:p>
        </w:tc>
      </w:tr>
      <w:tr w:rsidR="007D5124" w:rsidRPr="000B22C8" w14:paraId="7C4AFFCA" w14:textId="77777777" w:rsidTr="005304A6">
        <w:trPr>
          <w:trHeight w:val="321"/>
        </w:trPr>
        <w:tc>
          <w:tcPr>
            <w:tcW w:w="3080" w:type="dxa"/>
            <w:tcBorders>
              <w:top w:val="nil"/>
              <w:left w:val="nil"/>
              <w:bottom w:val="nil"/>
              <w:right w:val="nil"/>
            </w:tcBorders>
            <w:shd w:val="clear" w:color="auto" w:fill="auto"/>
            <w:noWrap/>
          </w:tcPr>
          <w:p w14:paraId="098BBC95" w14:textId="229FF295"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Casavola</w:t>
            </w:r>
            <w:proofErr w:type="spellEnd"/>
            <w:r w:rsidRPr="000B22C8">
              <w:rPr>
                <w:rFonts w:asciiTheme="minorBidi" w:eastAsia="Times New Roman" w:hAnsiTheme="minorBidi"/>
                <w:color w:val="000000"/>
                <w:kern w:val="0"/>
                <w:sz w:val="16"/>
                <w:szCs w:val="16"/>
                <w14:ligatures w14:val="none"/>
              </w:rPr>
              <w:t xml:space="preserve"> et al., 2025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10.1007/s11665-025-11204-7","ISSN":"1059-9495","author":[{"dropping-particle":"","family":"Casavola","given":"Caterina","non-dropping-particle":"","parse-names":false,"suffix":""},{"dropping-particle":"","family":"Cianci","given":"Claudia","non-dropping-particle":"","parse-names":false,"suffix":""},{"dropping-particle":"","family":"Pappalettera","given":"Giovanni","non-dropping-particle":"","parse-names":false,"suffix":""},{"dropping-particle":"","family":"Pappalettere","given":"Carmine","non-dropping-particle":"","parse-names":false,"suffix":""},{"dropping-particle":"","family":"Renna","given":"Gilda","non-dropping-particle":"","parse-names":false,"suffix":""},{"dropping-particle":"","family":"Laurenziello","given":"Michele","non-dropping-particle":"","parse-names":false,"suffix":""},{"dropping-particle":"","family":"Ciavarella","given":"Domenico","non-dropping-particle":"","parse-names":false,"suffix":""}],"container-title":"Journal of Materials Engineering and Performance","id":"ITEM-1","issue":"21","issued":{"date-parts":[["2025","11","30"]]},"page":"25528-25537","title":"Mechanical Behavior Analysis of PU and PETG Passive Clear Aligners under Simulated Swallowing Loads","type":"article-journal","volume":"34"},"uris":["http://www.mendeley.com/documents/?uuid=05768ce7-3bba-4471-98e0-ae380e50f451"]}],"mendeley":{"formattedCitation":"[94]","plainTextFormattedCitation":"[94]","previouslyFormattedCitation":"[93]"},"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[94]</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50CE625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18A0798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tcPr>
          <w:p w14:paraId="5F621D0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tcPr>
          <w:p w14:paraId="5200AD9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7F0FA8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16D0AC1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5E6600E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0A3CCFD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59FE60F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0EDAD93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7CCC0BF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112" w:type="dxa"/>
            <w:tcBorders>
              <w:top w:val="nil"/>
              <w:left w:val="nil"/>
              <w:bottom w:val="nil"/>
              <w:right w:val="nil"/>
            </w:tcBorders>
            <w:shd w:val="clear" w:color="auto" w:fill="auto"/>
            <w:noWrap/>
          </w:tcPr>
          <w:p w14:paraId="3AF4D02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5CE29A6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45.8</w:t>
            </w:r>
          </w:p>
        </w:tc>
      </w:tr>
      <w:tr w:rsidR="007D5124" w:rsidRPr="000B22C8" w14:paraId="2C94B4F7" w14:textId="77777777" w:rsidTr="005304A6">
        <w:trPr>
          <w:trHeight w:val="321"/>
        </w:trPr>
        <w:tc>
          <w:tcPr>
            <w:tcW w:w="3080" w:type="dxa"/>
            <w:tcBorders>
              <w:top w:val="nil"/>
              <w:left w:val="nil"/>
              <w:bottom w:val="nil"/>
              <w:right w:val="nil"/>
            </w:tcBorders>
            <w:shd w:val="clear" w:color="auto" w:fill="auto"/>
            <w:noWrap/>
            <w:hideMark/>
          </w:tcPr>
          <w:p w14:paraId="6443F16D" w14:textId="7D5496E8"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Chen et al., 2023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10.1016/j.jds.2023.06.017","ISSN":"19917902","author":[{"dropping-particle":"","family":"Chen","given":"Shou-Min","non-dropping-particle":"","parse-names":false,"suffix":""},{"dropping-particle":"","family":"Huang","given":"Tsui-Hsein","non-dropping-particle":"","parse-names":false,"suffix":""},{"dropping-particle":"","family":"Ho","given":"Chun-Te","non-dropping-particle":"","parse-names":false,"suffix":""},{"dropping-particle":"","family":"Kao","given":"Chia-Tze","non-dropping-particle":"","parse-names":false,"suffix":""}],"container-title":"Journal of Dental Sciences","id":"ITEM-1","issue":"4","issued":{"date-parts":[["2023","10"]]},"page":"1845-1849","title":"Force degradation study on aligner plates immersed in various solutions","type":"article-journal","volume":"18"},"uris":["http://www.mendeley.com/documents/?uuid=b78a04a5-1bf1-4649-9a48-ff9c7556943c"]}],"mendeley":{"formattedCitation":"[44]","plainTextFormattedCitation":"[44]","previouslyFormattedCitation":"[44]"},"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[44]</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D91C4F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7C3E979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084B585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4D8920F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20C2FE1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88" w:type="dxa"/>
            <w:tcBorders>
              <w:top w:val="nil"/>
              <w:left w:val="nil"/>
              <w:bottom w:val="nil"/>
              <w:right w:val="nil"/>
            </w:tcBorders>
            <w:shd w:val="clear" w:color="auto" w:fill="auto"/>
            <w:noWrap/>
            <w:hideMark/>
          </w:tcPr>
          <w:p w14:paraId="7399DDE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0E350F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BA70B3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621" w:type="dxa"/>
            <w:tcBorders>
              <w:top w:val="nil"/>
              <w:left w:val="nil"/>
              <w:bottom w:val="nil"/>
              <w:right w:val="nil"/>
            </w:tcBorders>
            <w:shd w:val="clear" w:color="auto" w:fill="auto"/>
            <w:noWrap/>
            <w:hideMark/>
          </w:tcPr>
          <w:p w14:paraId="32655EC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75F2859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73FB9E4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16F44BC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350C1BD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41.7</w:t>
            </w:r>
          </w:p>
        </w:tc>
      </w:tr>
      <w:tr w:rsidR="007D5124" w:rsidRPr="000B22C8" w14:paraId="66A1BEDF" w14:textId="77777777" w:rsidTr="005304A6">
        <w:trPr>
          <w:trHeight w:val="321"/>
        </w:trPr>
        <w:tc>
          <w:tcPr>
            <w:tcW w:w="3080" w:type="dxa"/>
            <w:tcBorders>
              <w:top w:val="nil"/>
              <w:left w:val="nil"/>
              <w:bottom w:val="nil"/>
              <w:right w:val="nil"/>
            </w:tcBorders>
            <w:shd w:val="clear" w:color="auto" w:fill="auto"/>
            <w:noWrap/>
            <w:hideMark/>
          </w:tcPr>
          <w:p w14:paraId="5FEF2180" w14:textId="584BCEB0"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Chen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{"citationItems":[{"id":"ITEM-1","itemData":{"DOI":"https://doi.org/10.1186/s40510-025-00600-3","ISSN":"2196-1042","PMID":"41410724","abstract":"BackgroundClear aligner therapy is gaining traction owing to its esthetics and comfort. Although most aligners use thermoforming, 3D printing offers advantages such as higher accuracy and reduced waste. While literature on the properties of some 3D-printed aligner materials compared to thermoformed ones is available, a comprehensive study is currently lacking that compares all three materials (iLuxclear (LC), Graphy Clear Aligner (GY), and RightBio Clear Aligner (RD)) with thermoformed materials, particularly regarding optical and biofilm adhesion characteristics.MethodologyThree 3D direct-printed materials (LC, GY and RD) and two thermoformed materials (easyDu (ED) and Biolon (SC)) were tested. Surface morphology was analyzed by stereomicroscopy. Surface roughness (Ra) was measured at baseline (0 day) and after 45 days of immersion in artificial saliva. Light transmittance and color stability (ΔE00) were evaluated after 7 and 14 days of aging in saliva, black tea, and coffee. Bacterial adhesion was quantified using Streptococcus mutans (S. mutans) at baseline and after 3 and 7 days.ResultsThe 3D direct-printed aligners, particularly the LC group, exhibited increased surface morphology irregularities and significantly higher Ra values than the thermoformed materials; Ra increased after 45 days of immersion in artificial saliva across all groups. The thermoformed materials maintained stable color integrity, while the 3D-direct printed materials varied in performance. GY demonstrated a uniform surface structure, lower roughness, and the highest color stability, whereas LC and RD experienced significant discoloration. The RD group exhibited significantly higher S. mutans adhesion, whereas the thermoformed materials exhibited superior biofilm resistance. Notably, GY achieved comparable S. mutans adhesion to the thermoformed materials after a 7-day culture.ConclusionsAmong the 3D direct printed aligners, GY achieved comparable surface and microbiological performance to conventional options. These findings underscore their potential for balancing esthetics, susceptibility to bacterial adhesion, and clinical performance in clear aligner therapy.","author":[{"dropping-particle":"","family":"Chen","given":"Daniel De-Shing S","non-dropping-particle":"","parse-names":false,"suffix":""},{"dropping-particle":"","family":"Peng","given":"Tzu-Yu Y","non-dropping-particle":"","parse-names":false,"suffix":""},{"dropping-particle":"","family":"Huang","given":"Pin-Yu Y","non-dropping-particle":"","parse-names":false,"suffix":""},{"dropping-particle":"","family":"Kaku","given":"Masato","non-dropping-particle":"","parse-names":false,"suffix":""},{"dropping-particle":"","family":"Cheng","given":"Johnson Hsin-Chung C","non-dropping-particle":"","parse-names":false,"suffix":""}],"container-title":"Progress in orthodontics","id":"ITEM-1","issue":"1","issued":{"date-parts":[["2025","12","18"]]},"language":"English","note":"From Duplicate 1 (Advances in clear aligner therapy: comparative evaluation of the optical properties and bacterial adhesion of 3D direct-printed and thermoformed aligners - Chen, D D S; Peng, T Y; Huang, P Y; Kaku, M; Cheng, J H C)\n\nTimes Cited in Web of Science Core Collection: 0\nTotal Times Cited: 0\nCited Reference Count: 22\n\nFrom Duplicate 2 (Advances in clear aligner therapy: comparative evaluation of the optical properties and bacterial adhesion of 3D direct-printed and thermoformed aligners - Chen, Daniel De-Shing; Peng, Tzu-Yu; Huang, Pin-Yu; Kaku, Masato; Cheng, Johnson Hsin-Chung)\n\nCopyright - © The Author(s) 2025. This work is published under http://creativecommons.org/licenses/by/4.0/ (the “License”). Notwithstanding the ProQuest Terms and Conditions, you may use this content in accordance with the terms of the License.\n\nLast updated - 2025-12-19\n\nSubjectsTermNotLitGenreText - United States--US; Germany; Taiwan\n\nFrom Duplicate 4 (Advances in clear aligner therapy: comparative evaluation of the optical properties and bacterial adhesion of 3D direct-printed and thermoformed aligners - Chen, Daniel De-Shing; Peng, Tzu-Yu; Huang, Pin-Yu; Kaku, Masato; Cheng, Johnson Hsin-Chung)\n\nCopyright - © 2025. The Author(s).\n\nDate completed - 2025-12-18\n\nDate created - 2025-12-18\n\nPublication note - Electronic\n\nSuppNotes - Declarations. Ethics approval and consent to participate: Not applicable. Consent for publication: Not applicable. Competing interests: The authors declare no competing interests.; Indexing method: Automated\n\nLast updated - 2025-12-21","page":"53","publisher":"Springer Nature B.V. PP  - Heidelberg","publisher-place":"Taipei Med Univ, Coll Oral Med, Sch Dent, Taipei, Taiwan, Germany","title":"Advances in clear aligner therapy: comparative evaluation of the optical properties and bacterial adhesion of 3D direct-printed and thermoformed aligners","type":"article-journal","volume":"26"},"uris":["http://www.mendeley.com/documents/?uuid=708045ed-56dd-45f5-99f9-67656bb3c9fe"]}],"mendeley":{"formattedCitation":"[59]","plainTextFormattedCitation":"[59]","previouslyFormattedCitation":"[59]"},"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[59]</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73E5070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344CC94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00D37CB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4C6562D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688D6F1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14EC291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42F024E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1C38BF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15DCDCA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550A5B7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963F22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5A4D50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30F8D0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0C590F65" w14:textId="77777777" w:rsidTr="005304A6">
        <w:trPr>
          <w:trHeight w:val="321"/>
        </w:trPr>
        <w:tc>
          <w:tcPr>
            <w:tcW w:w="3080" w:type="dxa"/>
            <w:tcBorders>
              <w:top w:val="nil"/>
              <w:left w:val="nil"/>
              <w:bottom w:val="nil"/>
              <w:right w:val="nil"/>
            </w:tcBorders>
            <w:shd w:val="clear" w:color="auto" w:fill="auto"/>
            <w:noWrap/>
            <w:hideMark/>
          </w:tcPr>
          <w:p w14:paraId="66246AD8" w14:textId="483BAE4D"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Choi et al., 2025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{"citationItems":[{"id":"ITEM-1","itemData":{"DOI":"10.1038/s41598-025-93026-0","ISSN":"2045-2322","author":[{"dropping-particle":"","family":"Choi","given":"Jin Young","non-dropping-particle":"","parse-names":false,"suffix":""},{"dropping-particle":"","family":"Kim","given":"Hoon","non-dropping-particle":"","parse-names":false,"suffix":""},{"dropping-particle":"","family":"Kim","given":"Seong Hun","non-dropping-particle":"","parse-names":false,"suffix":""},{"dropping-particle":"","family":"Kim","given":"Su Jung","non-dropping-particle":"","parse-names":false,"suffix":""},{"dropping-particle":"","family":"Cha","given":"Jung-Yul","non-dropping-particle":"","parse-names":false,"suffix":""},{"dropping-particle":"","family":"Lee","given":"Se Yeon","non-dropping-particle":"","parse-names":false,"suffix":""},{"dropping-particle":"","family":"Lee","given":"Jiho","non-dropping-particle":"","parse-names":false,"suffix":""},{"dropping-particle":"","family":"Min","given":"Jinhong","non-dropping-particle":"","parse-names":false,"suffix":""},{"dropping-particle":"","family":"Jang","given":"Sunho","non-dropping-particle":"","parse-names":false,"suffix":""},{"dropping-particle":"","family":"Khan","given":"Tanveer Ahmed","non-dropping-particle":"","parse-names":false,"suffix":""},{"dropping-particle":"","family":"Kim","given":"Hyun-Joong","non-dropping-particle":"","parse-names":false,"suffix":""},{"dropping-particle":"","family":"Kim","given":"Ki Beom","non-dropping-particle":"","parse-names":false,"suffix":""}],"container-title":"Scientific Reports","id":"ITEM-1","issue":"1","issued":{"date-parts":[["2025","7","2"]]},"page":"23530","title":"Mechanical and viscoelastic properties of a temperature-responsive photocurable resin for 3D printed orthodontic clear aligners","type":"article-journal","volume":"15"},"uris":["http://www.mendeley.com/documents/?uuid=a99130ac-bf32-4800-8a21-e891c9e1d52b"]}],"mendeley":{"formattedCitation":"[82]","plainTextFormattedCitation":"[82]","previouslyFormattedCitation":"[82]"},"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[82]</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E23C7A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DAEE35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1954C87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649A5B3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hideMark/>
          </w:tcPr>
          <w:p w14:paraId="10AAF1E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090DF97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829057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8C3133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4EC460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5EAE219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594C691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636958A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B7AAD5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45.8</w:t>
            </w:r>
          </w:p>
        </w:tc>
      </w:tr>
      <w:tr w:rsidR="007D5124" w:rsidRPr="000B22C8" w14:paraId="7B66993B" w14:textId="77777777" w:rsidTr="005304A6">
        <w:trPr>
          <w:trHeight w:val="321"/>
        </w:trPr>
        <w:tc>
          <w:tcPr>
            <w:tcW w:w="3080" w:type="dxa"/>
            <w:tcBorders>
              <w:top w:val="nil"/>
              <w:left w:val="nil"/>
              <w:bottom w:val="nil"/>
              <w:right w:val="nil"/>
            </w:tcBorders>
            <w:shd w:val="clear" w:color="auto" w:fill="auto"/>
            <w:noWrap/>
            <w:hideMark/>
          </w:tcPr>
          <w:p w14:paraId="4FB043EC" w14:textId="28DADFF2"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Cianci et al., 2020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10.3389/fmats.2020.00104","ISSN":"2296-8016","author":[{"dropping-particle":"","family":"Cianci","given":"Claudia","non-dropping-particle":"","parse-names":false,"suffix":""},{"dropping-particle":"","family":"Pappalettera","given":"Giovanni","non-dropping-particle":"","parse-names":false,"suffix":""},{"dropping-particle":"","family":"Renna","given":"Gilda","non-dropping-particle":"","parse-names":false,"suffix":""},{"dropping-particle":"","family":"Casavola","given":"Caterina","non-dropping-particle":"","parse-names":false,"suffix":""},{"dropping-particle":"","family":"Laurenziello","given":"Michele","non-dropping-particle":"","parse-names":false,"suffix":""},{"dropping-particle":"","family":"Battista","given":"Giovanni","non-dropping-particle":"","parse-names":false,"suffix":""},{"dropping-particle":"","family":"Pappalettere","given":"Carmine","non-dropping-particle":"","parse-names":false,"suffix":""},{"dropping-particle":"","family":"Ciavarella","given":"Domenico","non-dropping-particle":"","parse-names":false,"suffix":""}],"container-title":"Frontiers in Materials","id":"ITEM-1","issued":{"date-parts":[["2020","5","8"]]},"title":"Mechanical Behavior of PET-G Tooth Aligners Under Cyclic Loading","type":"article-journal","volume":"7"},"uris":["http://www.mendeley.com/documents/?uuid=5ea4d04c-7e08-4fca-b49b-cb00748e6108"]}],"mendeley":{"formattedCitation":"[18]","plainTextFormattedCitation":"[18]","previouslyFormattedCitation":"[18]"},"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[18]</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382A915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416CA4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095B534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0F9573F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738EFA5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4F2792A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3C312A6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45341A7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7AE9174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5B2F18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38C202B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05EF6B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4CF202E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5E26D258" w14:textId="77777777" w:rsidTr="005304A6">
        <w:trPr>
          <w:trHeight w:val="321"/>
        </w:trPr>
        <w:tc>
          <w:tcPr>
            <w:tcW w:w="3080" w:type="dxa"/>
            <w:tcBorders>
              <w:top w:val="nil"/>
              <w:left w:val="nil"/>
              <w:bottom w:val="nil"/>
              <w:right w:val="nil"/>
            </w:tcBorders>
            <w:shd w:val="clear" w:color="auto" w:fill="auto"/>
            <w:noWrap/>
            <w:hideMark/>
          </w:tcPr>
          <w:p w14:paraId="2A115E8D" w14:textId="4E33872B"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Cintora-Lopez et al., 2023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{"citationItems":[{"id":"ITEM-1","itemData":{"DOI":"10.3389/fbioe.2023.1321495","ISSN":"2296-4185","abstract":"The mechanical properties of polyurethane dental aligners have been studied in an oral environment at 37°C and subjected to thermal cycling between 5°C and 55°C for long periods of time at different mechanical stresses. The aim is to determine the efficacy of the orthodontic aligner at different stress levels, the effect of thermal cycling with therapy time on tooth position correction. Sixty aligners with the same design were studied applying tensions of 0, 3 and 30 N and determining the deformation at different times from 1 to 760 h. Half of these aligners were subjected to stresses submerged in artificial saliva at 37°C and the other half were subjected to thermal cycles between 2°C and 55°C in salivary medium. Deformation was determined using a high-resolution stereo magnifier and ImageJ image analysis software. Water adsorption by the polyurethane was determined at the different test times. The results showed that in the unloaded aligners there is no appreciable deformation, but with thermal cycling there is a light shrinkage of the aligner due to the semi-crystallization process (ordering of polymeric chains) of the polyurethane. When applying loads of 3 and 30 N, creep curves with constant deformation transition zones can be seen. The transition zones decrease as the applied mechanical load increases. In addition, the significant effect of thermal cycling on the reduction of the transition zone of the aligners has been demonstrated. The transition zones are optimal for dental correction as constant stresses are exerted for tooth movement. The effect of thermal cycling shortens the constant deformation zone and reduces tooth alignment time. It was observed that the absorption of water in the aligner is constant after 1 h of immersion and does not exceed 0.4% by weight of absorbed water.","author":[{"dropping-particle":"","family":"Cintora-López","given":"Patricia","non-dropping-particle":"","parse-names":false,"suffix":""},{"dropping-particle":"","family":"Arrieta-Blanco","given":"Patricia","non-dropping-particle":"","parse-names":false,"suffix":""},{"dropping-particle":"","family":"Martin-Vacas","given":"Andrea","non-dropping-particle":"","parse-names":false,"suffix":""},{"dropping-particle":"","family":"Paz-Cortés","given":"Marta Macarena","non-dropping-particle":"","parse-names":false,"suffix":""},{"dropping-particle":"","family":"Gil","given":"Javier","non-dropping-particle":"","parse-names":false,"suffix":""},{"dropping-particle":"","family":"Aragoneses","given":"Juan Manuel","non-dropping-particle":"","parse-names":false,"suffix":""}],"container-title":"Frontiers in Bioengineering and Biotechnology","id":"ITEM-1","issued":{"date-parts":[["2023","12","20"]]},"title":"In vitro analysis of the influence of the thermocycling and the applied force on orthodontic clear aligners","type":"article-journal","volume":"11"},"uris":["http://www.mendeley.com/documents/?uuid=02d07811-03df-44e4-b49c-679aad1cfc7e"]}],"mendeley":{"formattedCitation":"[14]","plainTextFormattedCitation":"[14]","previouslyFormattedCitation":"[14]"},"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[14]</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7765134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7BA14C4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69" w:type="dxa"/>
            <w:tcBorders>
              <w:top w:val="nil"/>
              <w:left w:val="nil"/>
              <w:bottom w:val="nil"/>
              <w:right w:val="nil"/>
            </w:tcBorders>
            <w:shd w:val="clear" w:color="auto" w:fill="auto"/>
            <w:noWrap/>
            <w:hideMark/>
          </w:tcPr>
          <w:p w14:paraId="75F836B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4E577B6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0D26A49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1E85243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4CA8F3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19E5374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9857F4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61705EE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2EF649F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97F83F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BF62CF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4C18B857" w14:textId="77777777" w:rsidTr="005304A6">
        <w:trPr>
          <w:trHeight w:val="321"/>
        </w:trPr>
        <w:tc>
          <w:tcPr>
            <w:tcW w:w="3080" w:type="dxa"/>
            <w:tcBorders>
              <w:top w:val="nil"/>
              <w:left w:val="nil"/>
              <w:bottom w:val="nil"/>
              <w:right w:val="nil"/>
            </w:tcBorders>
            <w:shd w:val="clear" w:color="auto" w:fill="auto"/>
            <w:noWrap/>
          </w:tcPr>
          <w:p w14:paraId="4D83A5F1" w14:textId="7A7F2639"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Cremonini</w:t>
            </w:r>
            <w:proofErr w:type="spellEnd"/>
            <w:r w:rsidRPr="000B22C8">
              <w:rPr>
                <w:rFonts w:asciiTheme="minorBidi" w:eastAsia="Times New Roman" w:hAnsiTheme="minorBidi"/>
                <w:color w:val="000000"/>
                <w:kern w:val="0"/>
                <w:sz w:val="16"/>
                <w:szCs w:val="16"/>
                <w14:ligatures w14:val="none"/>
              </w:rPr>
              <w:t xml:space="preserve"> et al., 2022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{"citationItems":[{"id":"ITEM-1","itemData":{"DOI":"10.3390/app122311964","ISSN":"2076-3417","abstract":"(1) Background: the aim of this study was to investigate the transmittance levels of aligners in relation to different thermoforming disks and printers after 14 days of in vitro aging. (2) Methods: the transmittance level of 18 aligners was investigated. Three printers were used to create the aligner: Carbon L1, Prodways LD20 and RapidShape D100+. Each printer produced 6 aligners: three were made of Zendura FLX material and three of Scheu Ca Pro+. Each sample was subjected to spectrophotometry analysis of its transmittance levels, for a total of 54 measurements at T0. Then, all samples were aged in vitro at a constant temperature in artificial saliva supplemented with food coloring for 14 days each. The spectrophotometry protocol was repeated, and the same 54 measurements were collected at T1 (after aging). The resulting data were analyzed and compared by means of ANOVA (p &lt; 0.05). (3) Results: all tested aligners revealed lower transmittance values after aging. Scheu CA Pro+ aligners showed higher transparency at T0, but a significant worsening of its aesthetic at T1. On the other hand, Zendura FLX aligners presented slightly reduced transmittance levels before aging, which, however, remained more stable after 14 days, showing no significant difference. In the specific, aligners produced by Prodways LD20 printers showed better optical properties than the others, both at T0 and T1. (4) Conclusions: Differences in pre-and-post-aging optical properties of aligners are influenced by the manufacturing process. Both the thermoplastic disks and the printers, thanks to new technologies, played a positive role in the final transparency of the product, which improved in all values compared to previous studies.","author":[{"dropping-particle":"","family":"Cremonini","given":"Francesca","non-dropping-particle":"","parse-names":false,"suffix":""},{"dropping-particle":"","family":"Vianello","given":"Margherita","non-dropping-particle":"","parse-names":false,"suffix":""},{"dropping-particle":"","family":"Bianchi","given":"Anna","non-dropping-particle":"","parse-names":false,"suffix":""},{"dropping-particle":"","family":"Lombardo","given":"Luca","non-dropping-particle":"","parse-names":false,"suffix":""}],"container-title":"Applied Sciences","id":"ITEM-1","issue":"23","issued":{"date-parts":[["2022","11","23"]]},"page":"11964","title":"A Spectrophotometry Evaluation of Clear Aligners Transparency: Comparison of 3D-Printers and Thermoforming Disks in Different Combinations","type":"article-journal","volume":"12"},"uris":["http://www.mendeley.com/documents/?uuid=2bfb1cbc-527d-466b-b127-50661eb6b45e"]}],"mendeley":{"formattedCitation":"[45]","plainTextFormattedCitation":"[45]","previouslyFormattedCitation":"[45]"},"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[45]</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4E81F28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6A41248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tcPr>
          <w:p w14:paraId="6023AEA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tcPr>
          <w:p w14:paraId="53EF30E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tcPr>
          <w:p w14:paraId="1A34D72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782ED1F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37394ED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2C934A3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29937A0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tcPr>
          <w:p w14:paraId="19BD01B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02F677A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445A37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5415317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707D35CB" w14:textId="77777777" w:rsidTr="005304A6">
        <w:trPr>
          <w:trHeight w:val="321"/>
        </w:trPr>
        <w:tc>
          <w:tcPr>
            <w:tcW w:w="3080" w:type="dxa"/>
            <w:tcBorders>
              <w:top w:val="nil"/>
              <w:left w:val="nil"/>
              <w:bottom w:val="nil"/>
              <w:right w:val="nil"/>
            </w:tcBorders>
            <w:shd w:val="clear" w:color="auto" w:fill="auto"/>
            <w:noWrap/>
          </w:tcPr>
          <w:p w14:paraId="6B64CE53" w14:textId="0A31021A"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Cremonini</w:t>
            </w:r>
            <w:proofErr w:type="spellEnd"/>
            <w:r w:rsidRPr="000B22C8">
              <w:rPr>
                <w:rFonts w:asciiTheme="minorBidi" w:eastAsia="Times New Roman" w:hAnsiTheme="minorBidi"/>
                <w:color w:val="000000"/>
                <w:kern w:val="0"/>
                <w:sz w:val="16"/>
                <w:szCs w:val="16"/>
                <w14:ligatures w14:val="none"/>
              </w:rPr>
              <w:t xml:space="preserve">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10.25259/APOS_201_2023","author":[{"dropping-particle":"","family":"Cremonini","given":"F","non-dropping-particle":"","parse-names":false,"suffix":""},{"dropping-particle":"","family":"Brucculeri","given":"L","non-dropping-particle":"","parse-names":false,"suffix":""},{"dropping-particle":"","family":"Pepe","given":"F","non-dropping-particle":"","parse-names":false,"suffix":""},{"dropping-particle":"","family":"Lombardo","given":"L","non-dropping-particle":"","parse-names":false,"suffix":""}],"container-title":"APOS TRENDS IN ORTHODONTICS","id":"ITEM-1","issue":"4","issued":{"date-parts":[["2024"]]},"page":"225-234","title":"Comparison of stress relaxation properties between 3-dimensional printed and thermoformed orthodontic aligners: A pilot study of in vitro simulation of two consecutive 8-hours force application","type":"article-journal","volume":"14"},"uris":["http://www.mendeley.com/documents/?uuid=c7f2bd44-7b86-4a31-ba6d-87ddca976864"]}],"mendeley":{"formattedCitation":"[87]","plainTextFormattedCitation":"[87]","previouslyFormattedCitation":"[86]"},"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[87]</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154C358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27AD1FF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tcPr>
          <w:p w14:paraId="37B0A7A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tcPr>
          <w:p w14:paraId="0F1D098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6803B25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70DECC0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2E467A3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60CA8CA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5581ECB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tcPr>
          <w:p w14:paraId="74639F8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2CEB862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6285B7D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3EEBA09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6B54BA88" w14:textId="77777777" w:rsidTr="005304A6">
        <w:trPr>
          <w:trHeight w:val="321"/>
        </w:trPr>
        <w:tc>
          <w:tcPr>
            <w:tcW w:w="3080" w:type="dxa"/>
            <w:tcBorders>
              <w:top w:val="nil"/>
              <w:left w:val="nil"/>
              <w:bottom w:val="nil"/>
              <w:right w:val="nil"/>
            </w:tcBorders>
            <w:shd w:val="clear" w:color="auto" w:fill="auto"/>
            <w:noWrap/>
            <w:hideMark/>
          </w:tcPr>
          <w:p w14:paraId="0E85A4A2" w14:textId="16F2146C"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Cui et al., 2025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10.1186/s13005-025-00497-7","ISSN":"1746-160X","author":[{"dropping-particle":"","family":"Cui","given":"Xinyu","non-dropping-particle":"","parse-names":false,"suffix":""},{"dropping-particle":"","family":"Li","given":"Fengru","non-dropping-particle":"","parse-names":false,"suffix":""},{"dropping-particle":"","family":"Jiang","given":"Jiuhui","non-dropping-particle":"","parse-names":false,"suffix":""}],"container-title":"Head &amp; Face Medicine","id":"ITEM-1","issue":"1","issued":{"date-parts":[["2025","3","31"]]},"page":"23","title":"Effects of simulated intraoral temperatures and wet environments on the stress relaxation properties of thermoplastic aligner materials","type":"article-journal","volume":"21"},"uris":["http://www.mendeley.com/documents/?uuid=9a8a3b15-7880-476c-a7df-69d5ea73cc2c"]}],"mendeley":{"formattedCitation":"[75]","plainTextFormattedCitation":"[75]","previouslyFormattedCitation":"[75]"},"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[75]</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3809A64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653DD4C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1019ADD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442EE42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55F2835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53A60AD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23FA5FE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73CEDB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5777668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1AA64B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78B7A94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38E5070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454B0D9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6E79C186" w14:textId="77777777" w:rsidTr="005304A6">
        <w:trPr>
          <w:trHeight w:val="321"/>
        </w:trPr>
        <w:tc>
          <w:tcPr>
            <w:tcW w:w="3080" w:type="dxa"/>
            <w:tcBorders>
              <w:top w:val="nil"/>
              <w:left w:val="nil"/>
              <w:bottom w:val="nil"/>
              <w:right w:val="nil"/>
            </w:tcBorders>
            <w:shd w:val="clear" w:color="auto" w:fill="auto"/>
            <w:noWrap/>
          </w:tcPr>
          <w:p w14:paraId="2C84F675" w14:textId="688ED433"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Dalaie et al., 2021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10.1186/s40510-021-00362-8","ISSN":"2196-1042","author":[{"dropping-particle":"","family":"Dalaie","given":"Kazem","non-dropping-particle":"","parse-names":false,"suffix":""},{"dropping-particle":"","family":"Fatemi","given":"Seyyed Mostafa","non-dropping-particle":"","parse-names":false,"suffix":""},{"dropping-particle":"","family":"Ghaffari","given":"Samin","non-dropping-particle":"","parse-names":false,"suffix":""}],"container-title":"Progress in Orthodontics","id":"ITEM-1","issue":"1","issued":{"date-parts":[["2021","12","28"]]},"page":"15","title":"Dynamic mechanical and thermal properties of clear aligners after thermoforming and aging","type":"article-journal","volume":"22"},"uris":["http://www.mendeley.com/documents/?uuid=0a28eef6-594a-42f4-a3ac-97f8ca8de6ba"]}],"mendeley":{"formattedCitation":"[77]","plainTextFormattedCitation":"[77]","previouslyFormattedCitation":"[77]"},"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lang w:val="de-CH"/>
              </w:rPr>
              <w:t>[77]</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03EFB48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1DEC961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18462F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tcPr>
          <w:p w14:paraId="578F3D4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2D2ED23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78445B4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716DB86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194962D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2F6207A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5ECC964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69AE820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66C01F8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7385C8E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62.5</w:t>
            </w:r>
          </w:p>
        </w:tc>
      </w:tr>
      <w:tr w:rsidR="007D5124" w:rsidRPr="000B22C8" w14:paraId="11AAC828" w14:textId="77777777" w:rsidTr="005304A6">
        <w:trPr>
          <w:trHeight w:val="321"/>
        </w:trPr>
        <w:tc>
          <w:tcPr>
            <w:tcW w:w="3080" w:type="dxa"/>
            <w:tcBorders>
              <w:top w:val="nil"/>
              <w:left w:val="nil"/>
              <w:bottom w:val="nil"/>
              <w:right w:val="nil"/>
            </w:tcBorders>
            <w:shd w:val="clear" w:color="auto" w:fill="auto"/>
            <w:noWrap/>
            <w:hideMark/>
          </w:tcPr>
          <w:p w14:paraId="50023015" w14:textId="3516C8BB"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Daniele et al., 2020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{"citationItems":[{"id":"ITEM-1","itemData":{"DOI":"10.3390/ma13102386","ISSN":"1996-1944","abstract":"Invisible orthodontic aligners (IOAs) have been introduced in the orthodontic field as an innovative alternative for fixed brackets, in relation to their ability to be easily inserted/removed from the oral cavity without affecting the chewing ability and the aesthetic of the patients. The paper provides a complete physicochemical and mechanical characterization of thermoplastic materials in the form of disks used for commercial IOAs. A wide palette of specific techniques is considered, from tensile tests and dynamic-mechanical analysis, to X-Ray diffraction (XRD), differential scanning calorimetry (DSC), Fourier transformation infrared spectroscopy (FTIR-ATR) analyses and water absorption tests. The disks are investigated before and after immersion into staining beverages (red wine, coffee, nicotine and artificial saliva), in terms of colour variations, transparency, and microscopic surface modifications by means of colorimetry, UV-VIS absorbance and scanning electron microscopy (SEM). Among all the samples, polyurethane (PU) exhibited the highest crystallinity and the highest values of mechanical and thermal resistance, while the poly(ethylene terephthalate)-glycol (PETG) samples presented better transparency and less ability to absorb water. Moreover, red wine and coffee give noticeable colour variations after 14 days of immersion, together with a slight reduction of transparency.","author":[{"dropping-particle":"","family":"Daniele","given":"Valeria","non-dropping-particle":"","parse-names":false,"suffix":""},{"dropping-particle":"","family":"Macera","given":"Ludovico","non-dropping-particle":"","parse-names":false,"suffix":""},{"dropping-particle":"","family":"Taglieri","given":"Giuliana","non-dropping-particle":"","parse-names":false,"suffix":""},{"dropping-particle":"","family":"Giambattista","given":"Alessandra","non-dropping-particle":"Di","parse-names":false,"suffix":""},{"dropping-particle":"","family":"Spagnoli","given":"Giuseppe","non-dropping-particle":"","parse-names":false,"suffix":""},{"dropping-particle":"","family":"Massaria","given":"Alessandra","non-dropping-particle":"","parse-names":false,"suffix":""},{"dropping-particle":"","family":"Messori","given":"Massimo","non-dropping-particle":"","parse-names":false,"suffix":""},{"dropping-particle":"","family":"Quagliarini","given":"Enrico","non-dropping-particle":"","parse-names":false,"suffix":""},{"dropping-particle":"","family":"Chiappini","given":"Gianluca","non-dropping-particle":"","parse-names":false,"suffix":""},{"dropping-particle":"","family":"Campanella","given":"Vincenzo","non-dropping-particle":"","parse-names":false,"suffix":""},{"dropping-particle":"","family":"Mummolo","given":"Stefano","non-dropping-particle":"","parse-names":false,"suffix":""},{"dropping-particle":"","family":"Marchetti","given":"Enrico","non-dropping-particle":"","parse-names":false,"suffix":""},{"dropping-particle":"","family":"Marzo","given":"Giuseppe","non-dropping-particle":"","parse-names":false,"suffix":""},{"dropping-particle":"","family":"Quinzi","given":"Vincenzo","non-dropping-particle":"","parse-names":false,"suffix":""}],"container-title":"Materials","id":"ITEM-1","issue":"10","issued":{"date-parts":[["2020","5","22"]]},"page":"2386","title":"Thermoplastic Disks Used for Commercial Orthodontic Aligners: Complete Physicochemical and Mechanical Characterization","type":"article-journal","volume":"13"},"uris":["http://www.mendeley.com/documents/?uuid=4f82c4ee-7e02-4ef2-ad48-80c86b0bd025"]}],"mendeley":{"formattedCitation":"[25]","plainTextFormattedCitation":"[25]","previouslyFormattedCitation":"[25]"},"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[25]</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7EFB7FF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16883D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7195AA3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15AED54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hideMark/>
          </w:tcPr>
          <w:p w14:paraId="6F3980C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0C0E26A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15EE0F9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68D9DB4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8BE9D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13A33AE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7818630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5A9CB21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48697B4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50803388" w14:textId="77777777" w:rsidTr="005304A6">
        <w:trPr>
          <w:trHeight w:val="321"/>
        </w:trPr>
        <w:tc>
          <w:tcPr>
            <w:tcW w:w="3080" w:type="dxa"/>
            <w:tcBorders>
              <w:top w:val="nil"/>
              <w:left w:val="nil"/>
              <w:bottom w:val="nil"/>
              <w:right w:val="nil"/>
            </w:tcBorders>
            <w:shd w:val="clear" w:color="auto" w:fill="auto"/>
            <w:noWrap/>
            <w:hideMark/>
          </w:tcPr>
          <w:p w14:paraId="5FCD61F3" w14:textId="4382FEC6"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Daniele et al., 2021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{"citationItems":[{"id":"ITEM-1","itemData":{"DOI":"10.3390/polym14010014","ISSN":"2073-4360 (Electronic)","PMID":"35012036","abstract":"It is difficult to find research papers collecting comparative results about  characterization studies of clear aligners. Therefore, the aim of this paper is to provide the first comparative analysis of most commercial clear aligners, in terms of their stability towards intra-oral staining agents, their physicochemical and optical properties, as well as their water absorption behavior. Five types of aligners, characterized by different techniques, are considered: Erkodur, Essix Plastic, Ghost Aligner, Zendura, and Invisalign. The obtained results show that clear aligners are made up of PETG, semi rigid PU, and a mixture of PU and PETG, with different degrees of crystallinity which affect the transparency of each aligner. In particular, the PETG-based materials reveal the highest value of short-range order and the highest properties in terms of transparency in the visible range. After 14 days of immersion into red wine and coffee, PETG and PU-based aligners reveal a perceivable change in color (NBS values from 1.5 to 3), corresponding to a loss of transparency due to the deposition of impurities on the surface. These results are particularly marked for Invisalign, showing changes towards other colors (NBS up to 35), probably due to the thermoforming process which led to the formation of a wrinkled surface entrapping the impurities.","author":[{"dropping-particle":"","family":"Daniele","given":"Valeria","non-dropping-particle":"","parse-names":false,"suffix":""},{"dropping-particle":"","family":"Macera","given":"Ludovico","non-dropping-particle":"","parse-names":false,"suffix":""},{"dropping-particle":"","family":"Taglieri","given":"Giuliana","non-dropping-particle":"","parse-names":false,"suffix":""},{"dropping-particle":"","family":"Spera","given":"Loredana","non-dropping-particle":"","parse-names":false,"suffix":""},{"dropping-particle":"","family":"Marzo","given":"Giuseppe","non-dropping-particle":"","parse-names":false,"suffix":""},{"dropping-particle":"","family":"Quinzi","given":"Vincenzo","non-dropping-particle":"","parse-names":false,"suffix":""}],"container-title":"Polymers","id":"ITEM-1","issue":"1","issued":{"date-parts":[["2021","12"]]},"language":"eng","publisher-place":"Switzerland","title":"Color Stability, Chemico-Physical and Optical Features of the Most Common PETG  and PU Based Orthodontic Aligners for Clear Aligner Therapy.","type":"article-journal","volume":"14"},"uris":["http://www.mendeley.com/documents/?uuid=ef0c18be-510b-420f-9593-d3ee9a0dc982"]}],"mendeley":{"formattedCitation":"[26]","plainTextFormattedCitation":"[26]","previouslyFormattedCitation":"[26]"},"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[26]</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653382B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04298AD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8C0C32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260AC5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hideMark/>
          </w:tcPr>
          <w:p w14:paraId="064574F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31A402D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C0CC76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14B364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D6D222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2EC2D6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39F712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112" w:type="dxa"/>
            <w:tcBorders>
              <w:top w:val="nil"/>
              <w:left w:val="nil"/>
              <w:bottom w:val="nil"/>
              <w:right w:val="nil"/>
            </w:tcBorders>
            <w:shd w:val="clear" w:color="auto" w:fill="auto"/>
            <w:noWrap/>
            <w:hideMark/>
          </w:tcPr>
          <w:p w14:paraId="16C5128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2165913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41.7</w:t>
            </w:r>
          </w:p>
        </w:tc>
      </w:tr>
      <w:tr w:rsidR="007D5124" w:rsidRPr="000B22C8" w14:paraId="23167329" w14:textId="77777777" w:rsidTr="005304A6">
        <w:trPr>
          <w:trHeight w:val="321"/>
        </w:trPr>
        <w:tc>
          <w:tcPr>
            <w:tcW w:w="3080" w:type="dxa"/>
            <w:tcBorders>
              <w:top w:val="nil"/>
              <w:left w:val="nil"/>
              <w:bottom w:val="nil"/>
              <w:right w:val="nil"/>
            </w:tcBorders>
            <w:shd w:val="clear" w:color="auto" w:fill="auto"/>
            <w:noWrap/>
            <w:hideMark/>
          </w:tcPr>
          <w:p w14:paraId="6145D8B9" w14:textId="01B761E2"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lastRenderedPageBreak/>
              <w:t xml:space="preserve">Domingo-Jiménez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10.1093/ejo/cjae047","ISSN":"0141-5387","author":[{"dropping-particle":"","family":"Domingo-Jiménez","given":"Teresa","non-dropping-particle":"","parse-names":false,"suffix":""},{"dropping-particle":"","family":"González-Olmo","given":"María José","non-dropping-particle":"","parse-names":false,"suffix":""},{"dropping-particle":"","family":"Nieto-Moraleda","given":"Carolina","non-dropping-particle":"","parse-names":false,"suffix":""},{"dropping-particle":"","family":"Pérez-Chicharro","given":"María","non-dropping-particle":"","parse-names":false,"suffix":""},{"dropping-particle":"","family":"Romero-Maroto","given":"Martin","non-dropping-particle":"","parse-names":false,"suffix":""}],"container-title":"European Journal of Orthodontics","id":"ITEM-1","issue":"5","issued":{"date-parts":[["2024","10","1"]]},"title":"Colourimetric changes experienced in three types of aligners according to the L’Eclairage Commission","type":"article-journal","volume":"46"},"uris":["http://www.mendeley.com/documents/?uuid=c9db5d84-4358-4d15-9d56-3d450dc30ba3"]}],"mendeley":{"formattedCitation":"[27]","plainTextFormattedCitation":"[27]","previouslyFormattedCitation":"[27]"},"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[27]</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4F9815C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887AA8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7A63BA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2F4B9FD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033F754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34825EB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427" w:type="dxa"/>
            <w:tcBorders>
              <w:top w:val="nil"/>
              <w:left w:val="nil"/>
              <w:bottom w:val="nil"/>
              <w:right w:val="nil"/>
            </w:tcBorders>
            <w:shd w:val="clear" w:color="auto" w:fill="auto"/>
            <w:noWrap/>
            <w:hideMark/>
          </w:tcPr>
          <w:p w14:paraId="0879328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2C93786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307EAC5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25" w:type="dxa"/>
            <w:tcBorders>
              <w:top w:val="nil"/>
              <w:left w:val="nil"/>
              <w:bottom w:val="nil"/>
              <w:right w:val="nil"/>
            </w:tcBorders>
            <w:shd w:val="clear" w:color="auto" w:fill="auto"/>
            <w:noWrap/>
            <w:hideMark/>
          </w:tcPr>
          <w:p w14:paraId="06A70DF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51CF1CE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119402B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7639D11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87.5</w:t>
            </w:r>
          </w:p>
        </w:tc>
      </w:tr>
      <w:tr w:rsidR="007D5124" w:rsidRPr="000B22C8" w14:paraId="38C7D53E" w14:textId="77777777" w:rsidTr="005304A6">
        <w:trPr>
          <w:trHeight w:val="321"/>
        </w:trPr>
        <w:tc>
          <w:tcPr>
            <w:tcW w:w="3080" w:type="dxa"/>
            <w:tcBorders>
              <w:top w:val="nil"/>
              <w:left w:val="nil"/>
              <w:bottom w:val="nil"/>
              <w:right w:val="nil"/>
            </w:tcBorders>
            <w:shd w:val="clear" w:color="auto" w:fill="auto"/>
            <w:noWrap/>
            <w:hideMark/>
          </w:tcPr>
          <w:p w14:paraId="2F4CBAA5" w14:textId="7D31EC33"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Elkholy et al., 2023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10.1007/s00056-021-00364-5","ISSN":"1434-5293","author":[{"dropping-particle":"","family":"Elkholy","given":"Fayez","non-dropping-particle":"","parse-names":false,"suffix":""},{"dropping-particle":"","family":"Schmidt","given":"Silva","non-dropping-particle":"","parse-names":false,"suffix":""},{"dropping-particle":"","family":"Schmidt","given":"Falko","non-dropping-particle":"","parse-names":false,"suffix":""},{"dropping-particle":"","family":"Amirkhani","given":"Masoud","non-dropping-particle":"","parse-names":false,"suffix":""},{"dropping-particle":"","family":"Lapatki","given":"Bernd G.","non-dropping-particle":"","parse-names":false,"suffix":""}],"container-title":"Journal of Orofacial Orthopedics / Fortschritte der Kieferorthopädie","id":"ITEM-1","issue":"3","issued":{"date-parts":[["2023","5","9"]]},"page":"189-201","title":"Force decay of polyethylene terephthalate glycol aligner materials during simulation of typical clinical loading/unloading scenarios","type":"article-journal","volume":"84"},"uris":["http://www.mendeley.com/documents/?uuid=57441fc7-4126-4a95-aca6-0dff9706dfa8"]}],"mendeley":{"formattedCitation":"[90]","plainTextFormattedCitation":"[90]","previouslyFormattedCitation":"[89]"},"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[90]</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DA1221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9A661A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69" w:type="dxa"/>
            <w:tcBorders>
              <w:top w:val="nil"/>
              <w:left w:val="nil"/>
              <w:bottom w:val="nil"/>
              <w:right w:val="nil"/>
            </w:tcBorders>
            <w:shd w:val="clear" w:color="auto" w:fill="auto"/>
            <w:noWrap/>
            <w:hideMark/>
          </w:tcPr>
          <w:p w14:paraId="1EFD9A4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0213DE9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4F4E65E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0DA800C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0131883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64435DE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775478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39469DC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51EAB0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6495564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01B0C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3F100600" w14:textId="77777777" w:rsidTr="005304A6">
        <w:trPr>
          <w:trHeight w:val="321"/>
        </w:trPr>
        <w:tc>
          <w:tcPr>
            <w:tcW w:w="3080" w:type="dxa"/>
            <w:tcBorders>
              <w:top w:val="nil"/>
              <w:left w:val="nil"/>
              <w:bottom w:val="nil"/>
              <w:right w:val="nil"/>
            </w:tcBorders>
            <w:shd w:val="clear" w:color="auto" w:fill="auto"/>
            <w:noWrap/>
          </w:tcPr>
          <w:p w14:paraId="654C7626" w14:textId="3A89190C"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Elshazly et al., 2023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{"citationItems":[{"id":"ITEM-1","itemData":{"DOI":"10.1016/j.jmbbm.2023.105911","ISSN":"17516161","author":[{"dropping-particle":"","family":"Elshazly","given":"Tarek M.","non-dropping-particle":"","parse-names":false,"suffix":""},{"dropping-particle":"","family":"Nang","given":"Diva","non-dropping-particle":"","parse-names":false,"suffix":""},{"dropping-particle":"","family":"Golkhani","given":"Bijan","non-dropping-particle":"","parse-names":false,"suffix":""},{"dropping-particle":"","family":"Elattar","given":"Hanaa","non-dropping-particle":"","parse-names":false,"suffix":""},{"dropping-particle":"","family":"Keilig","given":"Ludger","non-dropping-particle":"","parse-names":false,"suffix":""},{"dropping-particle":"","family":"Bourauel","given":"Christoph","non-dropping-particle":"","parse-names":false,"suffix":""}],"container-title":"Journal of the Mechanical Behavior of Biomedical Materials","id":"ITEM-1","issued":{"date-parts":[["2023","7"]]},"page":"105911","title":"Effect of thermomechanical aging of orthodontic aligners on force and torque generation: An in vitro study","type":"article-journal","volume":"143"},"uris":["http://www.mendeley.com/documents/?uuid=ef7484ed-033a-4740-bde4-358c47b8388f"]}],"mendeley":{"formattedCitation":"[81]","plainTextFormattedCitation":"[81]","previouslyFormattedCitation":"[81]"},"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[81]</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415D8CB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3CEBF41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42FFE54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tcPr>
          <w:p w14:paraId="6E0AD2B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3042AA1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08843F0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tcPr>
          <w:p w14:paraId="5473918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70A24CD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1D6AD6C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26BE881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7678384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7D146FD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14132F7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70.8</w:t>
            </w:r>
          </w:p>
        </w:tc>
      </w:tr>
      <w:tr w:rsidR="007D5124" w:rsidRPr="000B22C8" w14:paraId="511185B8" w14:textId="77777777" w:rsidTr="005304A6">
        <w:trPr>
          <w:trHeight w:val="321"/>
        </w:trPr>
        <w:tc>
          <w:tcPr>
            <w:tcW w:w="3080" w:type="dxa"/>
            <w:tcBorders>
              <w:top w:val="nil"/>
              <w:left w:val="nil"/>
              <w:bottom w:val="nil"/>
              <w:right w:val="nil"/>
            </w:tcBorders>
            <w:shd w:val="clear" w:color="auto" w:fill="auto"/>
            <w:noWrap/>
          </w:tcPr>
          <w:p w14:paraId="64C302D1" w14:textId="6F7DACB3"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Elshazly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{"citationItems":[{"id":"ITEM-1","itemData":{"DOI":"10.1111/ocr.12825","ISSN":"1601-6335","author":[{"dropping-particle":"","family":"Elshazly","given":"Tarek M.","non-dropping-particle":"","parse-names":false,"suffix":""},{"dropping-particle":"","family":"Bourauel","given":"Christoph","non-dropping-particle":"","parse-names":false,"suffix":""},{"dropping-particle":"","family":"Ismail","given":"Ahmed M.","non-dropping-particle":"","parse-names":false,"suffix":""},{"dropping-particle":"","family":"Ghoraba","given":"Omar","non-dropping-particle":"","parse-names":false,"suffix":""},{"dropping-particle":"","family":"Chavanne","given":"Philippe","non-dropping-particle":"","parse-names":false,"suffix":""},{"dropping-particle":"","family":"Elattar","given":"Hanaa","non-dropping-particle":"","parse-names":false,"suffix":""},{"dropping-particle":"","family":"Alhotan","given":"Abdulaziz","non-dropping-particle":"","parse-names":false,"suffix":""}],"container-title":"Orthodontics &amp; Craniofacial Research","id":"ITEM-1","issue":"S2","issued":{"date-parts":[["2024","12","18"]]},"page":"113-119","title":"Effect of thermomechanical ageing on force transmission by orthodontic aligners made of different thermoformed materials: An experimental study","type":"article-journal","volume":"27"},"uris":["http://www.mendeley.com/documents/?uuid=8f9dd8e3-bda7-419d-9f48-23bdc660a4e4"]}],"mendeley":{"formattedCitation":"[10]","plainTextFormattedCitation":"[10]","previouslyFormattedCitation":"[10]"},"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[10]</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284FFD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1FBAB90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tcPr>
          <w:p w14:paraId="59585D3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tcPr>
          <w:p w14:paraId="2DFCD88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tcPr>
          <w:p w14:paraId="580A985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298231E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tcPr>
          <w:p w14:paraId="02C0E93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3DBEF62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61F74C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674A629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2BB5EA7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7CF0B15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38D150B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6D0F9329" w14:textId="77777777" w:rsidTr="005304A6">
        <w:trPr>
          <w:trHeight w:val="321"/>
        </w:trPr>
        <w:tc>
          <w:tcPr>
            <w:tcW w:w="3080" w:type="dxa"/>
            <w:tcBorders>
              <w:top w:val="nil"/>
              <w:left w:val="nil"/>
              <w:bottom w:val="nil"/>
              <w:right w:val="nil"/>
            </w:tcBorders>
            <w:shd w:val="clear" w:color="auto" w:fill="auto"/>
            <w:noWrap/>
            <w:hideMark/>
          </w:tcPr>
          <w:p w14:paraId="2843C182" w14:textId="03098FEA"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Elshazly et al., 2025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{"citationItems":[{"id":"ITEM-1","itemData":{"DOI":"10.1007/s00056-024-00527-0","ISSN":"1434-5293","author":[{"dropping-particle":"","family":"Elshazly","given":"Tarek M.","non-dropping-particle":"","parse-names":false,"suffix":""},{"dropping-particle":"","family":"Keilig","given":"Ludger","non-dropping-particle":"","parse-names":false,"suffix":""},{"dropping-particle":"","family":"Nang","given":"Diva","non-dropping-particle":"","parse-names":false,"suffix":""},{"dropping-particle":"","family":"Golkhani","given":"Bijan","non-dropping-particle":"","parse-names":false,"suffix":""},{"dropping-particle":"","family":"Weber","given":"Anna","non-dropping-particle":"","parse-names":false,"suffix":""},{"dropping-particle":"","family":"Elattar","given":"Hanaa","non-dropping-particle":"","parse-names":false,"suffix":""},{"dropping-particle":"","family":"Talaat","given":"Sameh","non-dropping-particle":"","parse-names":false,"suffix":""},{"dropping-particle":"","family":"Bourauel","given":"Christoph","non-dropping-particle":"","parse-names":false,"suffix":""}],"container-title":"Journal of Orofacial Orthopedics / Fortschritte der Kieferorthopädie","id":"ITEM-1","issue":"5","issued":{"date-parts":[["2025","9","23"]]},"page":"337-346","title":"Effect of thermomechanical aging on force system of orthodontic aligners made of different thermoformed materials","type":"article-journal","volume":"86"},"uris":["http://www.mendeley.com/documents/?uuid=86bea927-4ede-4475-9a14-2a26657efe39"]}],"mendeley":{"formattedCitation":"[11]","plainTextFormattedCitation":"[11]","previouslyFormattedCitation":"[11]"},"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[11]</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4A634DA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EA6C6B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3F21A25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000" w:type="dxa"/>
            <w:tcBorders>
              <w:top w:val="nil"/>
              <w:left w:val="nil"/>
              <w:bottom w:val="nil"/>
              <w:right w:val="nil"/>
            </w:tcBorders>
            <w:shd w:val="clear" w:color="auto" w:fill="auto"/>
            <w:noWrap/>
            <w:hideMark/>
          </w:tcPr>
          <w:p w14:paraId="085E7B6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2BB068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99C063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61A730D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66097F2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1560976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359BEF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3A503D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360A29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1D4B4E8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2DB5A96C" w14:textId="77777777" w:rsidTr="005304A6">
        <w:trPr>
          <w:trHeight w:val="321"/>
        </w:trPr>
        <w:tc>
          <w:tcPr>
            <w:tcW w:w="3080" w:type="dxa"/>
            <w:tcBorders>
              <w:top w:val="nil"/>
              <w:left w:val="nil"/>
              <w:bottom w:val="nil"/>
              <w:right w:val="nil"/>
            </w:tcBorders>
            <w:shd w:val="clear" w:color="auto" w:fill="auto"/>
            <w:noWrap/>
            <w:hideMark/>
          </w:tcPr>
          <w:p w14:paraId="098D861B" w14:textId="3571F88A"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Fang et al., 2013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10.4012/dmj.2013-131","ISSN":"0287-4547","PMID":"24240895","author":[{"dropping-particle":"","family":"Fang","given":"Dongyu","non-dropping-particle":"","parse-names":false,"suffix":""},{"dropping-particle":"","family":"Zhang","given":"Ning","non-dropping-particle":"","parse-names":false,"suffix":""},{"dropping-particle":"","family":"Chen","given":"Hui","non-dropping-particle":"","parse-names":false,"suffix":""},{"dropping-particle":"","family":"Bai","given":"Yuxing","non-dropping-particle":"","parse-names":false,"suffix":""}],"container-title":"Dental Materials Journal","id":"ITEM-1","issue":"6","issued":{"date-parts":[["2013"]]},"page":"946-951","title":"Dynamic stress relaxation of orthodontic thermoplastic materials in a simulated oral environment","type":"article-journal","volume":"32"},"uris":["http://www.mendeley.com/documents/?uuid=596c2249-f202-40e2-946a-eeefe5a4be17"]}],"mendeley":{"formattedCitation":"[38]","plainTextFormattedCitation":"[38]","previouslyFormattedCitation":"[38]"},"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[38]</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55E77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640ECA1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266CD9C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38EAC0C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20F2F30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3613D3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647718C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47FDD53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6FEA94A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1555781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AEC4DB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266F278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114C0DA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55DBABFD" w14:textId="77777777" w:rsidTr="005304A6">
        <w:trPr>
          <w:trHeight w:val="321"/>
        </w:trPr>
        <w:tc>
          <w:tcPr>
            <w:tcW w:w="3080" w:type="dxa"/>
            <w:tcBorders>
              <w:top w:val="nil"/>
              <w:left w:val="nil"/>
              <w:bottom w:val="nil"/>
              <w:right w:val="nil"/>
            </w:tcBorders>
            <w:shd w:val="clear" w:color="auto" w:fill="auto"/>
            <w:noWrap/>
            <w:hideMark/>
          </w:tcPr>
          <w:p w14:paraId="2D316C94" w14:textId="12C467B8"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Fidan &amp; </w:t>
            </w:r>
            <w:proofErr w:type="spellStart"/>
            <w:r w:rsidRPr="000B22C8">
              <w:rPr>
                <w:rFonts w:asciiTheme="minorBidi" w:eastAsia="Times New Roman" w:hAnsiTheme="minorBidi"/>
                <w:color w:val="000000"/>
                <w:kern w:val="0"/>
                <w:sz w:val="16"/>
                <w:szCs w:val="16"/>
                <w14:ligatures w14:val="none"/>
              </w:rPr>
              <w:t>Gelgor</w:t>
            </w:r>
            <w:proofErr w:type="spellEnd"/>
            <w:r w:rsidRPr="000B22C8">
              <w:rPr>
                <w:rFonts w:asciiTheme="minorBidi" w:eastAsia="Times New Roman" w:hAnsiTheme="minorBidi"/>
                <w:color w:val="000000"/>
                <w:kern w:val="0"/>
                <w:sz w:val="16"/>
                <w:szCs w:val="16"/>
                <w14:ligatures w14:val="none"/>
              </w:rPr>
              <w:t xml:space="preserve">, 2026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{"citationItems":[{"id":"ITEM-1","itemData":{"DOI":"10.2319/011325-50.1","ISSN":"0003-3219","PMID":"41015424","abstract":"The aim of this study was to evaluate the effect of aging and mechanical brushing on the color stability and translucency of three-dimensionally (3D) printed and thermoformed transparent aligners (clear aligners [CAs]) of different thicknesses.ObjectivesThe aim of this study was to evaluate the effect of aging and mechanical brushing on the color stability and translucency of three-dimensionally (3D) printed and thermoformed transparent aligners (clear aligners [CAs]) of different thicknesses.Three types of CAs (Dentsply Sirona Essix [Group 1], Scheu-Dental Thermoforming Foils [Group 2], and 3D-printed Nexdent [Group 3]) in two thicknesses (0.75 mm and 1.0 mm) were used. Each group was divided into cleaned and noncleaned subgroups (n = 10). Samples were aged in artificial saliva and subjected to mechanical brushing. Color differences (ΔE00) and relative translucency parameter values (RTP00) were recorded at 1-week intervals over 4 weeks. Statistical analyses included generalized linear models and repeated measures analyses of variance (ANOVAs) for normally distributed parameters, and robust ANOVAs and Friedman tests for nonnormally distributed parameters (P &lt; .05).Materials and MethodsThree types of CAs (Dentsply Sirona Essix [Group 1], Scheu-Dental Thermoforming Foils [Group 2], and 3D-printed Nexdent [Group 3]) in two thicknesses (0.75 mm and 1.0 mm) were used. Each group was divided into cleaned and noncleaned subgroups (n = 10). Samples were aged in artificial saliva and subjected to mechanical brushing. Color differences (ΔE00) and relative translucency parameter values (RTP00) were recorded at 1-week intervals over 4 weeks. Statistical analyses included generalized linear models and repeated measures analyses of variance (ANOVAs) for normally distributed parameters, and robust ANOVAs and Friedman tests for nonnormally distributed parameters (P &lt; .05).Group 1 had the highest mean RTP00 values, while Group 3 had the lowest mean RTP00 values. Noncleaned CAs exhibited higher RTP00 values than cleaned CAs (P &lt; .05). RTP00 values decreased significantly over time, with Group 3 showing notable differences between cleaned and noncleaned subgroups. Thinner materials (0.75 mm) displayed greater color changes than thicker ones (1 mm).ResultsGroup 1 had the highest mean RTP00 values, while Group 3 had the lowest mean RTP00 values. Noncleaned CAs exhibited higher RTP00 values than cleaned CAs (P &lt; .05). RTP00 values decreased significantly over time, with Grou…","author":[{"dropping-particle":"","family":"Fidan","given":"Muhammet","non-dropping-particle":"","parse-names":false,"suffix":""},{"dropping-particle":"","family":"Gelgor","given":"Ibrahim Erhan","non-dropping-particle":"","parse-names":false,"suffix":""}],"container-title":"The Angle orthodontist","id":"ITEM-1","issue":"1","issued":{"date-parts":[["2025","8","14"]]},"language":"English","note":"From Duplicate 1 (Effect of aging and mechanical brushing on color stability and translucency of three-dimensionally printed and thermoformed aligners of different thicknesses - Fidan, Muhammet; Gelgor, Ibrahim Erhan)\n\nDate completed - 2025-12-17\n\nDate created - 2025-09-27\n\nPublication note - Electronic\n\nSuppNotes - Indexing method: Automated\n\nLast updated - 2025-12-31\n\nFrom Duplicate 3 (Effect of aging and mechanical brushing on color stability and translucency of three-dimensionally printed and thermoformed aligners of different thicknesses - Fidan, M; Gelgor, I E)\n\nTimes Cited in Web of Science Core Collection: 0\nTotal Times Cited: 0\nCited Reference Count: 35\n\nFrom Duplicate 4 (Effect of aging and mechanical brushing on color stability and translucency of three-dimensionally printed and thermoformed aligners of different thicknesses - Fidan, M; Gelgor, I E)\n\nExport Date: 18 March 2026","page":"83-92","publisher-place":"Usak Univ, Fac Dent, Dept Restorat Dent, Usak, Turkiye, United States","title":"Effect of aging and mechanical brushing on color stability and translucency of three-dimensionally printed and thermoformed aligners of different thicknesses","type":"article-journal","volume":"96"},"uris":["http://www.mendeley.com/documents/?uuid=3154ffa9-ca09-42a9-a7d6-c4b91cb7c26e"]}],"mendeley":{"formattedCitation":"[66]","plainTextFormattedCitation":"[66]","previouslyFormattedCitation":"[66]"},"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[66]</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5C1F232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3194BAF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31D5F5E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7847FDD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7CE1967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556352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07424F5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5E9C62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44634C9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307EEE5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108A482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23FE39F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B0264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0C02026B" w14:textId="77777777" w:rsidTr="005304A6">
        <w:trPr>
          <w:trHeight w:val="321"/>
        </w:trPr>
        <w:tc>
          <w:tcPr>
            <w:tcW w:w="3080" w:type="dxa"/>
            <w:tcBorders>
              <w:top w:val="nil"/>
              <w:left w:val="nil"/>
              <w:bottom w:val="nil"/>
              <w:right w:val="nil"/>
            </w:tcBorders>
            <w:shd w:val="clear" w:color="auto" w:fill="auto"/>
            <w:noWrap/>
            <w:hideMark/>
          </w:tcPr>
          <w:p w14:paraId="6761DC9A" w14:textId="092D5F2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Galisteu</w:t>
            </w:r>
            <w:proofErr w:type="spellEnd"/>
            <w:r w:rsidRPr="000B22C8">
              <w:rPr>
                <w:rFonts w:asciiTheme="minorBidi" w:eastAsia="Times New Roman" w:hAnsiTheme="minorBidi"/>
                <w:color w:val="000000"/>
                <w:kern w:val="0"/>
                <w:sz w:val="16"/>
                <w:szCs w:val="16"/>
                <w14:ligatures w14:val="none"/>
              </w:rPr>
              <w:t xml:space="preserve">-Luiz et al., 2026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{"citationItems":[{"id":"ITEM-1","itemData":{"DOI":"https://doi.org/10.1007/s00784-025-06720-8","ISSN":"14326981","abstract":"ObjectivesThis study aims to evaluate the impact of cigarette smoke on Invisalign® aligners in surface roughness, bacterial adherence rates, pH changes and multispecies biofilm formation after exposure. Materials and MethodsSeventy-two flat samples of growth (G1), sterility (G2), saliva (G3), and smoke (G4) groups were exposed to artificial saliva, and G4 underwent 21 cycles of smoke. Linear roughness (Ra) and average depth (Rz) were assessed before and after saliva (G3.1) and smoke (G4.1) exposure. Independent and paired t-tests compared measurements over 5 days of evaluation [biofilm, microorganisms (CFU/mL), pH, and volumetric surface roughness (Sa)], measurements were taken before (T0) and after (T1) exposure to saliva and cigarette smoke.ResultsIncreased roughness post-exposure to cigarette smoke Ra (p = 0.003) and Rz (p = 0.014) in G4.1 at T1 (p = 0.046), and higher roughness over time (Ra: 0.139 ± 0.007; Rz: 0.741 ± 0.026), unlike G3.1 (Ra: 0.122 ± 0.002; Rz: 0.616 ± 0.021). G1 had the highest CFU (8.57 × 108), significantly higher than the G4.2 (5.33 × 108) and G3.2 (2 × 108). From 24 to 96 h, pH in G4.2 (5.75) and G1 (4.45) showed slight decreases, G2 (6.76) and G3.2 (6.35) increased. G1 had the highest Sa (48.97 ± 14.19), compared to G2 (4.27 ± 1.14), G3 (7.60 ± 4.28), and G4 (13.98 ± 8.18).ConclusionsCigarette smoke exposure elevated surface roughness and enhanced bacterial adherence on aligners. Clinical Relevance: Reinforce smoking cessation and strict oral hygiene protocols for aligner-wearing patients. In vivo studies are warranted to confirm these findings.","author":[{"dropping-particle":"","family":"Galisteu-Luiz","given":"Kelly","non-dropping-particle":"","parse-names":false,"suffix":""},{"dropping-particle":"","family":"Mendonça Copello","given":"Flávio","non-dropping-particle":"de","parse-names":false,"suffix":""},{"dropping-particle":"","family":"Lorene de França Leite","given":"Karla","non-dropping-particle":"","parse-names":false,"suffix":""},{"dropping-particle":"","family":"Rocha Cavalcante","given":"Mylena","non-dropping-particle":"da","parse-names":false,"suffix":""},{"dropping-particle":"","family":"Ferreira Lira","given":"Larine","non-dropping-particle":"","parse-names":false,"suffix":""},{"dropping-particle":"","family":"Santos Silva","given":"Kenderson","non-dropping-particle":"","parse-names":false,"suffix":""},{"dropping-particle":"","family":"Pereira Martins","given":"Sarah","non-dropping-particle":"","parse-names":false,"suffix":""},{"dropping-particle":"","family":"Cristina Pinto da Costa","given":"Ingrid","non-dropping-particle":"","parse-names":false,"suffix":""},{"dropping-particle":"","family":"Drago Vidal","given":"Gabriela","non-dropping-particle":"","parse-names":false,"suffix":""},{"dropping-particle":"","family":"Nelson Elias","given":"Carlos","non-dropping-particle":"","parse-names":false,"suffix":""},{"dropping-particle":"","family":"Schubach da Costa Barreto","given":"Luísa","non-dropping-particle":"","parse-names":false,"suffix":""},{"dropping-particle":"","family":"Maria Gomes de Souza","given":"Margareth","non-dropping-particle":"","parse-names":false,"suffix":""}],"container-title":"Clinical Oral Investigations","id":"ITEM-1","issue":"1","issued":{"date-parts":[["2026","1"]]},"language":"English","note":"Copyright - © The Author(s) 2026. This work is published under http://creativecommons.org/licenses/by/4.0/ (the &amp;quot;License&amp;quot;). Notwithstanding the ProQuest Terms and Conditions, you may use this content in accordance with the terms of the License.\n\nLast updated - 2026-02-10\n\nSubjectsTermNotLitGenreText - United States--US; California; Brazil","page":"55","publisher":"Springer Nature B.V. PP  - Heidelberg","publisher-place":"Department of Orthodontics and Pediatric Dentistry, School of Dentistry, Universidade Federal do Rio de Janeiro (UFRJ), Rio de Janeiro, RJ, Brazil (ROR: https://ror.org/03490as77) (GRID: grid.8536.8) (ISNI: 0000 0001 2294 473X) ; Department of Orthodontic","title":"Effect of cigarette smoke on surface roughness and bacterial adhesion of orthodontic aligners: an in vitro investigation","type":"article-journal","volume":"30"},"uris":["http://www.mendeley.com/documents/?uuid=1f1141e7-6543-4983-9f3c-1e6562a2e0f6"]}],"mendeley":{"formattedCitation":"[67]","plainTextFormattedCitation":"[67]","previouslyFormattedCitation":"[67]"},"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[67]</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3058FC0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60C96A9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A0AF8B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01F4B13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233E726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DB8A05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1EEBBA7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238" w:type="dxa"/>
            <w:tcBorders>
              <w:top w:val="nil"/>
              <w:left w:val="nil"/>
              <w:bottom w:val="nil"/>
              <w:right w:val="nil"/>
            </w:tcBorders>
            <w:shd w:val="clear" w:color="auto" w:fill="auto"/>
            <w:noWrap/>
            <w:hideMark/>
          </w:tcPr>
          <w:p w14:paraId="545D3C0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17D589E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761737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73B2935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24CC4EB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4CF5C7E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83.3</w:t>
            </w:r>
          </w:p>
        </w:tc>
      </w:tr>
      <w:tr w:rsidR="007D5124" w:rsidRPr="000B22C8" w14:paraId="4B98A8C5" w14:textId="77777777" w:rsidTr="005304A6">
        <w:trPr>
          <w:trHeight w:val="321"/>
        </w:trPr>
        <w:tc>
          <w:tcPr>
            <w:tcW w:w="3080" w:type="dxa"/>
            <w:tcBorders>
              <w:top w:val="nil"/>
              <w:left w:val="nil"/>
              <w:bottom w:val="nil"/>
              <w:right w:val="nil"/>
            </w:tcBorders>
            <w:shd w:val="clear" w:color="auto" w:fill="auto"/>
            <w:noWrap/>
            <w:hideMark/>
          </w:tcPr>
          <w:p w14:paraId="44238A21" w14:textId="47BC50CD"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Goel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{"citationItems":[{"id":"ITEM-1","itemData":{"DOI":"10.21276/jamdsr","abstract":"Background: Utilization of clear aligners for orthodontic treatment has grown exponentially over the past decades.The aesthetic appeal of clear aligners is critical for patient satisfaction in orthodontic treatment. However, these aligners are occasionally stained due to the consumption of victuals in the Indian diet, demanding an analysis of their color stability. Hence, this study evaluates the color stability of two aligner materials when subjected to common Indian dietary liquids and artificial saliva. Aim &amp; Objectives: To compare the color stability of two different aligner materials when immersed in tea, coffee, orange juice, turmeric-based and artificial saliva based solutions. Methods: Two aligner materials were immersed in forementioned liquids for duration of two weeks. Color changes were quantified using a spectrophotometer before and after exposure. Data analysis was performed using bivariate analyses were performed using both Independent t-tests and paired t- tests to assess significant differences in color stability. Results: Our results revealed that after being subjected to staining agents such orange juice, tea, and coffee, PU aligners had significantly greater changes in color than PET-G aligners. After fortnight, notable color alterations became apparent with PET-G being more influenced by turmeric water and PU aligners being highly susceptible to coffee stains.Conclusion: Material selection is crucial in orthodontics, as dietary habits can influence the longevity and aesthetics of aligners. These results emphasize the need for further research into long-term effects and strategies to mitigate discoloration.","author":[{"dropping-particle":"","family":"Goel","given":"A","non-dropping-particle":"","parse-names":false,"suffix":""},{"dropping-particle":"","family":"Roychoudhury","given":"S","non-dropping-particle":"","parse-names":false,"suffix":""},{"dropping-particle":"","family":"Amit","given":"K","non-dropping-particle":"","parse-names":false,"suffix":""}],"container-title":"J Adv Med Dent Scie Res","id":"ITEM-1","issue":"10","issued":{"date-parts":[["2024"]]},"page":"83-51","title":"Color stability of two different aligner materials after exposure to different liquids used in Indian diet- An in vitro comparative study","type":"article-journal","volume":"12"},"uris":["http://www.mendeley.com/documents/?uuid=498b71d2-0536-40d9-99b2-1486fe851bac"]}],"mendeley":{"formattedCitation":"[54]","plainTextFormattedCitation":"[54]","previouslyFormattedCitation":"[54]"},"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[54]</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276E3D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69" w:type="dxa"/>
            <w:tcBorders>
              <w:top w:val="nil"/>
              <w:left w:val="nil"/>
              <w:bottom w:val="nil"/>
              <w:right w:val="nil"/>
            </w:tcBorders>
            <w:shd w:val="clear" w:color="auto" w:fill="auto"/>
            <w:noWrap/>
            <w:hideMark/>
          </w:tcPr>
          <w:p w14:paraId="461060E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7D61C8D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2B63D5C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300CE0C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88" w:type="dxa"/>
            <w:tcBorders>
              <w:top w:val="nil"/>
              <w:left w:val="nil"/>
              <w:bottom w:val="nil"/>
              <w:right w:val="nil"/>
            </w:tcBorders>
            <w:shd w:val="clear" w:color="auto" w:fill="auto"/>
            <w:noWrap/>
            <w:hideMark/>
          </w:tcPr>
          <w:p w14:paraId="7917EF9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264F174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433D954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2C958AE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7FFDC6C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45BEE5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4770B43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21" w:type="dxa"/>
            <w:tcBorders>
              <w:top w:val="nil"/>
              <w:left w:val="nil"/>
              <w:bottom w:val="nil"/>
              <w:right w:val="nil"/>
            </w:tcBorders>
            <w:shd w:val="clear" w:color="auto" w:fill="auto"/>
            <w:noWrap/>
            <w:hideMark/>
          </w:tcPr>
          <w:p w14:paraId="49BF512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41.7</w:t>
            </w:r>
          </w:p>
        </w:tc>
      </w:tr>
      <w:tr w:rsidR="007D5124" w:rsidRPr="000B22C8" w14:paraId="23F78FA8" w14:textId="77777777" w:rsidTr="005304A6">
        <w:trPr>
          <w:trHeight w:val="321"/>
        </w:trPr>
        <w:tc>
          <w:tcPr>
            <w:tcW w:w="3080" w:type="dxa"/>
            <w:tcBorders>
              <w:top w:val="nil"/>
              <w:left w:val="nil"/>
              <w:bottom w:val="nil"/>
              <w:right w:val="nil"/>
            </w:tcBorders>
            <w:shd w:val="clear" w:color="auto" w:fill="auto"/>
            <w:noWrap/>
            <w:hideMark/>
          </w:tcPr>
          <w:p w14:paraId="3A8F6D7A" w14:textId="7BA6272E"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14:ligatures w14:val="none"/>
              </w:rPr>
              <w:t xml:space="preserve">He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{"citationItems":[{"id":"ITEM-1","itemData":{"DOI":"10.1186/s12903-025-06225-6 WE  - Science Citation Index Expanded (SCI-EXPANDED)","ISSN":"1472-6831 J9  - BMC ORAL HEALTH JI  - BMC Oral Health","abstract":"Aesthetics play a crucial role in patients' choice of orthodontic clear aligners, as poor color stability can compromise their appearance during wear. This study aimed to evaluate the color and surface stability of different types of orthodontic clear aligners exposed to various concentrations of curcumin solutions in vitro. Four types of clear aligners (Invisalign, Angelalign, Spark, and Dreve), along with non-thermoformed Dreve film, were cut into 5 mm x 5 mm squares and immersed in curcumin solutions of different concentrations and a control solution. The concentrations were determined based on the curcumin content in curry. Anhydrous ethanol was used as the solvent, which may influence surface properties and color stability and partially simulating damage caused by alcohol consumption or bacterial metabolites. After immersion for 12 h and 7 days, the squares were ultrasonically cleaned, and color changes were measured using a colorimeter, then converted to National Bureau of Standards (NBS) units. Scanning electron microscopy (SEM) and atomic force microscopy (AFM) were used to observe surface characteristics before and after staining. After 12 h of immersion in 10 mu g/ml solutions, all samples except the Dreve film exhibited at least an \"Appreciable: marked change,\" with Angelalign showing a more pronounced color alteration. After 7 days of immersion, most materials displayed color changes ranging from \"Much: extremely marked change\" to \"Very much: change to other colors.\" Across all concentrations and time points, Invisalign aligners exhibited significantly higher Delta E* values than Dreve (P &lt; 0.05). Although SEM and AFM results were not entirely consistent, both indicated that PU-based aligners were more susceptible to surface morphology changes than PET-G-based aligners. Enhancing the aesthetic color stability of orthodontic materials could contribute to improved clinical outcomes.","author":[{"dropping-particle":"","family":"He","given":"K T","non-dropping-particle":"","parse-names":false,"suffix":""},{"dropping-particle":"","family":"Xu","given":"M J","non-dropping-particle":"","parse-names":false,"suffix":""},{"dropping-particle":"","family":"Liao","given":"W","non-dropping-particle":"","parse-names":false,"suffix":""},{"dropping-particle":"","family":"Yao","given":"Y","non-dropping-particle":"","parse-names":false,"suffix":""}],"container-title":"BMC ORAL HEALTH","id":"ITEM-1","issue":"1","issued":{"date-parts":[["2025"]]},"language":"English","note":"Times Cited in Web of Science Core Collection: 0\nTotal Times Cited: 0\nCited Reference Count: 40","publisher-place":"Sichuan Univ, West China Hosp Stomatol, State Key Lab Oral Dis, Chengdu 610041, Sichuan, Peoples R China","title":"Evaluation of color stability and material surface stability of different types of clear aligners under curcumin staining in vitro","type":"article-journal","volume":"25"},"uris":["http://www.mendeley.com/documents/?uuid=780ab032-b1af-41b2-a1fb-b8f4fe64a457"]}],"mendeley":{"formattedCitation":"[69]","plainTextFormattedCitation":"[69]","previouslyFormattedCitation":"[69]"},"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lang w:val="de-CH"/>
              </w:rPr>
              <w:t>[69]</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2B67A7FB"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69" w:type="dxa"/>
            <w:tcBorders>
              <w:top w:val="nil"/>
              <w:left w:val="nil"/>
              <w:bottom w:val="nil"/>
              <w:right w:val="nil"/>
            </w:tcBorders>
            <w:shd w:val="clear" w:color="auto" w:fill="auto"/>
            <w:noWrap/>
            <w:hideMark/>
          </w:tcPr>
          <w:p w14:paraId="42A406AD"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969" w:type="dxa"/>
            <w:tcBorders>
              <w:top w:val="nil"/>
              <w:left w:val="nil"/>
              <w:bottom w:val="nil"/>
              <w:right w:val="nil"/>
            </w:tcBorders>
            <w:shd w:val="clear" w:color="auto" w:fill="auto"/>
            <w:noWrap/>
            <w:hideMark/>
          </w:tcPr>
          <w:p w14:paraId="29A0E10F"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2000" w:type="dxa"/>
            <w:tcBorders>
              <w:top w:val="nil"/>
              <w:left w:val="nil"/>
              <w:bottom w:val="nil"/>
              <w:right w:val="nil"/>
            </w:tcBorders>
            <w:shd w:val="clear" w:color="auto" w:fill="auto"/>
            <w:noWrap/>
            <w:hideMark/>
          </w:tcPr>
          <w:p w14:paraId="1BE6B77F"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74" w:type="dxa"/>
            <w:tcBorders>
              <w:top w:val="nil"/>
              <w:left w:val="nil"/>
              <w:bottom w:val="nil"/>
              <w:right w:val="nil"/>
            </w:tcBorders>
            <w:shd w:val="clear" w:color="auto" w:fill="auto"/>
            <w:noWrap/>
            <w:hideMark/>
          </w:tcPr>
          <w:p w14:paraId="7D1A3BB4"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588" w:type="dxa"/>
            <w:tcBorders>
              <w:top w:val="nil"/>
              <w:left w:val="nil"/>
              <w:bottom w:val="nil"/>
              <w:right w:val="nil"/>
            </w:tcBorders>
            <w:shd w:val="clear" w:color="auto" w:fill="auto"/>
            <w:noWrap/>
            <w:hideMark/>
          </w:tcPr>
          <w:p w14:paraId="72716DE9"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2427" w:type="dxa"/>
            <w:tcBorders>
              <w:top w:val="nil"/>
              <w:left w:val="nil"/>
              <w:bottom w:val="nil"/>
              <w:right w:val="nil"/>
            </w:tcBorders>
            <w:shd w:val="clear" w:color="auto" w:fill="auto"/>
            <w:noWrap/>
            <w:hideMark/>
          </w:tcPr>
          <w:p w14:paraId="049277DD"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2238" w:type="dxa"/>
            <w:tcBorders>
              <w:top w:val="nil"/>
              <w:left w:val="nil"/>
              <w:bottom w:val="nil"/>
              <w:right w:val="nil"/>
            </w:tcBorders>
            <w:shd w:val="clear" w:color="auto" w:fill="auto"/>
            <w:noWrap/>
            <w:hideMark/>
          </w:tcPr>
          <w:p w14:paraId="020D0246"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621" w:type="dxa"/>
            <w:tcBorders>
              <w:top w:val="nil"/>
              <w:left w:val="nil"/>
              <w:bottom w:val="nil"/>
              <w:right w:val="nil"/>
            </w:tcBorders>
            <w:shd w:val="clear" w:color="auto" w:fill="auto"/>
            <w:noWrap/>
            <w:hideMark/>
          </w:tcPr>
          <w:p w14:paraId="481CF89E"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1525" w:type="dxa"/>
            <w:tcBorders>
              <w:top w:val="nil"/>
              <w:left w:val="nil"/>
              <w:bottom w:val="nil"/>
              <w:right w:val="nil"/>
            </w:tcBorders>
            <w:shd w:val="clear" w:color="auto" w:fill="auto"/>
            <w:noWrap/>
            <w:hideMark/>
          </w:tcPr>
          <w:p w14:paraId="1A7AA04B"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1731" w:type="dxa"/>
            <w:tcBorders>
              <w:top w:val="nil"/>
              <w:left w:val="nil"/>
              <w:bottom w:val="nil"/>
              <w:right w:val="nil"/>
            </w:tcBorders>
            <w:shd w:val="clear" w:color="auto" w:fill="auto"/>
            <w:noWrap/>
            <w:hideMark/>
          </w:tcPr>
          <w:p w14:paraId="6D640E06"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12" w:type="dxa"/>
            <w:tcBorders>
              <w:top w:val="nil"/>
              <w:left w:val="nil"/>
              <w:bottom w:val="nil"/>
              <w:right w:val="nil"/>
            </w:tcBorders>
            <w:shd w:val="clear" w:color="auto" w:fill="auto"/>
            <w:noWrap/>
            <w:hideMark/>
          </w:tcPr>
          <w:p w14:paraId="327ADF89"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21" w:type="dxa"/>
            <w:tcBorders>
              <w:top w:val="nil"/>
              <w:left w:val="nil"/>
              <w:bottom w:val="nil"/>
              <w:right w:val="nil"/>
            </w:tcBorders>
            <w:shd w:val="clear" w:color="auto" w:fill="auto"/>
            <w:noWrap/>
            <w:hideMark/>
          </w:tcPr>
          <w:p w14:paraId="2EDE5F37"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70.8</w:t>
            </w:r>
          </w:p>
        </w:tc>
      </w:tr>
      <w:tr w:rsidR="007D5124" w:rsidRPr="000B22C8" w14:paraId="222CA641" w14:textId="77777777" w:rsidTr="005304A6">
        <w:trPr>
          <w:trHeight w:val="321"/>
        </w:trPr>
        <w:tc>
          <w:tcPr>
            <w:tcW w:w="3080" w:type="dxa"/>
            <w:tcBorders>
              <w:top w:val="nil"/>
              <w:left w:val="nil"/>
              <w:bottom w:val="nil"/>
              <w:right w:val="nil"/>
            </w:tcBorders>
            <w:shd w:val="clear" w:color="auto" w:fill="auto"/>
            <w:noWrap/>
            <w:hideMark/>
          </w:tcPr>
          <w:p w14:paraId="6B4EEF3A" w14:textId="3CC6A9AC"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Ihssen et al., 2019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{"citationItems":[{"id":"ITEM-1","itemData":{"DOI":"10.1007/s00056-019-00192-8","ISSN":"1434-5293","author":[{"dropping-particle":"","family":"Ihssen","given":"Benjamin A.","non-dropping-particle":"","parse-names":false,"suffix":""},{"dropping-particle":"","family":"Willmann","given":"Jan H.","non-dropping-particle":"","parse-names":false,"suffix":""},{"dropping-particle":"","family":"Nimer","given":"Amr","non-dropping-particle":"","parse-names":false,"suffix":""},{"dropping-particle":"","family":"Drescher","given":"Dieter","non-dropping-particle":"","parse-names":false,"suffix":""}],"container-title":"Journal of Orofacial Orthopedics / Fortschritte der Kieferorthopädie","id":"ITEM-1","issue":"6","issued":{"date-parts":[["2019","11","2"]]},"page":"292-303","title":"Effect of in vitro aging by water immersion and thermocycling on the mechanical properties of PETG aligner material","type":"article-journal","volume":"80"},"uris":["http://www.mendeley.com/documents/?uuid=38c6f2b3-ce4e-425f-811a-47acc4103d69"]}],"mendeley":{"formattedCitation":"[19]","plainTextFormattedCitation":"[19]","previouslyFormattedCitation":"[19]"},"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[19]</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4E3C840C"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69" w:type="dxa"/>
            <w:tcBorders>
              <w:top w:val="nil"/>
              <w:left w:val="nil"/>
              <w:bottom w:val="nil"/>
              <w:right w:val="nil"/>
            </w:tcBorders>
            <w:shd w:val="clear" w:color="auto" w:fill="auto"/>
            <w:noWrap/>
            <w:hideMark/>
          </w:tcPr>
          <w:p w14:paraId="02A2A37E"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969" w:type="dxa"/>
            <w:tcBorders>
              <w:top w:val="nil"/>
              <w:left w:val="nil"/>
              <w:bottom w:val="nil"/>
              <w:right w:val="nil"/>
            </w:tcBorders>
            <w:shd w:val="clear" w:color="auto" w:fill="auto"/>
            <w:noWrap/>
            <w:hideMark/>
          </w:tcPr>
          <w:p w14:paraId="3466D82A"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000" w:type="dxa"/>
            <w:tcBorders>
              <w:top w:val="nil"/>
              <w:left w:val="nil"/>
              <w:bottom w:val="nil"/>
              <w:right w:val="nil"/>
            </w:tcBorders>
            <w:shd w:val="clear" w:color="auto" w:fill="auto"/>
            <w:noWrap/>
            <w:hideMark/>
          </w:tcPr>
          <w:p w14:paraId="687F905C"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74" w:type="dxa"/>
            <w:tcBorders>
              <w:top w:val="nil"/>
              <w:left w:val="nil"/>
              <w:bottom w:val="nil"/>
              <w:right w:val="nil"/>
            </w:tcBorders>
            <w:shd w:val="clear" w:color="auto" w:fill="auto"/>
            <w:noWrap/>
            <w:hideMark/>
          </w:tcPr>
          <w:p w14:paraId="00D206BF"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588" w:type="dxa"/>
            <w:tcBorders>
              <w:top w:val="nil"/>
              <w:left w:val="nil"/>
              <w:bottom w:val="nil"/>
              <w:right w:val="nil"/>
            </w:tcBorders>
            <w:shd w:val="clear" w:color="auto" w:fill="auto"/>
            <w:noWrap/>
            <w:hideMark/>
          </w:tcPr>
          <w:p w14:paraId="14598164"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2427" w:type="dxa"/>
            <w:tcBorders>
              <w:top w:val="nil"/>
              <w:left w:val="nil"/>
              <w:bottom w:val="nil"/>
              <w:right w:val="nil"/>
            </w:tcBorders>
            <w:shd w:val="clear" w:color="auto" w:fill="auto"/>
            <w:noWrap/>
            <w:hideMark/>
          </w:tcPr>
          <w:p w14:paraId="48C58F0D"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2238" w:type="dxa"/>
            <w:tcBorders>
              <w:top w:val="nil"/>
              <w:left w:val="nil"/>
              <w:bottom w:val="nil"/>
              <w:right w:val="nil"/>
            </w:tcBorders>
            <w:shd w:val="clear" w:color="auto" w:fill="auto"/>
            <w:noWrap/>
            <w:hideMark/>
          </w:tcPr>
          <w:p w14:paraId="5E0DD421"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621" w:type="dxa"/>
            <w:tcBorders>
              <w:top w:val="nil"/>
              <w:left w:val="nil"/>
              <w:bottom w:val="nil"/>
              <w:right w:val="nil"/>
            </w:tcBorders>
            <w:shd w:val="clear" w:color="auto" w:fill="auto"/>
            <w:noWrap/>
            <w:hideMark/>
          </w:tcPr>
          <w:p w14:paraId="538FD572"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1525" w:type="dxa"/>
            <w:tcBorders>
              <w:top w:val="nil"/>
              <w:left w:val="nil"/>
              <w:bottom w:val="nil"/>
              <w:right w:val="nil"/>
            </w:tcBorders>
            <w:shd w:val="clear" w:color="auto" w:fill="auto"/>
            <w:noWrap/>
            <w:hideMark/>
          </w:tcPr>
          <w:p w14:paraId="4FFC5FFD"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731" w:type="dxa"/>
            <w:tcBorders>
              <w:top w:val="nil"/>
              <w:left w:val="nil"/>
              <w:bottom w:val="nil"/>
              <w:right w:val="nil"/>
            </w:tcBorders>
            <w:shd w:val="clear" w:color="auto" w:fill="auto"/>
            <w:noWrap/>
            <w:hideMark/>
          </w:tcPr>
          <w:p w14:paraId="1FFB4421"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12" w:type="dxa"/>
            <w:tcBorders>
              <w:top w:val="nil"/>
              <w:left w:val="nil"/>
              <w:bottom w:val="nil"/>
              <w:right w:val="nil"/>
            </w:tcBorders>
            <w:shd w:val="clear" w:color="auto" w:fill="auto"/>
            <w:noWrap/>
            <w:hideMark/>
          </w:tcPr>
          <w:p w14:paraId="057169F4"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21" w:type="dxa"/>
            <w:tcBorders>
              <w:top w:val="nil"/>
              <w:left w:val="nil"/>
              <w:bottom w:val="nil"/>
              <w:right w:val="nil"/>
            </w:tcBorders>
            <w:shd w:val="clear" w:color="auto" w:fill="auto"/>
            <w:noWrap/>
            <w:hideMark/>
          </w:tcPr>
          <w:p w14:paraId="6AFA5F73"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62.5</w:t>
            </w:r>
          </w:p>
        </w:tc>
      </w:tr>
      <w:tr w:rsidR="007D5124" w:rsidRPr="000B22C8" w14:paraId="5340D2EF" w14:textId="77777777" w:rsidTr="005304A6">
        <w:trPr>
          <w:trHeight w:val="321"/>
        </w:trPr>
        <w:tc>
          <w:tcPr>
            <w:tcW w:w="3080" w:type="dxa"/>
            <w:tcBorders>
              <w:top w:val="nil"/>
              <w:left w:val="nil"/>
              <w:bottom w:val="nil"/>
              <w:right w:val="nil"/>
            </w:tcBorders>
            <w:shd w:val="clear" w:color="auto" w:fill="auto"/>
            <w:noWrap/>
            <w:hideMark/>
          </w:tcPr>
          <w:p w14:paraId="25F2DF9C" w14:textId="2BFA85D6"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lang w:val="de-CH"/>
                <w14:ligatures w14:val="none"/>
              </w:rPr>
              <w:t xml:space="preserve">Jaggy et al., 2020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{"citationItems":[{"id":"ITEM-1","itemData":{"DOI":"10.3390/ma13081868","ISSN":"1996-1944","abstract":"The aim of this study was to estimate possible differences in the chemical composition and relaxation of orthodontic aligner materials. Four commercially available thermoplastic materials CAM (Scheu-Dental, Iserlohn, Germany), COP (Essix, Dentsply Raintree Essix Sarasota, FL, USA), DUR (Great Lakes Dental Technologies, Tonawanda, NY) and ERK (Erkodent Erich Kopp, Pfalzgrafenweiler Germany) were included in this study. Rectangular strips from each material were prepared according to the manufacturer’s instructions and subjected to attenuated total reflection-Fourier transform infrared (ATR-FTIR) spectroscopy and stress relaxation characterization. The reduction in applied stress (RAS) after one week was estimated and statistically analyzed by one-way ANOVA at the 0.05 level of significance. All specimens were subjected to optical microscopy before and after stress relaxation testing under transmittance polarized illumination. ATR-FTIR microscopy revealed that all materials are made of polyethylene terephthalate glycol (PETG) while no significant differences were identified in RAS values among materials tested, which ranged from 6%–10% (p ≥ 0.05). All samples illustrated the developments of shear bands during relaxation testing according to optical microscopy findings. The tested materials illustrated similar chemical composition and relaxation behavior and thus no differences in their clinical efficacy are anticipated.","author":[{"dropping-particle":"","family":"Jaggy","given":"Florina","non-dropping-particle":"","parse-names":false,"suffix":""},{"dropping-particle":"","family":"Zinelis","given":"Spiros","non-dropping-particle":"","parse-names":false,"suffix":""},{"dropping-particle":"","family":"Polychronis","given":"Georgios","non-dropping-particle":"","parse-names":false,"suffix":""},{"dropping-particle":"","family":"Patcas","given":"Raphael","non-dropping-particle":"","parse-names":false,"suffix":""},{"dropping-particle":"","family":"Schätzle","given":"Marc","non-dropping-particle":"","parse-names":false,"suffix":""},{"dropping-particle":"","family":"Eliades","given":"George","non-dropping-particle":"","parse-names":false,"suffix":""},{"dropping-particle":"","family":"Eliades","given":"Theodore","non-dropping-particle":"","parse-names":false,"suffix":""}],"container-title":"Materials","id":"ITEM-1","issue":"8","issued":{"date-parts":[["2020","4","16"]]},"page":"1868","title":"ATR-FTIR Analysis and One-Week Stress Relaxation of Four Orthodontic Aligner Materials","type":"article-journal","volume":"13"},"uris":["http://www.mendeley.com/documents/?uuid=91788050-195b-4854-ae82-db77b30812d8"]}],"mendeley":{"formattedCitation":"[86]","plainTextFormattedCitation":"[86]","previouslyFormattedCitation":"[85]"},"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rPr>
              <w:t>[86]</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71792EE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109157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6489E71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19748F7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27B1989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633774B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6185F34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6AD3310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430DB16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7F5B11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3CBD80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1E2BC5C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104F74C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6801EA49" w14:textId="77777777" w:rsidTr="005304A6">
        <w:trPr>
          <w:trHeight w:val="321"/>
        </w:trPr>
        <w:tc>
          <w:tcPr>
            <w:tcW w:w="3080" w:type="dxa"/>
            <w:tcBorders>
              <w:top w:val="nil"/>
              <w:left w:val="nil"/>
              <w:bottom w:val="nil"/>
              <w:right w:val="nil"/>
            </w:tcBorders>
            <w:shd w:val="clear" w:color="auto" w:fill="auto"/>
            <w:noWrap/>
            <w:hideMark/>
          </w:tcPr>
          <w:p w14:paraId="78E8FB54" w14:textId="5AF5206A"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Khashashneh et al., 2023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{"citationItems":[{"id":"ITEM-1","itemData":{"DOI":"10.3390/ma16114125","ISSN":"1996-1944","abstract":"The high aesthetic demands of patients have increased their requests to align their teeth using clear aligners, including Invisalign. Patients also want to have their teeth whitened for the same purpose; the use of Invisalign as a bleaching tray at night has been reported in few studies. However, whether 10% carbamide peroxide affects the physical properties of Invisalign is unknown. Therefore, the objective of this study was to evaluate the effect of 10% carbamide peroxide on the physical properties of Invisalign when used as a bleaching tray at night. Twenty-two unused Invisalign aligners (Santa Clara, CA, USA) were used to prepare 144 specimens to test their tensile strength, hardness, surface roughness, and translucency. The specimens were divided into four groups: a testing group at baseline (TG1), a testing group after application of bleaching material at 37 °C for 2 weeks (TG2), a control group at baseline (CG1), and a control group after immersion in distilled water at 37 °C for 2 weeks (CG2). Statistical analysis was conducted using a paired t-test, Wilcoxon signed rank test, independent samples t-test, and Mann–Whitney test to compare samples in CG2 to CG1, TG2 to TG1, and TG2 to CG2. Statistical analysis showed no statistically significant difference between the groups for all physical properties, except for hardness (p-value &lt; 0.001) and surface roughness (p-value = 0.007 and p-value &lt; 0.001 for the internal and external surface roughness, respectively), which revealed a reduction in hardness values (from 4.43 ± 0.86 N/mm2 to 2.2 ± 0.29 N/mm2) and an increase in surface roughness (from 1.6 ± 0.32 Ra to 1.93 ± 0.28 Ra and from 0.58 ± 0.12 Ra to 0.68 ± 0.13 Ra for the internal and external surface roughness, respectively) after 2 weeks of dental bleaching. Results showed that Invisalign can be used for dental bleaching without excessive distortion or degradation of the aligner material. However, future clinical trials are required to further assess the feasibility of using Invisalign for dental bleaching.","author":[{"dropping-particle":"","family":"Khashashneh","given":"Majd","non-dropping-particle":"","parse-names":false,"suffix":""},{"dropping-particle":"","family":"Ratnayake","given":"Jithendra","non-dropping-particle":"","parse-names":false,"suffix":""},{"dropping-particle":"","family":"Choi","given":"Joanne Jung Eun","non-dropping-particle":"","parse-names":false,"suffix":""},{"dropping-particle":"","family":"Mei","given":"Li","non-dropping-particle":"","parse-names":false,"suffix":""},{"dropping-particle":"","family":"Lyons","given":"Karl","non-dropping-particle":"","parse-names":false,"suffix":""},{"dropping-particle":"","family":"Brunton","given":"Paul","non-dropping-particle":"","parse-names":false,"suffix":""}],"container-title":"Materials","id":"ITEM-1","issue":"11","issued":{"date-parts":[["2023","6","1"]]},"page":"4125","title":"The Effect of 10% Carbamide Peroxide Dental Bleaching on the Physical Properties of Invisalign Aligners: An In Vitro Study","type":"article-journal","volume":"16"},"uris":["http://www.mendeley.com/documents/?uuid=b8225bdc-a3c6-471b-9069-a82b9cd672ae"]}],"mendeley":{"formattedCitation":"[41]","plainTextFormattedCitation":"[41]","previouslyFormattedCitation":"[41]"},"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[41]</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CFEC3E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74AEF8B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69" w:type="dxa"/>
            <w:tcBorders>
              <w:top w:val="nil"/>
              <w:left w:val="nil"/>
              <w:bottom w:val="nil"/>
              <w:right w:val="nil"/>
            </w:tcBorders>
            <w:shd w:val="clear" w:color="auto" w:fill="auto"/>
            <w:noWrap/>
            <w:hideMark/>
          </w:tcPr>
          <w:p w14:paraId="778794D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2765BD5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051EA11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0316659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0D4520B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3004B6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3FD7F31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5A95B9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3CF824C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16A7C26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3CD8E62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114B20D6" w14:textId="77777777" w:rsidTr="005304A6">
        <w:trPr>
          <w:trHeight w:val="321"/>
        </w:trPr>
        <w:tc>
          <w:tcPr>
            <w:tcW w:w="3080" w:type="dxa"/>
            <w:tcBorders>
              <w:top w:val="nil"/>
              <w:left w:val="nil"/>
              <w:bottom w:val="nil"/>
              <w:right w:val="nil"/>
            </w:tcBorders>
            <w:shd w:val="clear" w:color="auto" w:fill="auto"/>
            <w:noWrap/>
            <w:hideMark/>
          </w:tcPr>
          <w:p w14:paraId="2C85F259" w14:textId="7C436B98"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Kobkiatkawin et al., 2025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10.1186/s12903-025-06343-1","ISSN":"1472-6831","author":[{"dropping-particle":"","family":"Kobkiatkawin","given":"Chanakarn","non-dropping-particle":"","parse-names":false,"suffix":""},{"dropping-particle":"","family":"Panyayong","given":"Woraphong","non-dropping-particle":"","parse-names":false,"suffix":""},{"dropping-particle":"","family":"Suphangul","given":"Suphachai","non-dropping-particle":"","parse-names":false,"suffix":""},{"dropping-particle":"","family":"Thiradilok","given":"Sasipa","non-dropping-particle":"","parse-names":false,"suffix":""}],"container-title":"BMC Oral Health","id":"ITEM-1","issue":"1","issued":{"date-parts":[["2025","7","1"]]},"page":"971","title":"Color stability of clear aligners exposed to various beverages: an in vitro study","type":"article-journal","volume":"25"},"uris":["http://www.mendeley.com/documents/?uuid=793cf32c-a10d-4c28-ad39-9010fcec5043"]}],"mendeley":{"formattedCitation":"[53]","plainTextFormattedCitation":"[53]","previouslyFormattedCitation":"[53]"},"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[53]</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9AF1587"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69" w:type="dxa"/>
            <w:tcBorders>
              <w:top w:val="nil"/>
              <w:left w:val="nil"/>
              <w:bottom w:val="nil"/>
              <w:right w:val="nil"/>
            </w:tcBorders>
            <w:shd w:val="clear" w:color="auto" w:fill="auto"/>
            <w:noWrap/>
            <w:hideMark/>
          </w:tcPr>
          <w:p w14:paraId="3CD9A3AD"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1969" w:type="dxa"/>
            <w:tcBorders>
              <w:top w:val="nil"/>
              <w:left w:val="nil"/>
              <w:bottom w:val="nil"/>
              <w:right w:val="nil"/>
            </w:tcBorders>
            <w:shd w:val="clear" w:color="auto" w:fill="auto"/>
            <w:noWrap/>
            <w:hideMark/>
          </w:tcPr>
          <w:p w14:paraId="0468F034"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2000" w:type="dxa"/>
            <w:tcBorders>
              <w:top w:val="nil"/>
              <w:left w:val="nil"/>
              <w:bottom w:val="nil"/>
              <w:right w:val="nil"/>
            </w:tcBorders>
            <w:shd w:val="clear" w:color="auto" w:fill="auto"/>
            <w:noWrap/>
            <w:hideMark/>
          </w:tcPr>
          <w:p w14:paraId="48D3B1E3"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74" w:type="dxa"/>
            <w:tcBorders>
              <w:top w:val="nil"/>
              <w:left w:val="nil"/>
              <w:bottom w:val="nil"/>
              <w:right w:val="nil"/>
            </w:tcBorders>
            <w:shd w:val="clear" w:color="auto" w:fill="auto"/>
            <w:noWrap/>
            <w:hideMark/>
          </w:tcPr>
          <w:p w14:paraId="7C5C37BD"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588" w:type="dxa"/>
            <w:tcBorders>
              <w:top w:val="nil"/>
              <w:left w:val="nil"/>
              <w:bottom w:val="nil"/>
              <w:right w:val="nil"/>
            </w:tcBorders>
            <w:shd w:val="clear" w:color="auto" w:fill="auto"/>
            <w:noWrap/>
            <w:hideMark/>
          </w:tcPr>
          <w:p w14:paraId="78D34B89"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2427" w:type="dxa"/>
            <w:tcBorders>
              <w:top w:val="nil"/>
              <w:left w:val="nil"/>
              <w:bottom w:val="nil"/>
              <w:right w:val="nil"/>
            </w:tcBorders>
            <w:shd w:val="clear" w:color="auto" w:fill="auto"/>
            <w:noWrap/>
            <w:hideMark/>
          </w:tcPr>
          <w:p w14:paraId="5D05CCF7"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1</w:t>
            </w:r>
          </w:p>
        </w:tc>
        <w:tc>
          <w:tcPr>
            <w:tcW w:w="2238" w:type="dxa"/>
            <w:tcBorders>
              <w:top w:val="nil"/>
              <w:left w:val="nil"/>
              <w:bottom w:val="nil"/>
              <w:right w:val="nil"/>
            </w:tcBorders>
            <w:shd w:val="clear" w:color="auto" w:fill="auto"/>
            <w:noWrap/>
            <w:hideMark/>
          </w:tcPr>
          <w:p w14:paraId="429505DC"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621" w:type="dxa"/>
            <w:tcBorders>
              <w:top w:val="nil"/>
              <w:left w:val="nil"/>
              <w:bottom w:val="nil"/>
              <w:right w:val="nil"/>
            </w:tcBorders>
            <w:shd w:val="clear" w:color="auto" w:fill="auto"/>
            <w:noWrap/>
            <w:hideMark/>
          </w:tcPr>
          <w:p w14:paraId="6A0E9280"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525" w:type="dxa"/>
            <w:tcBorders>
              <w:top w:val="nil"/>
              <w:left w:val="nil"/>
              <w:bottom w:val="nil"/>
              <w:right w:val="nil"/>
            </w:tcBorders>
            <w:shd w:val="clear" w:color="auto" w:fill="auto"/>
            <w:noWrap/>
            <w:hideMark/>
          </w:tcPr>
          <w:p w14:paraId="4C172093"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731" w:type="dxa"/>
            <w:tcBorders>
              <w:top w:val="nil"/>
              <w:left w:val="nil"/>
              <w:bottom w:val="nil"/>
              <w:right w:val="nil"/>
            </w:tcBorders>
            <w:shd w:val="clear" w:color="auto" w:fill="auto"/>
            <w:noWrap/>
            <w:hideMark/>
          </w:tcPr>
          <w:p w14:paraId="2E498CB5"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12" w:type="dxa"/>
            <w:tcBorders>
              <w:top w:val="nil"/>
              <w:left w:val="nil"/>
              <w:bottom w:val="nil"/>
              <w:right w:val="nil"/>
            </w:tcBorders>
            <w:shd w:val="clear" w:color="auto" w:fill="auto"/>
            <w:noWrap/>
            <w:hideMark/>
          </w:tcPr>
          <w:p w14:paraId="56A7C568"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21" w:type="dxa"/>
            <w:tcBorders>
              <w:top w:val="nil"/>
              <w:left w:val="nil"/>
              <w:bottom w:val="nil"/>
              <w:right w:val="nil"/>
            </w:tcBorders>
            <w:shd w:val="clear" w:color="auto" w:fill="auto"/>
            <w:noWrap/>
            <w:hideMark/>
          </w:tcPr>
          <w:p w14:paraId="7D4D15D2"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62.5</w:t>
            </w:r>
          </w:p>
        </w:tc>
      </w:tr>
      <w:tr w:rsidR="007D5124" w:rsidRPr="000B22C8" w14:paraId="0572E2E1" w14:textId="77777777" w:rsidTr="005304A6">
        <w:trPr>
          <w:trHeight w:val="321"/>
        </w:trPr>
        <w:tc>
          <w:tcPr>
            <w:tcW w:w="3080" w:type="dxa"/>
            <w:tcBorders>
              <w:top w:val="nil"/>
              <w:left w:val="nil"/>
              <w:bottom w:val="nil"/>
              <w:right w:val="nil"/>
            </w:tcBorders>
            <w:shd w:val="clear" w:color="auto" w:fill="auto"/>
            <w:noWrap/>
            <w:hideMark/>
          </w:tcPr>
          <w:p w14:paraId="0A377BDA" w14:textId="729CEEAA"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Kuntz et al., 2024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10.1093/ejo/cjae063","ISSN":"0141-5387","author":[{"dropping-particle":"","family":"Kuntz","given":"Lucie","non-dropping-particle":"","parse-names":false,"suffix":""},{"dropping-particle":"","family":"Aranda","given":"Lionel","non-dropping-particle":"","parse-names":false,"suffix":""},{"dropping-particle":"","family":"Rapin","given":"Christophe","non-dropping-particle":"","parse-names":false,"suffix":""},{"dropping-particle":"","family":"Canceill","given":"Thibault","non-dropping-particle":"","parse-names":false,"suffix":""},{"dropping-particle":"","family":"Vannet","given":"Bart","non-dropping-particle":"Vande","parse-names":false,"suffix":""},{"dropping-particle":"","family":"Fawaz","given":"Paul","non-dropping-particle":"","parse-names":false,"suffix":""}],"container-title":"European Journal of Orthodontics","id":"ITEM-1","issue":"6","issued":{"date-parts":[["2024","12","1"]]},"title":"Effects of aging on the tensile strength and surface condition of orthodontic aligners: a comparative study of five models","type":"article-journal","volume":"46"},"uris":["http://www.mendeley.com/documents/?uuid=47ac56fc-fff8-42e0-a092-5d6082c39c35"]}],"mendeley":{"formattedCitation":"[80]","plainTextFormattedCitation":"[80]","previouslyFormattedCitation":"[80]"},"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lang w:val="de-CH"/>
              </w:rPr>
              <w:t>[80]</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0D96FFF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74E648D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18492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16058B0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6DB2775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298ED2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6FCE624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B9C52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170D08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6A0210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C50759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65BB263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7B63DE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5AFD4D3F" w14:textId="77777777" w:rsidTr="005304A6">
        <w:trPr>
          <w:trHeight w:val="321"/>
        </w:trPr>
        <w:tc>
          <w:tcPr>
            <w:tcW w:w="3080" w:type="dxa"/>
            <w:tcBorders>
              <w:top w:val="nil"/>
              <w:left w:val="nil"/>
              <w:bottom w:val="nil"/>
              <w:right w:val="nil"/>
            </w:tcBorders>
            <w:shd w:val="clear" w:color="auto" w:fill="auto"/>
            <w:noWrap/>
            <w:hideMark/>
          </w:tcPr>
          <w:p w14:paraId="2376782E" w14:textId="1939A040"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Kusum et al., 2025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10.4103/jpbs.jpbs_189_25","ISSN":"0976-4879","author":[{"dropping-particle":"","family":"Kusum","given":"Pallavi","non-dropping-particle":"","parse-names":false,"suffix":""},{"dropping-particle":"","family":"Sharma","given":"Shantanu","non-dropping-particle":"","parse-names":false,"suffix":""},{"dropping-particle":"","family":"Jha","given":"Sovendu","non-dropping-particle":"","parse-names":false,"suffix":""}],"container-title":"Journal of Pharmacy and Bioallied Sciences","id":"ITEM-1","issue":"Suppl 2","issued":{"date-parts":[["2025","6"]]},"page":"S1616-S1618","title":"Comparative Evaluation of Mechanical Properties of Clear Aligner Biosheet Materials -An In Vitro Study","type":"article-journal","volume":"17"},"uris":["http://www.mendeley.com/documents/?uuid=1e3ed5bb-b0b3-40e2-829c-01067ab71326"]}],"mendeley":{"formattedCitation":"[92]","plainTextFormattedCitation":"[92]","previouslyFormattedCitation":"[91]"},"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lang w:val="de-CH"/>
              </w:rPr>
              <w:t>[92]</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2ED372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69" w:type="dxa"/>
            <w:tcBorders>
              <w:top w:val="nil"/>
              <w:left w:val="nil"/>
              <w:bottom w:val="nil"/>
              <w:right w:val="nil"/>
            </w:tcBorders>
            <w:shd w:val="clear" w:color="auto" w:fill="auto"/>
            <w:noWrap/>
            <w:hideMark/>
          </w:tcPr>
          <w:p w14:paraId="3169C71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2074A6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2CBDCF6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74" w:type="dxa"/>
            <w:tcBorders>
              <w:top w:val="nil"/>
              <w:left w:val="nil"/>
              <w:bottom w:val="nil"/>
              <w:right w:val="nil"/>
            </w:tcBorders>
            <w:shd w:val="clear" w:color="auto" w:fill="auto"/>
            <w:noWrap/>
            <w:hideMark/>
          </w:tcPr>
          <w:p w14:paraId="08CA333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88" w:type="dxa"/>
            <w:tcBorders>
              <w:top w:val="nil"/>
              <w:left w:val="nil"/>
              <w:bottom w:val="nil"/>
              <w:right w:val="nil"/>
            </w:tcBorders>
            <w:shd w:val="clear" w:color="auto" w:fill="auto"/>
            <w:noWrap/>
            <w:hideMark/>
          </w:tcPr>
          <w:p w14:paraId="501B1FB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3B9D8B4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25F5C33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621" w:type="dxa"/>
            <w:tcBorders>
              <w:top w:val="nil"/>
              <w:left w:val="nil"/>
              <w:bottom w:val="nil"/>
              <w:right w:val="nil"/>
            </w:tcBorders>
            <w:shd w:val="clear" w:color="auto" w:fill="auto"/>
            <w:noWrap/>
            <w:hideMark/>
          </w:tcPr>
          <w:p w14:paraId="604E0DC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2D74A4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ED0F41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613124C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21" w:type="dxa"/>
            <w:tcBorders>
              <w:top w:val="nil"/>
              <w:left w:val="nil"/>
              <w:bottom w:val="nil"/>
              <w:right w:val="nil"/>
            </w:tcBorders>
            <w:shd w:val="clear" w:color="auto" w:fill="auto"/>
            <w:noWrap/>
            <w:hideMark/>
          </w:tcPr>
          <w:p w14:paraId="355D652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29.2</w:t>
            </w:r>
          </w:p>
        </w:tc>
      </w:tr>
      <w:tr w:rsidR="007D5124" w:rsidRPr="000B22C8" w14:paraId="3ADDC1B4" w14:textId="77777777" w:rsidTr="005304A6">
        <w:trPr>
          <w:trHeight w:val="321"/>
        </w:trPr>
        <w:tc>
          <w:tcPr>
            <w:tcW w:w="3080" w:type="dxa"/>
            <w:tcBorders>
              <w:top w:val="nil"/>
              <w:left w:val="nil"/>
              <w:bottom w:val="nil"/>
              <w:right w:val="nil"/>
            </w:tcBorders>
            <w:shd w:val="clear" w:color="auto" w:fill="auto"/>
            <w:noWrap/>
            <w:hideMark/>
          </w:tcPr>
          <w:p w14:paraId="428954CF" w14:textId="7EDDA239"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Lee et al., 2022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{"citationItems":[{"id":"ITEM-1","itemData":{"DOI":"10.1038/s41598-022-09831-4","ISSN":"2045-2322","abstract":"To overcome the limitations of the conventional vacuum thermoforming manufacturing method, direct 3D printing of clear aligners has been developed. The present study investigated the thermo-mechanical and viscoelastic properties of a photocurable resin TC-85, which is a new material for the direct 3D printed clear aligners, comparing to a conventional thermoplastic material polyethylene terephthalate glycol. Dynamic mechanical analysis was performed to analyse the mechanical behaviours of the two materials at 37 °C and 80 °C, respectively. Furthermore, the shape memory property of the two materials was evaluated using a U-shape bending test, and the shape recovery ratio for 60 min at 37 °C was calculated. The results indicate that TC-85 can constantly apply a light force to the teeth when used for the 3D printed clear aligners, owing to its flexibility and viscoelastic properties. In addition, it is expected that the force decay induced by repeated insertion of the clear aligners will be reduced and a constant orthodontic force will be maintained. Furthermore, its geometric stability at high temperatures and the shape memory properties provide advantages for the clinical application.","author":[{"dropping-particle":"","family":"Lee","given":"Se Yeon","non-dropping-particle":"","parse-names":false,"suffix":""},{"dropping-particle":"","family":"Kim","given":"Hoon","non-dropping-particle":"","parse-names":false,"suffix":""},{"dropping-particle":"","family":"Kim","given":"Hyun-Joong","non-dropping-particle":"","parse-names":false,"suffix":""},{"dropping-particle":"","family":"Chung","given":"Chooryung J.","non-dropping-particle":"","parse-names":false,"suffix":""},{"dropping-particle":"","family":"Choi","given":"Yoon Jeong","non-dropping-particle":"","parse-names":false,"suffix":""},{"dropping-particle":"","family":"Kim","given":"Su-Jung","non-dropping-particle":"","parse-names":false,"suffix":""},{"dropping-particle":"","family":"Cha","given":"Jung-Yul","non-dropping-particle":"","parse-names":false,"suffix":""}],"container-title":"Scientific Reports","id":"ITEM-1","issue":"1","issued":{"date-parts":[["2022","4","15"]]},"page":"6246","title":"Thermo-mechanical properties of 3D printed photocurable shape memory resin for clear aligners","type":"article-journal","volume":"12"},"uris":["http://www.mendeley.com/documents/?uuid=350ea637-c405-43ae-bb7c-49764fd90078"]}],"mendeley":{"formattedCitation":"[88]","plainTextFormattedCitation":"[88]","previouslyFormattedCitation":"[84]"},"properties":{"noteIndex":0},"schema":"https://github.com/citation-style-language/schema/raw/master/csl-citation.json"}</w:instrText>
            </w:r>
            <w:r w:rsidRPr="000B22C8">
              <w:rPr>
                <w:rFonts w:asciiTheme="minorBidi" w:hAnsiTheme="minorBidi"/>
                <w:sz w:val="16"/>
                <w:szCs w:val="16"/>
              </w:rPr>
              <w:fldChar w:fldCharType="separate"/>
            </w:r>
            <w:r w:rsidRPr="004E7F95">
              <w:rPr>
                <w:rFonts w:asciiTheme="minorBidi" w:hAnsiTheme="minorBidi"/>
                <w:noProof/>
                <w:sz w:val="16"/>
                <w:szCs w:val="16"/>
                <w:lang w:val="de-CH"/>
              </w:rPr>
              <w:t>[88]</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9876AC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4B175AF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5A0A4C7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58243FA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01ABD6D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385EE8A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2C0F242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BEA0D4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3D0D6B3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46D5E1F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164A65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F30FFC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5D0807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73B24999" w14:textId="77777777" w:rsidTr="005304A6">
        <w:trPr>
          <w:trHeight w:val="321"/>
        </w:trPr>
        <w:tc>
          <w:tcPr>
            <w:tcW w:w="3080" w:type="dxa"/>
            <w:tcBorders>
              <w:top w:val="nil"/>
              <w:left w:val="nil"/>
              <w:bottom w:val="nil"/>
              <w:right w:val="nil"/>
            </w:tcBorders>
            <w:shd w:val="clear" w:color="auto" w:fill="auto"/>
            <w:noWrap/>
            <w:hideMark/>
          </w:tcPr>
          <w:p w14:paraId="685CFA1E" w14:textId="40B25E15"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Liu et al., 2016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10.1038/ijos.2016.25","ISSN":"1674-2818","author":[{"dropping-particle":"","family":"Liu","given":"Chen-Lu","non-dropping-particle":"","parse-names":false,"suffix":""},{"dropping-particle":"","family":"Sun","given":"Wen-Tian","non-dropping-particle":"","parse-names":false,"suffix":""},{"dropping-particle":"","family":"Liao","given":"Wen","non-dropping-particle":"","parse-names":false,"suffix":""},{"dropping-particle":"","family":"Lu","given":"Wen-Xin","non-dropping-particle":"","parse-names":false,"suffix":""},{"dropping-particle":"","family":"Li","given":"Qi-Wen","non-dropping-particle":"","parse-names":false,"suffix":""},{"dropping-particle":"","family":"Jeong","given":"Yunho","non-dropping-particle":"","parse-names":false,"suffix":""},{"dropping-particle":"","family":"Liu","given":"Jun","non-dropping-particle":"","parse-names":false,"suffix":""},{"dropping-particle":"","family":"Zhao","given":"Zhi-He","non-dropping-particle":"","parse-names":false,"suffix":""}],"container-title":"International Journal of Oral Science","id":"ITEM-1","issue":"4","issued":{"date-parts":[["2016","12","23"]]},"page":"246-253","title":"Colour stabilities of three types of orthodontic clear aligners exposed to staining agents","type":"article-journal","volume":"8"},"uris":["http://www.mendeley.com/documents/?uuid=76f1581d-82db-46c6-80e3-1a3fb428a3d5"]}],"mendeley":{"formattedCitation":"[28]","plainTextFormattedCitation":"[28]","previouslyFormattedCitation":"[28]"},"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[28]</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51F4480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37C53C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73A65F8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50AB389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53A62F5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97362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4A8DAAF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37E56F0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77E1EF9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31B1FBC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731" w:type="dxa"/>
            <w:tcBorders>
              <w:top w:val="nil"/>
              <w:left w:val="nil"/>
              <w:bottom w:val="nil"/>
              <w:right w:val="nil"/>
            </w:tcBorders>
            <w:shd w:val="clear" w:color="auto" w:fill="auto"/>
            <w:noWrap/>
            <w:hideMark/>
          </w:tcPr>
          <w:p w14:paraId="1413EB1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5B2D976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7F156AE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01A25D50" w14:textId="77777777" w:rsidTr="005304A6">
        <w:trPr>
          <w:trHeight w:val="321"/>
        </w:trPr>
        <w:tc>
          <w:tcPr>
            <w:tcW w:w="3080" w:type="dxa"/>
            <w:tcBorders>
              <w:top w:val="nil"/>
              <w:left w:val="nil"/>
              <w:bottom w:val="nil"/>
              <w:right w:val="nil"/>
            </w:tcBorders>
            <w:shd w:val="clear" w:color="auto" w:fill="auto"/>
            <w:noWrap/>
            <w:hideMark/>
          </w:tcPr>
          <w:p w14:paraId="19BE6932" w14:textId="6C5168BD"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Liu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{"citationItems":[{"id":"ITEM-1","itemData":{"DOI":"https://doi.org/10.4041/kjod25.094","ISSN":"2234-7518","PMID":"40984696","abstract":"To assess the suitability of polycyclohexylenedimethylene terephthalate glycol (PCTG) for orthodontic aligners and to compare the mechanical properties and 14-day stress relaxation behavior of different materials under simulated oral conditions, offering clinical guidance for material selection.ObjectiveTo assess the suitability of polycyclohexylenedimethylene terephthalate glycol (PCTG) for orthodontic aligners and to compare the mechanical properties and 14-day stress relaxation behavior of different materials under simulated oral conditions, offering clinical guidance for material selection.Materials used were Maxflex, Scheu, and Fusion Align, consisting of thermoplastic polyurethane (TPU), polyethylene terephthalate glycol (PETG), and PCTG, respectively. The following experiments were conducted: (1) tensile testing at 23°C and under simulated oral conditions; (2) prediction of 14-day stress relaxation using the time-temperature superposition principle; (3) right-angle tear strength testing; and (4) Shore D hardness testing.MethodsMaterials used were Maxflex, Scheu, and Fusion Align, consisting of thermoplastic polyurethane (TPU), polyethylene terephthalate glycol (PETG), and PCTG, respectively. The following experiments were conducted: (1) tensile testing at 23°C and under simulated oral conditions; (2) prediction of 14-day stress relaxation using the time-temperature superposition principle; (3) right-angle tear strength testing; and (4) Shore D hardness testing.Mechanical properties followed the trend TPU &gt; PETG &gt; PCTG in elastic modulus, yield strength, right-angle tear strength, and Shore D hardness (P &lt; 0.05); PETG &gt; PCTG &gt; TPU in yield strain (P &lt; 0.05). TPU showed higher elongation at break than PETG and PCTG (P &lt; 0.05), with no significant difference between PETG and PCTG (P &gt; 0.05). Stress relaxation behavior was predicted based on the time-temperature superposition principle. With prolonged duration, the stress ranking progressively shifted from TPU &gt; PETG &gt; PCTG to PCTG &gt; PETG &gt; TPU.ResultsMechanical properties followed the trend TPU &gt; PETG &gt; PCTG in elastic modulus, yield strength, right-angle tear strength, and Shore D hardness (P &lt; 0.05); PETG &gt; PCTG &gt; TPU in yield strain (P &lt; 0.05). TPU showed higher elongation at break than PETG and PCTG (P &lt; 0.05), with no significant difference between PETG and PCTG (P &gt; 0.05). Stress relaxation behavior was predicted based on the time-temperature superposition principle. With prolonged duration, t…","author":[{"dropping-particle":"","family":"Liu","given":"Miao","non-dropping-particle":"","parse-names":false,"suffix":""},{"dropping-particle":"","family":"Wang","given":"Yajie J","non-dropping-particle":"","parse-names":false,"suffix":""},{"dropping-particle":"","family":"Bian","given":"Ce","non-dropping-particle":"","parse-names":false,"suffix":""},{"dropping-particle":"","family":"Han","given":"Yang","non-dropping-particle":"","parse-names":false,"suffix":""},{"dropping-particle":"","family":"Qin","given":"Xuan","non-dropping-particle":"","parse-names":false,"suffix":""},{"dropping-particle":"","family":"Sun","given":"Jingyao Y","non-dropping-particle":"","parse-names":false,"suffix":""},{"dropping-particle":"","family":"Bai","given":"Yuxing X","non-dropping-particle":"","parse-names":false,"suffix":""},{"dropping-particle":"","family":"Zhang","given":"Ning","non-dropping-particle":"","parse-names":false,"suffix":""}],"container-title":"Korean journal of orthodontics","id":"ITEM-1","issue":"5","issued":{"date-parts":[["2025","9","25"]]},"language":"English","note":"From Duplicate 2 (Comparative mechanical performance of thermoplastic materials for clear aligners under simulated oral conditions - Liu, Miao; Wang, Yajie J; Bian, Ce; Han, Yang; Qin, Xuan; Sun, Jingyao Y; Bai, Yuxing X; Zhang, Ning)\n\nFrom Duplicate 2 (Comparative mechanical performance of thermoplastic materials for clear aligners under simulated oral conditions - Liu, M; Wang, Y J; Bian, C; Han, Y; Qin, X; Sun, J Y; Bai, Y X; Zhang, N)\n\nTimes Cited in Web of Science Core Collection: 0\nTotal Times Cited: 0\nCited Reference Count: 16\n\nFrom Duplicate 3 (Comparative mechanical performance of thermoplastic materials for clear aligners under simulated oral conditions - Liu, Miao; Wang, Yajie; Bian, Ce; Han, Yang; Qin, Xuan; Sun, Jingyao; Bai, Yuxing; Zhang, Ning)\n\nDate completed - 2025-09-23\n\nDate created - 2025-09-23\n\nPublication note - Print-Electronic\n\nLast updated - 2025-09-26","page":"380-391","publisher-place":"Department of Orthodontics, School of Stomatology, Capital Medical University, Beijing, China ; Department of Engineering Physics, Tsinghua University, Beijing, China ; State Key Laboratory of Organic-Inorganic Composites, Beijing University of Chemical T, Korea (South)","title":"Comparative mechanical performance of thermoplastic materials for clear aligners  under simulated oral conditions.","type":"article-journal","volume":"55"},"uris":["http://www.mendeley.com/documents/?uuid=e475fc09-f410-4cd2-8c3c-f7181d899c48"]}],"mendeley":{"formattedCitation":"[73]","plainTextFormattedCitation":"[73]","previouslyFormattedCitation":"[73]"},"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[73]</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38D66B5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4DFFF8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705BD17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0D7F84C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7015386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922BD0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4B9E90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2B2E137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21AD156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081B804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221474B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05CF4D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7CE894D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5665A76E" w14:textId="77777777" w:rsidTr="005304A6">
        <w:trPr>
          <w:trHeight w:val="321"/>
        </w:trPr>
        <w:tc>
          <w:tcPr>
            <w:tcW w:w="3080" w:type="dxa"/>
            <w:tcBorders>
              <w:top w:val="nil"/>
              <w:left w:val="nil"/>
              <w:bottom w:val="nil"/>
              <w:right w:val="nil"/>
            </w:tcBorders>
            <w:shd w:val="clear" w:color="auto" w:fill="auto"/>
            <w:noWrap/>
            <w:hideMark/>
          </w:tcPr>
          <w:p w14:paraId="4CE286E0" w14:textId="57465685"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Lombardo et al., 2015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10.1186/s40510-015-0111-z","ISSN":"2196-1042","author":[{"dropping-particle":"","family":"Lombardo","given":"Luca","non-dropping-particle":"","parse-names":false,"suffix":""},{"dropping-particle":"","family":"Arreghini","given":"Angela","non-dropping-particle":"","parse-names":false,"suffix":""},{"dropping-particle":"","family":"Maccarrone","given":"Roberta","non-dropping-particle":"","parse-names":false,"suffix":""},{"dropping-particle":"","family":"Bianchi","given":"Anna","non-dropping-particle":"","parse-names":false,"suffix":""},{"dropping-particle":"","family":"Scalia","given":"Santo","non-dropping-particle":"","parse-names":false,"suffix":""},{"dropping-particle":"","family":"Siciliani","given":"Giuseppe","non-dropping-particle":"","parse-names":false,"suffix":""}],"container-title":"Progress in Orthodontics","id":"ITEM-1","issue":"1","issued":{"date-parts":[["2015","12","18"]]},"page":"41","title":"Optical properties of orthodontic aligners—spectrophotometry analysis of three types before and after aging","type":"article-journal","volume":"16"},"uris":["http://www.mendeley.com/documents/?uuid=e99cc427-f5bf-4cd7-8357-f5bdc8e49d8f"]}],"mendeley":{"formattedCitation":"[36]","plainTextFormattedCitation":"[36]","previouslyFormattedCitation":"[36]"},"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[36]</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95D1DC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744C883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3712FB9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6E4B176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51CD260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4637C3B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645C04A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392BEF0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657D063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0864CB7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1DDF74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207B55B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3693927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07BCFCE3" w14:textId="77777777" w:rsidTr="005304A6">
        <w:trPr>
          <w:trHeight w:val="321"/>
        </w:trPr>
        <w:tc>
          <w:tcPr>
            <w:tcW w:w="3080" w:type="dxa"/>
            <w:tcBorders>
              <w:top w:val="nil"/>
              <w:left w:val="nil"/>
              <w:bottom w:val="nil"/>
              <w:right w:val="nil"/>
            </w:tcBorders>
            <w:shd w:val="clear" w:color="auto" w:fill="auto"/>
            <w:noWrap/>
            <w:hideMark/>
          </w:tcPr>
          <w:p w14:paraId="14D51183" w14:textId="71C799AD"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Lombardo et al., 2016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{"citationItems":[{"id":"ITEM-1","itemData":{"DOI":"10.2319/113015-813.1","ISSN":"1945-7103","PMID":"27314603","abstract":"OBJECTIVE To investigate the stress release properties of four thermoplastic materials used to make orthodontic aligners when subjected to 24 consecutive hours of deflection. MATERIALS AND METHODS Four types of aligner materials (two single and two double layered) were selected. After initial yield strength testing to characterize the materials, each sample was subjected to a constant load for 24 hours in a moist, temperature-regulated environment, and the stress release over time was measured. The test was performed three times on each type of material. RESULTS All polymers analyzed released a significant amount of stress during the 24-hour period. Stress release was greater during the first 8 hours, reaching a plateau that generally remained constant. The single-layer materials, F22 Aligner polyurethane (Sweden &amp; Martina, Due Carrare, Padova, Italy) and Duran polyethylene terephthalate glycol-modified (SCHEU, Iserlohn, Germany), exhibited the greatest values for both absolute stress and stress decay speed. The double-layer materials, Erkoloc-Pro (Erkodent, Pfalzgrafenweiler, Germany) and Durasoft (SCHEU), exhibited very constant stress release, but at absolute values up to four times lower than the single-layer samples tested. CONCLUSIONS Orthodontic aligner performance is strongly influenced by the material of their construction. Stress release, which may exceed 50% of the initial stress value in the early hours of wear, may cause significant changes in the behavior of the polymers at 24 hours from the application of orthodontic loads, which may influence programmed tooth movement.","author":[{"dropping-particle":"","family":"Lombardo","given":"Luca","non-dropping-particle":"","parse-names":false,"suffix":""},{"dropping-particle":"","family":"Martines","given":"Elisa","non-dropping-particle":"","parse-names":false,"suffix":""},{"dropping-particle":"","family":"Mazzanti","given":"Valentina","non-dropping-particle":"","parse-names":false,"suffix":""},{"dropping-particle":"","family":"Arreghini","given":"Angela","non-dropping-particle":"","parse-names":false,"suffix":""},{"dropping-particle":"","family":"Mollica","given":"Francesco","non-dropping-particle":"","parse-names":false,"suffix":""},{"dropping-particle":"","family":"Siciliani","given":"Giuseppe","non-dropping-particle":"","parse-names":false,"suffix":""}],"container-title":"The Angle orthodontist","id":"ITEM-1","issue":"1","issued":{"date-parts":[["2017","1","1"]]},"page":"11-18","title":"Stress relaxation properties of four orthodontic aligner materials: A 24-hour in vitro study.","type":"article-journal","volume":"87"},"uris":["http://www.mendeley.com/documents/?uuid=007f3078-68c1-4688-a845-a96d99a20712"]}],"mendeley":{"formattedCitation":"[35]","plainTextFormattedCitation":"[35]","previouslyFormattedCitation":"[35]"},"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[35]</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4D0D8D4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BF2C47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B6744D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53C80C5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3C8E86E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42DB0EB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68D0231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3DE6A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569F8EC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4235BE4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22D1EDB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6A99F86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2FDB364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2F794037" w14:textId="77777777" w:rsidTr="005304A6">
        <w:trPr>
          <w:trHeight w:val="321"/>
        </w:trPr>
        <w:tc>
          <w:tcPr>
            <w:tcW w:w="3080" w:type="dxa"/>
            <w:tcBorders>
              <w:top w:val="nil"/>
              <w:left w:val="nil"/>
              <w:bottom w:val="nil"/>
              <w:right w:val="nil"/>
            </w:tcBorders>
            <w:shd w:val="clear" w:color="auto" w:fill="auto"/>
            <w:noWrap/>
            <w:hideMark/>
          </w:tcPr>
          <w:p w14:paraId="783E3673" w14:textId="139D917B"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Lorusso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lang w:val="de-CH"/>
              </w:rPr>
              <w:instrText>ADDIN CSL_CITATION {"citationItems":[{"id":"ITEM-1","itemData":{"DOI":"10.4317/jced.62842","author":[{"dropping-particle":"","family":"Lorusso","given":"M","non-dropping-particle":"","parse-names":false,"suffix":""},{"dropping-particle":"","family":"Tepedino","given":"M","non-dropping-particle":"","parse-names":false,"suffix":""},{"dropping-particle":"","family":"Rendina","given":"G","non-dropping-particle":"","parse-names":false,"suffix":""},{"dropping-particle":"","family":"Cazzolla","given":"A P","non-dropping-particle":"","parse-names":false,"suffix":""},{"dropping-particle":"","family":"Esperouz","given":"F","non-dropping-particle":"","parse-names":false,"suffix":""},{"dropping-particle":"","family":"Russo","given":"L L","non-dropping-particle":"","parse-names":false,"suffix":""},{"dropping-particle":"","family":"Ciavarella","given":"D","non-dropping-particle":"","parse-names":false,"suffix":""}],"container-title":"Journal of Clinical and Experimental Dentistry","id":"ITEM-1","issue":"7","issued":{"date-parts":[["2025"]]},"note":"Export Date: 18 March 2026","page":"e779-786","title":"Dimensional stability of pet-g clear aligners with different thickness through cyclic compressive load tests: An in vitro study","type":"article-journal","volume":"17"},"uris":["http://www.mendeley.com/documents/?uuid=ef735ae7-dc79-4914-8bba-9e5be0fd0637"]}],"mendeley":{"formattedCitation":"[95]","plainTextFormattedCitation":"[95]","previouslyFormattedCitation":"[94]"},"properties":{"noteIndex":0},"schema":"https://github.com/citation-style-language/schema/raw/master/csl-citation.json"}</w:instrText>
            </w:r>
            <w:r w:rsidRPr="000B22C8">
              <w:rPr>
                <w:rFonts w:asciiTheme="minorBidi" w:hAnsiTheme="minorBidi"/>
                <w:color w:val="000000"/>
                <w:sz w:val="16"/>
                <w:szCs w:val="16"/>
              </w:rPr>
              <w:fldChar w:fldCharType="separate"/>
            </w:r>
            <w:r w:rsidRPr="004E7F95">
              <w:rPr>
                <w:rFonts w:asciiTheme="minorBidi" w:hAnsiTheme="minorBidi"/>
                <w:noProof/>
                <w:color w:val="000000"/>
                <w:sz w:val="16"/>
                <w:szCs w:val="16"/>
                <w:lang w:val="de-CH"/>
              </w:rPr>
              <w:t>[95]</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05BBDD8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32D5D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E79328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1A9522D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66656C5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5BFB0DB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94A0ED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3927C3B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458B2DA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076222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5AC5E40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74C9A58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76E0F73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330FCF36" w14:textId="77777777" w:rsidTr="005304A6">
        <w:trPr>
          <w:trHeight w:val="321"/>
        </w:trPr>
        <w:tc>
          <w:tcPr>
            <w:tcW w:w="3080" w:type="dxa"/>
            <w:tcBorders>
              <w:top w:val="nil"/>
              <w:left w:val="nil"/>
              <w:bottom w:val="nil"/>
              <w:right w:val="nil"/>
            </w:tcBorders>
            <w:shd w:val="clear" w:color="auto" w:fill="auto"/>
            <w:noWrap/>
            <w:hideMark/>
          </w:tcPr>
          <w:p w14:paraId="59A15738" w14:textId="009C2DC4"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Mehanaz et al., 2025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10.2478/aoj-2025-0012","ISSN":"2207-7480","author":[{"dropping-particle":"","family":"Mehanaz","given":"","non-dropping-particle":"","parse-names":false,"suffix":""},{"dropping-particle":"","family":"RNG","given":"Rajesh","non-dropping-particle":"","parse-names":false,"suffix":""},{"dropping-particle":"","family":"Gujar","given":"Anadha N.","non-dropping-particle":"","parse-names":false,"suffix":""},{"dropping-particle":"","family":"Kondody","given":"Rony T.","non-dropping-particle":"","parse-names":false,"suffix":""},{"dropping-particle":"","family":"Maniratnam","given":"K. Rajkamal","non-dropping-particle":"","parse-names":false,"suffix":""}],"container-title":"Australasian Orthodontic Journal","id":"ITEM-1","issue":"1","issued":{"date-parts":[["2025","1","1"]]},"page":"169-176","title":"Effect of cigarette smoking and alcohol consumption on the colour stability of various orthodontic aligners—an in vitro study","type":"article-journal","volume":"41"},"uris":["http://www.mendeley.com/documents/?uuid=1e171982-b80d-4a89-9941-c537d6578292"]}],"mendeley":{"formattedCitation":"[56]","plainTextFormattedCitation":"[56]","previouslyFormattedCitation":"[56]"},"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[56]</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D9BE5F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00D33B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2A3811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159BC43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13C26EA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51B06B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18DE118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A52F02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7AD339D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145FDA9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3C5247F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B9EEE6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B2B9C1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5F9F13D5" w14:textId="77777777" w:rsidTr="005304A6">
        <w:trPr>
          <w:trHeight w:val="321"/>
        </w:trPr>
        <w:tc>
          <w:tcPr>
            <w:tcW w:w="3080" w:type="dxa"/>
            <w:tcBorders>
              <w:top w:val="nil"/>
              <w:left w:val="nil"/>
              <w:bottom w:val="nil"/>
              <w:right w:val="nil"/>
            </w:tcBorders>
            <w:shd w:val="clear" w:color="auto" w:fill="auto"/>
            <w:noWrap/>
            <w:hideMark/>
          </w:tcPr>
          <w:p w14:paraId="008D0E95" w14:textId="1255AB00"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Mei et al., 2024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10.2478/aoj-2024-0006","ISSN":"2207-7480","author":[{"dropping-particle":"","family":"Mei","given":"Li","non-dropping-particle":"","parse-names":false,"suffix":""},{"dropping-particle":"","family":"Jin","given":"Carrol","non-dropping-particle":"","parse-names":false,"suffix":""},{"dropping-particle":"","family":"Na","given":"Aishah","non-dropping-particle":"","parse-names":false,"suffix":""},{"dropping-particle":"","family":"Marra","given":"Jamie","non-dropping-particle":"","parse-names":false,"suffix":""},{"dropping-particle":"","family":"Guan","given":"Simon","non-dropping-particle":"","parse-names":false,"suffix":""},{"dropping-particle":"","family":"Choi","given":"Joanne","non-dropping-particle":"","parse-names":false,"suffix":""}],"container-title":"Australasian Orthodontic Journal","id":"ITEM-1","issue":"1","issued":{"date-parts":[["2024","1","1"]]},"page":"60-66","title":"Biomechanical aging behaviour of clear aligners","type":"article-journal","volume":"40"},"uris":["http://www.mendeley.com/documents/?uuid=218b9439-6532-4d63-ad25-6727df57a452"]}],"mendeley":{"formattedCitation":"[46]","plainTextFormattedCitation":"[46]","previouslyFormattedCitation":"[46]"},"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[46]</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3E7513F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C8AC5A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62CDEA2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109C49B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56C399E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8F4699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383BFE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306649B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5F27369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7E67214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55740DA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603DE6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41C5E2E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20CFDCD2" w14:textId="77777777" w:rsidTr="005304A6">
        <w:trPr>
          <w:trHeight w:val="321"/>
        </w:trPr>
        <w:tc>
          <w:tcPr>
            <w:tcW w:w="3080" w:type="dxa"/>
            <w:tcBorders>
              <w:top w:val="nil"/>
              <w:left w:val="nil"/>
              <w:bottom w:val="nil"/>
              <w:right w:val="nil"/>
            </w:tcBorders>
            <w:shd w:val="clear" w:color="auto" w:fill="auto"/>
            <w:noWrap/>
            <w:hideMark/>
          </w:tcPr>
          <w:p w14:paraId="74C8B0A3" w14:textId="0BF12FFF"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Memè</w:t>
            </w:r>
            <w:proofErr w:type="spellEnd"/>
            <w:r w:rsidRPr="000B22C8">
              <w:rPr>
                <w:rFonts w:asciiTheme="minorBidi" w:eastAsia="Times New Roman" w:hAnsiTheme="minorBidi"/>
                <w:color w:val="000000"/>
                <w:kern w:val="0"/>
                <w:sz w:val="16"/>
                <w:szCs w:val="16"/>
                <w14:ligatures w14:val="none"/>
              </w:rPr>
              <w:t xml:space="preserve"> et al., 2021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{"citationItems":[{"id":"ITEM-1","itemData":{"DOI":"10.3390/ma14040818","ISSN":"1996-1944","abstract":"Clear and removable tooth aligners for orthodontics treatments have become an increasingly popular alternative to fixed appliances. Even if protocols suggest removing aligners before eating or drinking, most patients retain them when they drink beverages. Alterations in the material during the daily use could determine a reduction in the application forces, affecting the desired orthodontic movement; the knowledge of how this material reacts when subjected to different aging processes is mandatory to establish the predictability of the orthodontic treatment. According to this, the aim of the present study was to assess a new objective approach, coupling spectroscopic and chemometric tools, to evaluate the changes occurring in Invisalign® aligners, the most widely used brand, exposed in vitro to coffee, tea, Coca Cola® and UV radiation for 24 and 48 h. In particular, ATR-FTIR spectroscopy was utilized to characterize, at the molecular level, the chemical and color modifications in the surfaces of the appliances; the obtained data were submitted to PCA and one-way ANOVA and Tukey’s multiple comparison test. Moreover, a colorimetry analysis was carried out to evaluate any changes in color and transparency. Coffee and tea samples displayed the major color changes between the tested groups. The differences highlighted in the spectral features of coffee, tea and UV-treated samples were mainly ascribable to color and transparency changes, because the chemical properties remained unaltered.","author":[{"dropping-particle":"","family":"Memè","given":"Lucia","non-dropping-particle":"","parse-names":false,"suffix":""},{"dropping-particle":"","family":"Notarstefano","given":"Valentina","non-dropping-particle":"","parse-names":false,"suffix":""},{"dropping-particle":"","family":"Sampalmieri","given":"Francesco","non-dropping-particle":"","parse-names":false,"suffix":""},{"dropping-particle":"","family":"Orilisi","given":"Giulia","non-dropping-particle":"","parse-names":false,"suffix":""},{"dropping-particle":"","family":"Quinzi","given":"Vincenzo","non-dropping-particle":"","parse-names":false,"suffix":""}],"container-title":"Materials","id":"ITEM-1","issue":"4","issued":{"date-parts":[["2021","2","9"]]},"page":"818","title":"ATR-FTIR Analysis of Orthodontic Invisalign® Aligners Subjected to Various In Vitro Aging Treatments","type":"article-journal","volume":"14"},"uris":["http://www.mendeley.com/documents/?uuid=759bad33-2428-4430-9fb1-4e4c06576a3d"]}],"mendeley":{"formattedCitation":"[47]","plainTextFormattedCitation":"[47]","previouslyFormattedCitation":"[47]"},"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[47]</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522D4A6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E8B847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3965B48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0DCB7D1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528A408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1CDA7A3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048EB36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718409D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717B78F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28DD7F1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5462697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5E7472E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34684FF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1572EA67" w14:textId="77777777" w:rsidTr="005304A6">
        <w:trPr>
          <w:trHeight w:val="321"/>
        </w:trPr>
        <w:tc>
          <w:tcPr>
            <w:tcW w:w="3080" w:type="dxa"/>
            <w:tcBorders>
              <w:top w:val="nil"/>
              <w:left w:val="nil"/>
              <w:bottom w:val="nil"/>
              <w:right w:val="nil"/>
            </w:tcBorders>
            <w:shd w:val="clear" w:color="auto" w:fill="auto"/>
            <w:noWrap/>
            <w:hideMark/>
          </w:tcPr>
          <w:p w14:paraId="615718F6" w14:textId="0BF597DE"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Nicita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{"citationItems":[{"id":"ITEM-1","itemData":{"DOI":"10.1055/s-0043-1764424","ISSN":"1305-7456","abstract":"Objectives Orthodontic treatment with clear thermoplastic aligners is in great demand by patients especially for aesthetics. Any alterations in the chemical composition of the thermoplastic material for aligners, subjected to the oral environment and exposure to various commonly used substances, could influence the desired orthodontic movement decreasing the predictability of the treatment. The objective of this study was to determine the chemical–physical characterization by micro-Raman spectroscopy of a thermoplastic material based on polyethylene terephthalate glycol (PET-G) used for the manufacture of Lineo aligners (Micerium Lab, Avegno, Italy) subjected to different staining beverages and cleaning agents.","author":[{"dropping-particle":"","family":"Nicita","given":"Fabiana","non-dropping-particle":"","parse-names":false,"suffix":""},{"dropping-particle":"","family":"D'Amico","given":"Cesare","non-dropping-particle":"","parse-names":false,"suffix":""},{"dropping-particle":"","family":"Filardi","given":"Vincenzo","non-dropping-particle":"","parse-names":false,"suffix":""},{"dropping-particle":"","family":"Spadaro","given":"Donatella","non-dropping-particle":"","parse-names":false,"suffix":""},{"dropping-particle":"","family":"Aquilio","given":"Emidio","non-dropping-particle":"","parse-names":false,"suffix":""},{"dropping-particle":"","family":"Mancini","given":"Maura","non-dropping-particle":"","parse-names":false,"suffix":""},{"dropping-particle":"","family":"Fiorillo","given":"Luca","non-dropping-particle":"","parse-names":false,"suffix":""}],"container-title":"European Journal of Dentistry","id":"ITEM-1","issue":"01","issued":{"date-parts":[["2024","2","29"]]},"page":"228-235","title":"Chemical–Physical Characterization of PET-G-Based Material for Orthodontic Use: Preliminary Evaluation of micro-Raman Analysis","type":"article-journal","volume":"18"},"uris":["http://www.mendeley.com/documents/?uuid=48b62fa3-a952-4f23-af95-e96cb3c5663d"]}],"mendeley":{"formattedCitation":"[57]","plainTextFormattedCitation":"[57]","previouslyFormattedCitation":"[57]"},"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[57]</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656589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0364880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2C2D5A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478C079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620D13F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AC39CD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2D656B4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26D0737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25EA16F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2080A6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279A3C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112" w:type="dxa"/>
            <w:tcBorders>
              <w:top w:val="nil"/>
              <w:left w:val="nil"/>
              <w:bottom w:val="nil"/>
              <w:right w:val="nil"/>
            </w:tcBorders>
            <w:shd w:val="clear" w:color="auto" w:fill="auto"/>
            <w:noWrap/>
            <w:hideMark/>
          </w:tcPr>
          <w:p w14:paraId="0F8C08A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21" w:type="dxa"/>
            <w:tcBorders>
              <w:top w:val="nil"/>
              <w:left w:val="nil"/>
              <w:bottom w:val="nil"/>
              <w:right w:val="nil"/>
            </w:tcBorders>
            <w:shd w:val="clear" w:color="auto" w:fill="auto"/>
            <w:noWrap/>
            <w:hideMark/>
          </w:tcPr>
          <w:p w14:paraId="0A345A2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45.8</w:t>
            </w:r>
          </w:p>
        </w:tc>
      </w:tr>
      <w:tr w:rsidR="007D5124" w:rsidRPr="000B22C8" w14:paraId="18CF3395" w14:textId="77777777" w:rsidTr="005304A6">
        <w:trPr>
          <w:trHeight w:val="321"/>
        </w:trPr>
        <w:tc>
          <w:tcPr>
            <w:tcW w:w="3080" w:type="dxa"/>
            <w:tcBorders>
              <w:top w:val="nil"/>
              <w:left w:val="nil"/>
              <w:bottom w:val="nil"/>
              <w:right w:val="nil"/>
            </w:tcBorders>
            <w:shd w:val="clear" w:color="auto" w:fill="auto"/>
            <w:noWrap/>
            <w:hideMark/>
          </w:tcPr>
          <w:p w14:paraId="7497244B" w14:textId="2A0E8DDE"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lastRenderedPageBreak/>
              <w:t xml:space="preserve">Nicita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10.3390/engproc2025087050","author":[{"dropping-particle":"","family":"Nicita","given":"Fabiana","non-dropping-particle":"","parse-names":false,"suffix":""},{"dropping-particle":"","family":"Lipari","given":"Joseph","non-dropping-particle":"","parse-names":false,"suffix":""},{"dropping-particle":"","family":"Lipari","given":"Frank","non-dropping-particle":"","parse-names":false,"suffix":""},{"dropping-particle":"","family":"Nicita","given":"Arianna","non-dropping-particle":"","parse-names":false,"suffix":""}],"container-title":"ASEC 2024","id":"ITEM-1","issue":"1","issued":{"date-parts":[["2025","4","21"]]},"note":"Export Date: 18 March 2026","page":"50","publisher":"MDPI","publisher-place":"Basel Switzerland","title":"Color Stability of PET-G in Clear Aligners: Impact of Prolonged Exposure to Everyday Substances and Its Psychological and Social Implications","type":"paper-conference","volume":"87"},"uris":["http://www.mendeley.com/documents/?uuid=5503f01c-4ead-4205-9597-df7c6c633d55"]}],"mendeley":{"formattedCitation":"[64]","plainTextFormattedCitation":"[64]","previouslyFormattedCitation":"[64]"},"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[64]</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655837E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046546B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3C561A3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4E37A97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486DD22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3824601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6687FD9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0A19826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FAB468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38BDCF4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731" w:type="dxa"/>
            <w:tcBorders>
              <w:top w:val="nil"/>
              <w:left w:val="nil"/>
              <w:bottom w:val="nil"/>
              <w:right w:val="nil"/>
            </w:tcBorders>
            <w:shd w:val="clear" w:color="auto" w:fill="auto"/>
            <w:noWrap/>
            <w:hideMark/>
          </w:tcPr>
          <w:p w14:paraId="64C6E5D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D6D12C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1C76E8D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75</w:t>
            </w:r>
          </w:p>
        </w:tc>
      </w:tr>
      <w:tr w:rsidR="007D5124" w:rsidRPr="000B22C8" w14:paraId="585B5329" w14:textId="77777777" w:rsidTr="005304A6">
        <w:trPr>
          <w:trHeight w:val="321"/>
        </w:trPr>
        <w:tc>
          <w:tcPr>
            <w:tcW w:w="3080" w:type="dxa"/>
            <w:tcBorders>
              <w:top w:val="nil"/>
              <w:left w:val="nil"/>
              <w:bottom w:val="nil"/>
              <w:right w:val="nil"/>
            </w:tcBorders>
            <w:shd w:val="clear" w:color="auto" w:fill="auto"/>
            <w:noWrap/>
            <w:hideMark/>
          </w:tcPr>
          <w:p w14:paraId="5FFAACCD" w14:textId="497E2C38"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Olteanu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{"citationItems":[{"id":"ITEM-1","itemData":{"DOI":"10.3390/ma17164009","ISSN":"1996-1944","abstract":"This study aimed to compare the color changes in two different orthodontic clear aligner systems after submersion in various beverages for 14 days. The tested aligner systems were Taglus Premium made of polyethylene terephthalate glycol (the TAG group) and CA® Prodin+ made of a transparent copolyester and a thermoplastic elastomer (the PRO group). A total of 56 samples were firstly divided into two groups according to the tested system—TAG and PRO. Each group was subsequently divided in four subgroups according to immersion solution: A—artificial saliva, B—cola, C—coffee, D—red wine. Color measurements were performed on Days 1, 7 and 14 using a portable colorimeter and the CIE L*a*b* system. The obtained results showed significant color changes in both materials when exposed to coffee and red wine (p &gt; 0.05). Samples in the PRO group showed a greater susceptibility to discoloration (higher ΔE values) when compared to the TAG group after submersion in cola (p = 0.025), coffee (p = 0.005) and red wine (p = 0.041) solutions. Statistical analysis revealed that all of the color parameters ΔL*, Δa*, Δb* and ΔE of both tested materials were affected by submersion in coffee solution for 14 days. In conclusion, the CA® Pro+ aligner system is more prone to staining compared to the Taglus material after submersion for 14 days in cola, coffee and red wine solutions. Submersion for 14 days in coffee solution alters all of the color parameters (ΔL, Δa, Δb and ΔE) of both tested aligner materials.","author":[{"dropping-particle":"","family":"Olteanu","given":"Nicolae Daniel","non-dropping-particle":"","parse-names":false,"suffix":""},{"dropping-particle":"","family":"Taraboanta","given":"Ionut","non-dropping-particle":"","parse-names":false,"suffix":""},{"dropping-particle":"","family":"Panaite","given":"Tinela","non-dropping-particle":"","parse-names":false,"suffix":""},{"dropping-particle":"","family":"Balcos","given":"Carina","non-dropping-particle":"","parse-names":false,"suffix":""},{"dropping-particle":"","family":"Rosu","given":"Sorana Nicoleta","non-dropping-particle":"","parse-names":false,"suffix":""},{"dropping-particle":"","family":"Vieriu","given":"Raluca Maria","non-dropping-particle":"","parse-names":false,"suffix":""},{"dropping-particle":"","family":"Dinu","given":"Stefania","non-dropping-particle":"","parse-names":false,"suffix":""},{"dropping-particle":"","family":"Zetu","given":"Irina Nicoleta","non-dropping-particle":"","parse-names":false,"suffix":""}],"container-title":"Materials","id":"ITEM-1","issue":"16","issued":{"date-parts":[["2024","8","12"]]},"page":"4009","title":"Color Stability of Various Orthodontic Clear Aligner Systems after Submersion in Different Staining Beverages","type":"article-journal","volume":"17"},"uris":["http://www.mendeley.com/documents/?uuid=a7da6f50-8667-4f43-a1b8-290388f6713f"]}],"mendeley":{"formattedCitation":"[29]","plainTextFormattedCitation":"[29]","previouslyFormattedCitation":"[29]"},"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[29]</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2EC40DD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3254A58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745E5E5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635621F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7A6121F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B60235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3239C11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6CB05CA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44DF445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444D972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6FAC429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E83F7D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7C7001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75</w:t>
            </w:r>
          </w:p>
        </w:tc>
      </w:tr>
      <w:tr w:rsidR="007D5124" w:rsidRPr="000B22C8" w14:paraId="13C888FE" w14:textId="77777777" w:rsidTr="005304A6">
        <w:trPr>
          <w:trHeight w:val="321"/>
        </w:trPr>
        <w:tc>
          <w:tcPr>
            <w:tcW w:w="3080" w:type="dxa"/>
            <w:tcBorders>
              <w:top w:val="nil"/>
              <w:left w:val="nil"/>
              <w:bottom w:val="nil"/>
              <w:right w:val="nil"/>
            </w:tcBorders>
            <w:shd w:val="clear" w:color="auto" w:fill="auto"/>
            <w:noWrap/>
            <w:hideMark/>
          </w:tcPr>
          <w:p w14:paraId="42923FCF" w14:textId="49FE928E"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Oyonarte</w:t>
            </w:r>
            <w:proofErr w:type="spellEnd"/>
            <w:r w:rsidRPr="000B22C8">
              <w:rPr>
                <w:rFonts w:asciiTheme="minorBidi" w:eastAsia="Times New Roman" w:hAnsiTheme="minorBidi"/>
                <w:color w:val="000000"/>
                <w:kern w:val="0"/>
                <w:sz w:val="16"/>
                <w:szCs w:val="16"/>
                <w14:ligatures w14:val="none"/>
              </w:rPr>
              <w:t xml:space="preserve"> et al., 2026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{"citationItems":[{"id":"ITEM-1","itemData":{"DOI":"https://doi.org/10.1038/s41598-026-36723-8","ISSN":"2045-2322 (Electronic)","PMID":"41559345","abstract":"This study compared the mechanical properties of direct-printed dental aligner materials made from 3D-printed resins TC-85, TR-07, and TA-28 with those of two conventional thermoformed materials—Zendura-A and Zendura-Flx—to evaluate their performance under simulated physiological conditions. Test specimens were immersed in a 37 °C water bath for 12 different durations: 0, 5, and 30 min; 1, 3, 6, and 9 h; and 1, 3, 7, and 14 d. Tensile tests were performed using a universal testing machine (Zwick Z010, Zwick, Ulm, Germany) to measure the Young’s modulus (MPa), elongation at break (%), and tensile force (N) at strains of 1%, 2%, and 3%. After 14 d of immersion, TC-85, TA-28, and TR-07 exhibited forces in the range of 4.04–7.24 N at 1% strain and 7.30–13.48 N at 3% strain, while Zendura A and Zendura FLX exhibited forces of 26.26–32.91 N at 1% strain and 32.91–65.23 N at 3% strain. The Young’s modulus and UTS results exhibit a trend similar to that of the tensile force. Direct-printed aligners exhibited a 25.3% (TC-85) increase in elongation at break after 30 min, whereas thermoformed aligners exhibited a 5.5% reduction. Direct-printed resins, such as TC-85, TA-28, and TR-07, with temperature-responsive viscoelastic behavior, exhibited statistically significant differences from thermoformed aligner materials, delivering lower mechanical loads that could favor a more suitable orthodontic force profile for clear aligners.","author":[{"dropping-particle":"","family":"Oyonarte","given":"Rodrigo","non-dropping-particle":"","parse-names":false,"suffix":""},{"dropping-particle":"","family":"Lagos","given":"Isabel Margarita","non-dropping-particle":"","parse-names":false,"suffix":""},{"dropping-particle":"","family":"Vidaurre L.","given":"Francisca","non-dropping-particle":"","parse-names":false,"suffix":""},{"dropping-particle":"","family":"Parada B.","given":"Tomás","non-dropping-particle":"","parse-names":false,"suffix":""},{"dropping-particle":"","family":"Real","given":"Alberto","non-dropping-particle":"del","parse-names":false,"suffix":""},{"dropping-particle":"","family":"Jang","given":"Soonho","non-dropping-particle":"","parse-names":false,"suffix":""},{"dropping-particle":"","family":"Jeong","given":"Harim","non-dropping-particle":"","parse-names":false,"suffix":""},{"dropping-particle":"","family":"Lee","given":"Jiho","non-dropping-particle":"","parse-names":false,"suffix":""},{"dropping-particle":"","family":"Min","given":"Jinhong","non-dropping-particle":"","parse-names":false,"suffix":""},{"dropping-particle":"","family":"Elshazly","given":"Tarek M","non-dropping-particle":"","parse-names":false,"suffix":""},{"dropping-particle":"","family":"Cha","given":"Jung-Yul","non-dropping-particle":"","parse-names":false,"suffix":""},{"dropping-particle":"","family":"Kim","given":"Hoon","non-dropping-particle":"","parse-names":false,"suffix":""},{"dropping-particle":"","family":"Vidaurre L","given":"Francisca","non-dropping-particle":"","parse-names":false,"suffix":""},{"dropping-particle":"","family":"Parada B","given":"Tomás","non-dropping-particle":"","parse-names":false,"suffix":""},{"dropping-particle":"","family":"Real","given":"Alberto","non-dropping-particle":"del","parse-names":false,"suffix":""},{"dropping-particle":"","family":"Jang","given":"Soonho","non-dropping-particle":"","parse-names":false,"suffix":""},{"dropping-particle":"","family":"Jeong","given":"Harim","non-dropping-particle":"","parse-names":false,"suffix":""},{"dropping-particle":"","family":"Lee","given":"Jiho","non-dropping-particle":"","parse-names":false,"suffix":""},{"dropping-particle":"","family":"Min","given":"Jinhong","non-dropping-particle":"","parse-names":false,"suffix":""},{"dropping-particle":"","family":"Elshazly","given":"Tarek M","non-dropping-particle":"","parse-names":false,"suffix":""},{"dropping-particle":"","family":"Cha","given":"Jung-Yul","non-dropping-particle":"","parse-names":false,"suffix":""},{"dropping-particle":"","family":"Kim","given":"Hoon","non-dropping-particle":"","parse-names":false,"suffix":""}],"container-title":"Scientific Reports (Nature Publisher Group)","id":"ITEM-1","issue":"1","issued":{"date-parts":[["2026","1"]]},"language":"English","note":"From Duplicate 2 (Mechanical properties of thermoformed and direct-printed aligner materials after immersion in 37 °C water: a 14-day in vitro study - Oyonarte, Rodrigo; Lagos, Isabel Margarita; Vidaurre L., Francisca; Parada B., Tomás; del Real, Alberto; Jang, Soonho; Jeong, Harim; Lee, Jiho; Min, Jinhong; Elshazly, Tarek M; Cha, Jung-Yul; Kim, Hoon)\n\nCopyright - © The Author(s) 2026. This work is published under http://creativecommons.org/licenses/by/4.0/ (the &amp;quot;License&amp;quot;). Notwithstanding the ProQuest Terms and Conditions, you may use this content in accordance with the terms of the License.\n\nLast updated - 2026-02-12\n\nSubjectsTermNotLitGenreText - United States--US; Germany; Environmental; South Korea","page":"5864","publisher":"Nature Publishing Group PP  - London","publisher-place":"Facultad de Odotología, Universidad de los Andes, Monseñor Alvaro del Portillo, 12455, Las Condes, Santiago, Chile (ROR: https://ror.org/03v0qd864) (GRID: grid.440627.3) (ISNI: 0000 0004 0487 6659) ; Graphy Inc., Graphy R&amp;amp;D Center, 08501, Seoul, Repub, England","title":"Mechanical properties of thermoformed and direct-printed aligner materials after immersion in 37 °C water: a 14-day in vitro study","type":"article-journal","volume":"16"},"uris":["http://www.mendeley.com/documents/?uuid=5d66147e-7f05-4a30-9795-a5fcc1d20af8"]}],"mendeley":{"formattedCitation":"[71]","plainTextFormattedCitation":"[71]","previouslyFormattedCitation":"[71]"},"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[71]</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7FA6C1F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3B6BEB6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69" w:type="dxa"/>
            <w:tcBorders>
              <w:top w:val="nil"/>
              <w:left w:val="nil"/>
              <w:bottom w:val="nil"/>
              <w:right w:val="nil"/>
            </w:tcBorders>
            <w:shd w:val="clear" w:color="auto" w:fill="auto"/>
            <w:noWrap/>
            <w:hideMark/>
          </w:tcPr>
          <w:p w14:paraId="3633DEE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7EFB657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0D70516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8EEFD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385124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531C2E1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7B21675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4B869B3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5FE988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132E485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7198F3A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62.5</w:t>
            </w:r>
          </w:p>
        </w:tc>
      </w:tr>
      <w:tr w:rsidR="007D5124" w:rsidRPr="000B22C8" w14:paraId="7EAC7C6C" w14:textId="77777777" w:rsidTr="005304A6">
        <w:trPr>
          <w:trHeight w:val="321"/>
        </w:trPr>
        <w:tc>
          <w:tcPr>
            <w:tcW w:w="3080" w:type="dxa"/>
            <w:tcBorders>
              <w:top w:val="nil"/>
              <w:left w:val="nil"/>
              <w:bottom w:val="nil"/>
              <w:right w:val="nil"/>
            </w:tcBorders>
            <w:shd w:val="clear" w:color="auto" w:fill="auto"/>
            <w:noWrap/>
            <w:hideMark/>
          </w:tcPr>
          <w:p w14:paraId="0F3C2FA6" w14:textId="7D9B62B8"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Paradowska-Stolarz et al., 2023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{"citationItems":[{"id":"ITEM-1","itemData":{"DOI":"10.3390/jfb14060295","ISSN":"2079-4983","abstract":"Three-dimensional printing has become incorporated into various aspects of everyday life, including dentistry. Novel materials are being introduced rapidly. One such material is Dental LT Clear by Formlabs, a resin used for manufacturing occlusal splints, aligners, and orthodontic retainers. In this study, a total of 240 specimens, comprising two shapes (dumbbell and rectangular), were evaluated through compression and tensile tests. The compression tests revealed that the specimens were neither polished nor aged. However, after polishing, the compression modulus values decreased significantly. Specifically, the unpolished and nonaged specimens measured 0.87 ± 0.02, whereas the polished group measured 0.086 ± 0.03. The results were significantly affected by artificial aging. The polished group measured 0.73 ± 0.05, while the unpolished group measured 0.73 ± 0.03. In contrast, the tensile test proved that the specimens showed the highest resistance when the polishing was applied. The artificial aging influenced the tensile test and reduced the force needed to damage the specimens. The tensile modulus had the highest value when polishing was applied (3.00 ± 0.11). The conclusions drawn from these findings are as follows: 1. Polishing does not change the properties of the examined resin. 2. Artificial aging reduces resistance in both compression and tensile tests. 3. Polishing reduces the damage to the specimens in the aging process.","author":[{"dropping-particle":"","family":"Paradowska-Stolarz","given":"Anna","non-dropping-particle":"","parse-names":false,"suffix":""},{"dropping-particle":"","family":"Wezgowiec","given":"Joanna","non-dropping-particle":"","parse-names":false,"suffix":""},{"dropping-particle":"","family":"Malysa","given":"Andrzej","non-dropping-particle":"","parse-names":false,"suffix":""},{"dropping-particle":"","family":"Wieckiewicz","given":"Mieszko","non-dropping-particle":"","parse-names":false,"suffix":""}],"container-title":"Journal of Functional Biomaterials","id":"ITEM-1","issue":"6","issued":{"date-parts":[["2023","5","25"]]},"page":"295","title":"Effects of Polishing and Artificial Aging on Mechanical Properties of Dental LT Clear® Resin","type":"article-journal","volume":"14"},"uris":["http://www.mendeley.com/documents/?uuid=b6a5f2ef-2a01-47e9-b770-6b3e89d98966"]}],"mendeley":{"formattedCitation":"[39]","plainTextFormattedCitation":"[39]","previouslyFormattedCitation":"[39]"},"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[39]</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2FCAFB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02ED28F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5F4860E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76BA05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597723E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4AA8CE6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903007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3358D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088DD0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4389A48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127A9CE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04E2F29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1180363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17F9423E" w14:textId="77777777" w:rsidTr="005304A6">
        <w:trPr>
          <w:trHeight w:val="321"/>
        </w:trPr>
        <w:tc>
          <w:tcPr>
            <w:tcW w:w="3080" w:type="dxa"/>
            <w:tcBorders>
              <w:top w:val="nil"/>
              <w:left w:val="nil"/>
              <w:bottom w:val="nil"/>
              <w:right w:val="nil"/>
            </w:tcBorders>
            <w:shd w:val="clear" w:color="auto" w:fill="auto"/>
            <w:noWrap/>
            <w:hideMark/>
          </w:tcPr>
          <w:p w14:paraId="3A2E2E06" w14:textId="70CA5031"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proofErr w:type="spellStart"/>
            <w:r w:rsidRPr="000B22C8">
              <w:rPr>
                <w:rFonts w:asciiTheme="minorBidi" w:eastAsia="Times New Roman" w:hAnsiTheme="minorBidi"/>
                <w:color w:val="000000"/>
                <w:kern w:val="0"/>
                <w:sz w:val="16"/>
                <w:szCs w:val="16"/>
                <w14:ligatures w14:val="none"/>
              </w:rPr>
              <w:t>Perumalla</w:t>
            </w:r>
            <w:proofErr w:type="spellEnd"/>
            <w:r w:rsidRPr="000B22C8">
              <w:rPr>
                <w:rFonts w:asciiTheme="minorBidi" w:eastAsia="Times New Roman" w:hAnsiTheme="minorBidi"/>
                <w:color w:val="000000"/>
                <w:kern w:val="0"/>
                <w:sz w:val="16"/>
                <w:szCs w:val="16"/>
                <w14:ligatures w14:val="none"/>
              </w:rPr>
              <w:t xml:space="preserve"> et al., 2026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{"citationItems":[{"id":"ITEM-1","itemData":{"DOI":"https://doi.org/10.1016/j.ortho.2025.101105","ISSN":"1879-680X","abstract":"To evaluate and compare the colour stability of direct-printed and thermoformed clear aligners after exposure to common staining agents.OBJECTIVETo evaluate and compare the colour stability of direct-printed and thermoformed clear aligners after exposure to common staining agents.Clear aligners fabricated using two direct-printed resins, TC85 and TA28 (Graphy Inc., Seoul, Republic of Korea), and one thermoformed aligner, Erkodur (Erkodent, Germany), were tested for colour stability in coffee, curcumin, and 0.2% chlorhexidine mouthwash, with distilled water as control. A total of 132 specimens (n=11 per group) were immersed in the respective solutions at 37°C for 7 days. Colour variation (ΔE*) was measured using a spectrophotometer, while molecular and surface changes were analysed using attenuated total reflectance-Fourier transform infrared (ATR-FTIR) spectroscopy and scanning electron microscopy (SEM). Data were analysed using two-way ANOVA with Tukey's post hoc test (P&lt;0.001).METHODSClear aligners fabricated using two direct-printed resins, TC85 and TA28 (Graphy Inc., Seoul, Republic of Korea), and one thermoformed aligner, Erkodur (Erkodent, Germany), were tested for colour stability in coffee, curcumin, and 0.2% chlorhexidine mouthwash, with distilled water as control. A total of 132 specimens (n=11 per group) were immersed in the respective solutions at 37°C for 7 days. Colour variation (ΔE*) was measured using a spectrophotometer, while molecular and surface changes were analysed using attenuated total reflectance-Fourier transform infrared (ATR-FTIR) spectroscopy and scanning electron microscopy (SEM). Data were analysed using two-way ANOVA with Tukey's post hoc test (P&lt;0.001).Thermoformed aligners demonstrated significantly greater colour stability (ΔE*=2.56; 95% CI: 2.27-2.85; P&lt;0.001), smoother surface morphology, and superior chemical integrity compared to direct-printed aligners - TC85 (ΔE*=9.82; 95% CI: 9.53-10.11) and TA28 (ΔE*=3.59; 95% CI: 3.30-3.88).RESULTSThermoformed aligners demonstrated significantly greater colour stability (ΔE*=2.56; 95% CI: 2.27-2.85; P&lt;0.001), smoother surface morphology, and superior chemical integrity compared to direct-printed aligners - TC85 (ΔE*=9.82; 95% CI: 9.53-10.11) and TA28 (ΔE*=3.59; 95% CI: 3.30-3.88).Direct-printed aligners exhibited inferior optical and surface properties, influenced by material composition and printing technology. PETG-based thermoformed aligners showed enhanced colour and struc…","author":[{"dropping-particle":"","family":"Perumalla","given":"Bhavani Priya","non-dropping-particle":"","parse-names":false,"suffix":""},{"dropping-particle":"","family":"Kandikatla","given":"Pradeep","non-dropping-particle":"","parse-names":false,"suffix":""},{"dropping-particle":"","family":"Bhupathi","given":"Arun","non-dropping-particle":"","parse-names":false,"suffix":""},{"dropping-particle":"","family":"Manda","given":"Anoosha","non-dropping-particle":"","parse-names":false,"suffix":""},{"dropping-particle":"","family":"Varma","given":"Praveen Kumar","non-dropping-particle":"","parse-names":false,"suffix":""},{"dropping-particle":"","family":"Babu","given":"Hari","non-dropping-particle":"","parse-names":false,"suffix":""}],"container-title":"International orthodontics","id":"ITEM-1","issue":"2","issued":{"date-parts":[["2025","12","5"]]},"language":"English","note":"Copyright - Copyright © 2025 CEO. Published by Elsevier Masson SAS. All rights reserved.\n\nDate created - 2025-12-06\n\nPublication note - Print-Electronic\n\nSuppNotes - Disclosure of interest The authors declare that they have no competing interest.\n\nLast updated - 2025-12-07","page":"101105","publisher-place":"Department Of Orthodontics, Vishnu Dental College, Bhimavaram, Andhra Pradesh, India anoosham@vdc.edu.in","title":"Assessing colour stability of direct printed and thermoformed aligners: An in vitro study on aesthetics longevity","type":"article-journal","volume":"24"},"uris":["http://www.mendeley.com/documents/?uuid=f7956789-3e95-44b0-beb5-5fab7dce54e6"]}],"mendeley":{"formattedCitation":"[60]","plainTextFormattedCitation":"[60]","previouslyFormattedCitation":"[60]"},"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lang w:val="de-CH"/>
              </w:rPr>
              <w:t>[60]</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18A88083"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69" w:type="dxa"/>
            <w:tcBorders>
              <w:top w:val="nil"/>
              <w:left w:val="nil"/>
              <w:bottom w:val="nil"/>
              <w:right w:val="nil"/>
            </w:tcBorders>
            <w:shd w:val="clear" w:color="auto" w:fill="auto"/>
            <w:noWrap/>
            <w:hideMark/>
          </w:tcPr>
          <w:p w14:paraId="1356DD63"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69" w:type="dxa"/>
            <w:tcBorders>
              <w:top w:val="nil"/>
              <w:left w:val="nil"/>
              <w:bottom w:val="nil"/>
              <w:right w:val="nil"/>
            </w:tcBorders>
            <w:shd w:val="clear" w:color="auto" w:fill="auto"/>
            <w:noWrap/>
            <w:hideMark/>
          </w:tcPr>
          <w:p w14:paraId="0677D07F"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000" w:type="dxa"/>
            <w:tcBorders>
              <w:top w:val="nil"/>
              <w:left w:val="nil"/>
              <w:bottom w:val="nil"/>
              <w:right w:val="nil"/>
            </w:tcBorders>
            <w:shd w:val="clear" w:color="auto" w:fill="auto"/>
            <w:noWrap/>
            <w:hideMark/>
          </w:tcPr>
          <w:p w14:paraId="3D864E16"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74" w:type="dxa"/>
            <w:tcBorders>
              <w:top w:val="nil"/>
              <w:left w:val="nil"/>
              <w:bottom w:val="nil"/>
              <w:right w:val="nil"/>
            </w:tcBorders>
            <w:shd w:val="clear" w:color="auto" w:fill="auto"/>
            <w:noWrap/>
            <w:hideMark/>
          </w:tcPr>
          <w:p w14:paraId="646E7370"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588" w:type="dxa"/>
            <w:tcBorders>
              <w:top w:val="nil"/>
              <w:left w:val="nil"/>
              <w:bottom w:val="nil"/>
              <w:right w:val="nil"/>
            </w:tcBorders>
            <w:shd w:val="clear" w:color="auto" w:fill="auto"/>
            <w:noWrap/>
            <w:hideMark/>
          </w:tcPr>
          <w:p w14:paraId="7C4F7A88"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2427" w:type="dxa"/>
            <w:tcBorders>
              <w:top w:val="nil"/>
              <w:left w:val="nil"/>
              <w:bottom w:val="nil"/>
              <w:right w:val="nil"/>
            </w:tcBorders>
            <w:shd w:val="clear" w:color="auto" w:fill="auto"/>
            <w:noWrap/>
            <w:hideMark/>
          </w:tcPr>
          <w:p w14:paraId="101CB45C"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2238" w:type="dxa"/>
            <w:tcBorders>
              <w:top w:val="nil"/>
              <w:left w:val="nil"/>
              <w:bottom w:val="nil"/>
              <w:right w:val="nil"/>
            </w:tcBorders>
            <w:shd w:val="clear" w:color="auto" w:fill="auto"/>
            <w:noWrap/>
            <w:hideMark/>
          </w:tcPr>
          <w:p w14:paraId="383FF820"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621" w:type="dxa"/>
            <w:tcBorders>
              <w:top w:val="nil"/>
              <w:left w:val="nil"/>
              <w:bottom w:val="nil"/>
              <w:right w:val="nil"/>
            </w:tcBorders>
            <w:shd w:val="clear" w:color="auto" w:fill="auto"/>
            <w:noWrap/>
            <w:hideMark/>
          </w:tcPr>
          <w:p w14:paraId="091EC124"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525" w:type="dxa"/>
            <w:tcBorders>
              <w:top w:val="nil"/>
              <w:left w:val="nil"/>
              <w:bottom w:val="nil"/>
              <w:right w:val="nil"/>
            </w:tcBorders>
            <w:shd w:val="clear" w:color="auto" w:fill="auto"/>
            <w:noWrap/>
            <w:hideMark/>
          </w:tcPr>
          <w:p w14:paraId="7BE42990"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731" w:type="dxa"/>
            <w:tcBorders>
              <w:top w:val="nil"/>
              <w:left w:val="nil"/>
              <w:bottom w:val="nil"/>
              <w:right w:val="nil"/>
            </w:tcBorders>
            <w:shd w:val="clear" w:color="auto" w:fill="auto"/>
            <w:noWrap/>
            <w:hideMark/>
          </w:tcPr>
          <w:p w14:paraId="7B1B6EF2"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12" w:type="dxa"/>
            <w:tcBorders>
              <w:top w:val="nil"/>
              <w:left w:val="nil"/>
              <w:bottom w:val="nil"/>
              <w:right w:val="nil"/>
            </w:tcBorders>
            <w:shd w:val="clear" w:color="auto" w:fill="auto"/>
            <w:noWrap/>
            <w:hideMark/>
          </w:tcPr>
          <w:p w14:paraId="667C4102"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21" w:type="dxa"/>
            <w:tcBorders>
              <w:top w:val="nil"/>
              <w:left w:val="nil"/>
              <w:bottom w:val="nil"/>
              <w:right w:val="nil"/>
            </w:tcBorders>
            <w:shd w:val="clear" w:color="auto" w:fill="auto"/>
            <w:noWrap/>
            <w:hideMark/>
          </w:tcPr>
          <w:p w14:paraId="47D6D6BF"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66.7</w:t>
            </w:r>
          </w:p>
        </w:tc>
      </w:tr>
      <w:tr w:rsidR="007D5124" w:rsidRPr="000B22C8" w14:paraId="00831284" w14:textId="77777777" w:rsidTr="005304A6">
        <w:trPr>
          <w:trHeight w:val="321"/>
        </w:trPr>
        <w:tc>
          <w:tcPr>
            <w:tcW w:w="3080" w:type="dxa"/>
            <w:tcBorders>
              <w:top w:val="nil"/>
              <w:left w:val="nil"/>
              <w:bottom w:val="nil"/>
              <w:right w:val="nil"/>
            </w:tcBorders>
            <w:shd w:val="clear" w:color="auto" w:fill="auto"/>
            <w:noWrap/>
            <w:hideMark/>
          </w:tcPr>
          <w:p w14:paraId="506F0ABB" w14:textId="12781F64"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Puchert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lang w:val="de-CH"/>
              </w:rPr>
              <w:instrText>ADDIN CSL_CITATION {"citationItems":[{"id":"ITEM-1","itemData":{"DOI":"10.3390/bioengineering13010021","author":[{"dropping-particle":"","family":"Puchert","given":"K","non-dropping-particle":"","parse-names":false,"suffix":""},{"dropping-particle":"","family":"Ritzert","given":"P","non-dropping-particle":"","parse-names":false,"suffix":""},{"dropping-particle":"","family":"Wille","given":"S","non-dropping-particle":"","parse-names":false,"suffix":""},{"dropping-particle":"","family":"Naim","given":"J","non-dropping-particle":"","parse-names":false,"suffix":""},{"dropping-particle":"","family":"Şen","given":"S","non-dropping-particle":"","parse-names":false,"suffix":""}],"container-title":"Bioengineering","id":"ITEM-1","issue":"1","issued":{"date-parts":[["2026"]]},"note":"Export Date: 18 March 2026","title":"Influence of Water Storage on the Mechanical Properties of 3D-Printed Aligners: An In Vitro Study","type":"article-journal","volume":"13"},"uris":["http://www.mendeley.com/documents/?uuid=bf6ba1a5-14f0-4808-82d3-fd26e8294d2e"]}],"mendeley":{"formattedCitation":"[70]","plainTextFormattedCitation":"[70]","previouslyFormattedCitation":"[70]"},"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lang w:val="de-CH"/>
              </w:rPr>
              <w:t>[70]</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4EFB8957"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69" w:type="dxa"/>
            <w:tcBorders>
              <w:top w:val="nil"/>
              <w:left w:val="nil"/>
              <w:bottom w:val="nil"/>
              <w:right w:val="nil"/>
            </w:tcBorders>
            <w:shd w:val="clear" w:color="auto" w:fill="auto"/>
            <w:noWrap/>
            <w:hideMark/>
          </w:tcPr>
          <w:p w14:paraId="22D0AD8B"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969" w:type="dxa"/>
            <w:tcBorders>
              <w:top w:val="nil"/>
              <w:left w:val="nil"/>
              <w:bottom w:val="nil"/>
              <w:right w:val="nil"/>
            </w:tcBorders>
            <w:shd w:val="clear" w:color="auto" w:fill="auto"/>
            <w:noWrap/>
            <w:hideMark/>
          </w:tcPr>
          <w:p w14:paraId="3A9E664B"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000" w:type="dxa"/>
            <w:tcBorders>
              <w:top w:val="nil"/>
              <w:left w:val="nil"/>
              <w:bottom w:val="nil"/>
              <w:right w:val="nil"/>
            </w:tcBorders>
            <w:shd w:val="clear" w:color="auto" w:fill="auto"/>
            <w:noWrap/>
            <w:hideMark/>
          </w:tcPr>
          <w:p w14:paraId="69C718F2"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74" w:type="dxa"/>
            <w:tcBorders>
              <w:top w:val="nil"/>
              <w:left w:val="nil"/>
              <w:bottom w:val="nil"/>
              <w:right w:val="nil"/>
            </w:tcBorders>
            <w:shd w:val="clear" w:color="auto" w:fill="auto"/>
            <w:noWrap/>
            <w:hideMark/>
          </w:tcPr>
          <w:p w14:paraId="1614E39E"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588" w:type="dxa"/>
            <w:tcBorders>
              <w:top w:val="nil"/>
              <w:left w:val="nil"/>
              <w:bottom w:val="nil"/>
              <w:right w:val="nil"/>
            </w:tcBorders>
            <w:shd w:val="clear" w:color="auto" w:fill="auto"/>
            <w:noWrap/>
            <w:hideMark/>
          </w:tcPr>
          <w:p w14:paraId="3A6CE6DC"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2427" w:type="dxa"/>
            <w:tcBorders>
              <w:top w:val="nil"/>
              <w:left w:val="nil"/>
              <w:bottom w:val="nil"/>
              <w:right w:val="nil"/>
            </w:tcBorders>
            <w:shd w:val="clear" w:color="auto" w:fill="auto"/>
            <w:noWrap/>
            <w:hideMark/>
          </w:tcPr>
          <w:p w14:paraId="7EE1642E"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2238" w:type="dxa"/>
            <w:tcBorders>
              <w:top w:val="nil"/>
              <w:left w:val="nil"/>
              <w:bottom w:val="nil"/>
              <w:right w:val="nil"/>
            </w:tcBorders>
            <w:shd w:val="clear" w:color="auto" w:fill="auto"/>
            <w:noWrap/>
            <w:hideMark/>
          </w:tcPr>
          <w:p w14:paraId="27CD25E2"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621" w:type="dxa"/>
            <w:tcBorders>
              <w:top w:val="nil"/>
              <w:left w:val="nil"/>
              <w:bottom w:val="nil"/>
              <w:right w:val="nil"/>
            </w:tcBorders>
            <w:shd w:val="clear" w:color="auto" w:fill="auto"/>
            <w:noWrap/>
            <w:hideMark/>
          </w:tcPr>
          <w:p w14:paraId="04331B9B"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525" w:type="dxa"/>
            <w:tcBorders>
              <w:top w:val="nil"/>
              <w:left w:val="nil"/>
              <w:bottom w:val="nil"/>
              <w:right w:val="nil"/>
            </w:tcBorders>
            <w:shd w:val="clear" w:color="auto" w:fill="auto"/>
            <w:noWrap/>
            <w:hideMark/>
          </w:tcPr>
          <w:p w14:paraId="37B6CE3E"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0</w:t>
            </w:r>
          </w:p>
        </w:tc>
        <w:tc>
          <w:tcPr>
            <w:tcW w:w="1731" w:type="dxa"/>
            <w:tcBorders>
              <w:top w:val="nil"/>
              <w:left w:val="nil"/>
              <w:bottom w:val="nil"/>
              <w:right w:val="nil"/>
            </w:tcBorders>
            <w:shd w:val="clear" w:color="auto" w:fill="auto"/>
            <w:noWrap/>
            <w:hideMark/>
          </w:tcPr>
          <w:p w14:paraId="7B12FE8E"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2112" w:type="dxa"/>
            <w:tcBorders>
              <w:top w:val="nil"/>
              <w:left w:val="nil"/>
              <w:bottom w:val="nil"/>
              <w:right w:val="nil"/>
            </w:tcBorders>
            <w:shd w:val="clear" w:color="auto" w:fill="auto"/>
            <w:noWrap/>
            <w:hideMark/>
          </w:tcPr>
          <w:p w14:paraId="22BC8C38"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2</w:t>
            </w:r>
          </w:p>
        </w:tc>
        <w:tc>
          <w:tcPr>
            <w:tcW w:w="1921" w:type="dxa"/>
            <w:tcBorders>
              <w:top w:val="nil"/>
              <w:left w:val="nil"/>
              <w:bottom w:val="nil"/>
              <w:right w:val="nil"/>
            </w:tcBorders>
            <w:shd w:val="clear" w:color="auto" w:fill="auto"/>
            <w:noWrap/>
            <w:hideMark/>
          </w:tcPr>
          <w:p w14:paraId="365BF2EC" w14:textId="77777777"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58.3</w:t>
            </w:r>
          </w:p>
        </w:tc>
      </w:tr>
      <w:tr w:rsidR="007D5124" w:rsidRPr="000B22C8" w14:paraId="7FCBC3BE" w14:textId="77777777" w:rsidTr="005304A6">
        <w:trPr>
          <w:trHeight w:val="321"/>
        </w:trPr>
        <w:tc>
          <w:tcPr>
            <w:tcW w:w="3080" w:type="dxa"/>
            <w:tcBorders>
              <w:top w:val="nil"/>
              <w:left w:val="nil"/>
              <w:bottom w:val="nil"/>
              <w:right w:val="nil"/>
            </w:tcBorders>
            <w:shd w:val="clear" w:color="auto" w:fill="auto"/>
            <w:noWrap/>
            <w:hideMark/>
          </w:tcPr>
          <w:p w14:paraId="3F6A1012" w14:textId="62FF9CA2"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lang w:val="de-CH"/>
                <w14:ligatures w14:val="none"/>
              </w:rPr>
              <w:t xml:space="preserve">Safi'ai et al., 2025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{"citationItems":[{"id":"ITEM-1","itemData":{"DOI":"10.1002/eng2.70052","ISSN":"2577-8196","abstract":"Clear aligners have gained widespread popularity as a comfortable and aesthetically appealing alternative to traditional braces; however, there is a lack of comprehensive research on the interplay between aligner thickness, color stability, and cleaning efficacy. This study addresses these gaps by systematically assessing the mechanical strength, color stability, and cleaning efficiency of BioMed Clear resin</w:instrText>
            </w:r>
            <w:r>
              <w:rPr>
                <w:rFonts w:ascii="Cambria Math" w:hAnsi="Cambria Math" w:cs="Cambria Math"/>
                <w:sz w:val="16"/>
                <w:szCs w:val="16"/>
                <w:lang w:val="de-CH"/>
              </w:rPr>
              <w:instrText>‐</w:instrText>
            </w:r>
            <w:r>
              <w:rPr>
                <w:rFonts w:asciiTheme="minorBidi" w:hAnsiTheme="minorBidi"/>
                <w:sz w:val="16"/>
                <w:szCs w:val="16"/>
                <w:lang w:val="de-CH"/>
              </w:rPr>
              <w:instrText>based aligners fabricated at different thicknesses. Seven aligner thicknesses, ranging from 0.50 to 1.10 mm, were designed and 3D</w:instrText>
            </w:r>
            <w:r>
              <w:rPr>
                <w:rFonts w:ascii="Cambria Math" w:hAnsi="Cambria Math" w:cs="Cambria Math"/>
                <w:sz w:val="16"/>
                <w:szCs w:val="16"/>
                <w:lang w:val="de-CH"/>
              </w:rPr>
              <w:instrText>‐</w:instrText>
            </w:r>
            <w:r>
              <w:rPr>
                <w:rFonts w:asciiTheme="minorBidi" w:hAnsiTheme="minorBidi"/>
                <w:sz w:val="16"/>
                <w:szCs w:val="16"/>
                <w:lang w:val="de-CH"/>
              </w:rPr>
              <w:instrText>printed using advanced scanning technologies. Mechanical compression testing revealed significant differences in compressive strength based on aligner thickness ( p &lt; 0.05), with the 0.60 mm thickness demonstrating optimal resistance. To assess color stability, aligners were exposed to stain solutions, where turmeric induced the most pronounced discoloration. Cleaning efficacy experiments indicated that gargling was the most effective agent for stain removal. These findings provide valuable insights into the optimization of aligner thickness for enhanced mechanical performance and patient comfort. Furthermore, the study highlights effective cleaning strategies to maintain oral hygiene and aligner aesthetics during orthodontic intervention. This research contributes to the advancement of aligner design and fabrication, offering evidence</w:instrText>
            </w:r>
            <w:r>
              <w:rPr>
                <w:rFonts w:ascii="Cambria Math" w:hAnsi="Cambria Math" w:cs="Cambria Math"/>
                <w:sz w:val="16"/>
                <w:szCs w:val="16"/>
                <w:lang w:val="de-CH"/>
              </w:rPr>
              <w:instrText>‐</w:instrText>
            </w:r>
            <w:r>
              <w:rPr>
                <w:rFonts w:asciiTheme="minorBidi" w:hAnsiTheme="minorBidi"/>
                <w:sz w:val="16"/>
                <w:szCs w:val="16"/>
                <w:lang w:val="de-CH"/>
              </w:rPr>
              <w:instrText>based recommendations for improving clinical outcomes in orthodontic practice.","author":[{"dropping-particle":"","family":"Safi'ai","given":"Aisyah","non-dropping-particle":"","parse-names":false,"suffix":""},{"dropping-particle":"","family":"Ammarullah","given":"Muhammad Imam","non-dropping-particle":"","parse-names":false,"suffix":""},{"dropping-particle":"","family":"Baharuddin","given":"Muhammad Hanif","non-dropping-particle":"","parse-names":false,"suffix":""},{"dropping-particle":"","family":"Faidzul Hassan","given":"Nur Syafiqah","non-dropping-particle":"","parse-names":false,"suffix":""},{"dropping-particle":"","family":"Ramlee","given":"Muhammad Hanif","non-dropping-particle":"","parse-names":false,"suffix":""}],"container-title":"Engineering Reports","id":"ITEM-1","issue":"3","issued":{"date-parts":[["2025","3","6"]]},"title":"Evaluation of Mechanical Properties, Color Stability, and Cleaning Efficacy of BioMed Clear Resin-Based Dental Aligners","type":"article-journal","volume":"7"},"uris":["http://www.mendeley.com/documents/?uuid=f89aea08-3425-45d4-9eac-ff5ac1399667"]}],"mendeley":{"formattedCitation":"[76]","plainTextFormattedCitation":"[76]","previouslyFormattedCitation":"[76]"},"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[76]</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62F74C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4435CE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5F338FC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581EBF2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2E98CF9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37603D6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021F793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0C794D8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24A0102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2B97BBE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770FD25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506024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429240C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1D7F967D" w14:textId="77777777" w:rsidTr="005304A6">
        <w:trPr>
          <w:trHeight w:val="321"/>
        </w:trPr>
        <w:tc>
          <w:tcPr>
            <w:tcW w:w="3080" w:type="dxa"/>
            <w:tcBorders>
              <w:top w:val="nil"/>
              <w:left w:val="nil"/>
              <w:bottom w:val="nil"/>
              <w:right w:val="nil"/>
            </w:tcBorders>
            <w:shd w:val="clear" w:color="auto" w:fill="auto"/>
            <w:noWrap/>
            <w:hideMark/>
          </w:tcPr>
          <w:p w14:paraId="47214BBB" w14:textId="50414876"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Salvatori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10.1016/j.xaor.2025.02.004","author":[{"dropping-particle":"","family":"Salvatori","given":"D","non-dropping-particle":"","parse-names":false,"suffix":""},{"dropping-particle":"","family":"Bühler","given":"T","non-dropping-particle":"","parse-names":false,"suffix":""},{"dropping-particle":"","family":"Birtel","given":"S","non-dropping-particle":"","parse-names":false,"suffix":""}],"container-title":"AJO-DO Clinical Companion","id":"ITEM-1","issue":"3","issued":{"date-parts":[["2025"]]},"note":"Export Date: 18 March 2026","page":"249-259","title":"Chemical composition and in vitro staining resistance of SmartTrack and ClearQuartz multilayered orthodontic clear aligners","type":"article-journal","volume":"5"},"uris":["http://www.mendeley.com/documents/?uuid=01780384-e692-4759-bedd-f871ff2af715"]}],"mendeley":{"formattedCitation":"[62]","plainTextFormattedCitation":"[62]","previouslyFormattedCitation":"[62]"},"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[62]</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63631A9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6BFF6AD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40B2BA7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23A7FA3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7E35DB8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334A17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522313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4BC6B1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208B76F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215EAAF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47D2383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112" w:type="dxa"/>
            <w:tcBorders>
              <w:top w:val="nil"/>
              <w:left w:val="nil"/>
              <w:bottom w:val="nil"/>
              <w:right w:val="nil"/>
            </w:tcBorders>
            <w:shd w:val="clear" w:color="auto" w:fill="auto"/>
            <w:noWrap/>
            <w:hideMark/>
          </w:tcPr>
          <w:p w14:paraId="66C2CE4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A7033C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50</w:t>
            </w:r>
          </w:p>
        </w:tc>
      </w:tr>
      <w:tr w:rsidR="007D5124" w:rsidRPr="000B22C8" w14:paraId="4E3638D7" w14:textId="77777777" w:rsidTr="005304A6">
        <w:trPr>
          <w:trHeight w:val="321"/>
        </w:trPr>
        <w:tc>
          <w:tcPr>
            <w:tcW w:w="3080" w:type="dxa"/>
            <w:tcBorders>
              <w:top w:val="nil"/>
              <w:left w:val="nil"/>
              <w:bottom w:val="nil"/>
              <w:right w:val="nil"/>
            </w:tcBorders>
            <w:shd w:val="clear" w:color="auto" w:fill="auto"/>
            <w:noWrap/>
            <w:hideMark/>
          </w:tcPr>
          <w:p w14:paraId="42BD058A" w14:textId="6D4E7C1B"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Sari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{"citationItems":[{"id":"ITEM-1","itemData":{"DOI":"10.2478/aoj-2024-0022","ISSN":"2207-7480","abstract":"Introduction The purpose of this study was to compare the mechanical changes of clear aligners manufactured using either the direct method (Graphy Tc-85) or the indirect method (CA Pro or Invisalign) following an exposure to different liquids.Material and Method The clear aligners were produced using a single patient's digital maxillary model. CA Pro aligners were produced indirectly using the Ministar S device, while Graphy Tc-85 resin aligners were produced directly using a three-dimensional printer (Ackuretta, Taipei, Taiwan). Invisalign appliances were produced by Align Technology, Inc. The appliances were randomly divided into seven groups: a control group and six experimental groups. The control group appliances were not immersed in any liquid. The appliances in the experimental groups were immersed in six different liquids (orange juice, soy sauce, cola, red wine, tea, and coffee) for 24 hr at 37 degrees C. Following immersion, the upper right first molar section of each appliance was separated using an abrasive disc and embedded in a 2 mm thick acrylic layer. A cyclic loading test was conducted using a specialised mechanism (a combination of a dynamometer and a deformation depth measuring instrument) and each sample was subjected to varying cyclical forces until a deformation depth of 1 mm was reached. The force magnitude required to achieve the 1 mm material deformation at the 1st, 5th, 10th, and 50th cycles of loading was recorded for each sample.Results As a result of repeated loads, the indenting force values decreased in the three sample groups, regardless of the liquid in which the appliances had been stored. However, soy sauce and orange juice had a greater detrimental effect on the mechanical properties of the aligners compared to the other liquids. On comparing the force values required for the material to reach a 1 mm depth during the 1st and 50th loadings, the decreases were recorded as 0.4% for Graphy Tc-85, 26.3% for CA Pro, and 42.1% for Invisalign.Conclusions Of the tested aligners, Graphy Tc-85 was the most resistant to repetitive loads, while Invisalign was the least resistant. It is inherently difficult to predict how different liquids will affect aligners made of different materials.","author":[{"dropping-particle":"","family":"Sarı","given":"Tarık","non-dropping-particle":"","parse-names":false,"suffix":""},{"dropping-particle":"","family":"Camcı","given":"Hasan","non-dropping-particle":"","parse-names":false,"suffix":""},{"dropping-particle":"","family":"Aslantaş","given":"Kubilay","non-dropping-particle":"","parse-names":false,"suffix":""},{"dropping-particle":"","family":"Sari","given":"T","non-dropping-particle":"","parse-names":false,"suffix":""},{"dropping-particle":"","family":"Camci","given":"H","non-dropping-particle":"","parse-names":false,"suffix":""},{"dropping-particle":"","family":"Aslantas","given":"K","non-dropping-particle":"","parse-names":false,"suffix":""}],"container-title":"Australasian Orthodontic Journal","id":"ITEM-1","issue":"2","issued":{"date-parts":[["2024","7","1"]]},"language":"English","note":"From Duplicate 1 (Evaluation of mechanical changes to clear aligners caused by exposure to different liquids - Sari, T; Camci, H; Aslantas, K)\n\nTimes Cited in Web of Science Core Collection: 1\nTotal Times Cited: 1\nCited Reference Count: 42","page":"75-86","publisher-place":"Afyonkarahisar Hlth Sci Univ, Fac Dent, Dept Orthodont, Afyon, Turkiye","title":"Evaluation of mechanical changes to clear aligners caused by exposure to different liquids","type":"article-journal","volume":"40"},"uris":["http://www.mendeley.com/documents/?uuid=a39dd050-60dc-4963-a356-f2afca22a24f"]}],"mendeley":{"formattedCitation":"[20]","plainTextFormattedCitation":"[20]","previouslyFormattedCitation":"[20]"},"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[20]</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688A479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BE9382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5D1B46B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7A75D16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14EFF36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54588D4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6431C49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6450048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6CCBE02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6462275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248BBD8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1FF288C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3675547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75</w:t>
            </w:r>
          </w:p>
        </w:tc>
      </w:tr>
      <w:tr w:rsidR="007D5124" w:rsidRPr="000B22C8" w14:paraId="636D0AAD" w14:textId="77777777" w:rsidTr="005304A6">
        <w:trPr>
          <w:trHeight w:val="321"/>
        </w:trPr>
        <w:tc>
          <w:tcPr>
            <w:tcW w:w="3080" w:type="dxa"/>
            <w:tcBorders>
              <w:top w:val="nil"/>
              <w:left w:val="nil"/>
              <w:bottom w:val="nil"/>
              <w:right w:val="nil"/>
            </w:tcBorders>
            <w:shd w:val="clear" w:color="auto" w:fill="auto"/>
            <w:noWrap/>
            <w:hideMark/>
          </w:tcPr>
          <w:p w14:paraId="112F6142" w14:textId="3BBFB00D"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Shirey</w:t>
            </w:r>
            <w:proofErr w:type="spellEnd"/>
            <w:r w:rsidRPr="000B22C8">
              <w:rPr>
                <w:rFonts w:asciiTheme="minorBidi" w:eastAsia="Times New Roman" w:hAnsiTheme="minorBidi"/>
                <w:color w:val="000000"/>
                <w:kern w:val="0"/>
                <w:sz w:val="16"/>
                <w:szCs w:val="16"/>
                <w14:ligatures w14:val="none"/>
              </w:rPr>
              <w:t xml:space="preserve"> et al., 2023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10.1016/j.ajodo.2022.12.008","ISSN":"08895406","author":[{"dropping-particle":"","family":"Shirey","given":"Nic","non-dropping-particle":"","parse-names":false,"suffix":""},{"dropping-particle":"","family":"Mendonca","given":"Gustavo","non-dropping-particle":"","parse-names":false,"suffix":""},{"dropping-particle":"","family":"Groth","given":"Christian","non-dropping-particle":"","parse-names":false,"suffix":""},{"dropping-particle":"","family":"Kim-Berman","given":"Hera","non-dropping-particle":"","parse-names":false,"suffix":""}],"container-title":"American Journal of Orthodontics and Dentofacial Orthopedics","id":"ITEM-1","issue":"5","issued":{"date-parts":[["2023","5"]]},"page":"720-728","title":"Comparison of mechanical properties of 3-dimensional printed and thermoformed orthodontic aligners","type":"article-journal","volume":"163"},"uris":["http://www.mendeley.com/documents/?uuid=0c0889c2-eae6-41f4-aa53-3940a1a15fe9"]}],"mendeley":{"formattedCitation":"[50]","plainTextFormattedCitation":"[50]","previouslyFormattedCitation":"[50]"},"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[50]</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61B2C99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2EC6A9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62C105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2208947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3E3470E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CDBEEF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1C6B31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238" w:type="dxa"/>
            <w:tcBorders>
              <w:top w:val="nil"/>
              <w:left w:val="nil"/>
              <w:bottom w:val="nil"/>
              <w:right w:val="nil"/>
            </w:tcBorders>
            <w:shd w:val="clear" w:color="auto" w:fill="auto"/>
            <w:noWrap/>
            <w:hideMark/>
          </w:tcPr>
          <w:p w14:paraId="574A751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5E7A18B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0D12206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0B71208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0DF9951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3ADA4A9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70.8</w:t>
            </w:r>
          </w:p>
        </w:tc>
      </w:tr>
      <w:tr w:rsidR="007D5124" w:rsidRPr="000B22C8" w14:paraId="2577425E" w14:textId="77777777" w:rsidTr="005304A6">
        <w:trPr>
          <w:trHeight w:val="321"/>
        </w:trPr>
        <w:tc>
          <w:tcPr>
            <w:tcW w:w="3080" w:type="dxa"/>
            <w:tcBorders>
              <w:top w:val="nil"/>
              <w:left w:val="nil"/>
              <w:bottom w:val="nil"/>
              <w:right w:val="nil"/>
            </w:tcBorders>
            <w:shd w:val="clear" w:color="auto" w:fill="auto"/>
            <w:noWrap/>
            <w:hideMark/>
          </w:tcPr>
          <w:p w14:paraId="693F7E0A" w14:textId="5E92451F"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Silva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{"citationItems":[{"id":"ITEM-1","itemData":{"DOI":"https://doi.org/10.1590/2177-6709.30.2.e2524262.oar","ISSN":"21769451","PMID":"40465965","abstract":"ABSTRACTObjective:This in-vitro study aimed to evaluate the antibacterial efficacy and color changes induced by different chemical agents on the orthodontic aligners.Methods:The sample consisted of Invisalign® aligners materials and seven solutions were tested: sodium hypochlorite (HYP), sodium bicarbonate (BIC), neutral detergent (DET), chlorhexidine gluconate (CX), white vinegar (VIN) diluted in water (1:3), Corega Tabs® effervescent tablets (COR), and distilled water (DW, control group). The microbiological control was evaluated by analyzing cell proliferation (CFU/ml) and cell metabolism (AlamarBlue® test), and the VITA EasyShade® Advance spectrophotometer was used for color change analysis, using multiple Mann-Whitney tests. Results:All solutions significantly reduced S. mutans biofilm (CFU/mL), except for the control group. The AlamarBlue® analysis showed a significant reduction in cell viability, except for the BIC solution (p=0.183). After 7 days, HYP showed significant color variation, compared to all the other solutions, except for the control group (p=0.095). After 14 days, BIC and CX showed significantly greater color variation than the control group (p=0.007). DET showed a large difference compared to BIC and CX (p=0.007), and a statistically significant difference compared to VIN and COR (p=0.015).Conclusion:The disinfectant solutions HYP, DET, CX, VIN, and COR significantly reduced the bacterial colonies of S. mutans and cellular metabolism. In addition, HYP, BIC, CX, and COR significantly affected the material color.","author":[{"dropping-particle":"da","family":"Silva","given":"Paula Cristina Henriques","non-dropping-particle":"","parse-names":false,"suffix":""},{"dropping-particle":"","family":"RIBAS","given":"Beatriz Ribeiro","non-dropping-particle":"","parse-names":false,"suffix":""},{"dropping-particle":"","family":"FARIA","given":"Tony Vieira","non-dropping-particle":"","parse-names":false,"suffix":""},{"dropping-particle":"","family":"Jorge","given":"Janaína Habib","non-dropping-particle":"","parse-names":false,"suffix":""},{"dropping-particle":"","family":"Gandini","given":"Luiz Gonzaga Jr","non-dropping-particle":"","parse-names":false,"suffix":""},{"dropping-particle":"Dos","family":"Santos-Pinto","given":"Ary","non-dropping-particle":"","parse-names":false,"suffix":""},{"dropping-particle":"","family":"Gonçalves","given":"João Roberto","non-dropping-particle":"","parse-names":false,"suffix":""},{"dropping-particle":"","family":"Bianchi","given":"Jonas","non-dropping-particle":"","parse-names":false,"suffix":""},{"dropping-particle":"","family":"Henriques","given":"da SILVA Paula Cristina","non-dropping-particle":"","parse-names":false,"suffix":""},{"dropping-particle":"","family":"RIBAS","given":"Beatriz Ribeiro","non-dropping-particle":"","parse-names":false,"suffix":""},{"dropping-particle":"","family":"FARIA","given":"Tony Vieira","non-dropping-particle":"","parse-names":false,"suffix":""},{"dropping-particle":"","family":"Habib","given":"JORGE Janaína","non-dropping-particle":"","parse-names":false,"suffix":""},{"dropping-particle":"","family":"GANDINI  JR","given":"Luiz Gonzaga","non-dropping-particle":"","parse-names":false,"suffix":""},{"dropping-particle":"","family":"Ary","given":"dos SANTOS-PINTO","non-dropping-particle":"","parse-names":false,"suffix":""},{"dropping-particle":"","family":"Gonçalves","given":"João Roberto","non-dropping-particle":"","parse-names":false,"suffix":""},{"dropping-particle":"","family":"Bianchi","given":"Jonas","non-dropping-particle":"","parse-names":false,"suffix":""}],"container-title":"Dental Press Journal of Orthodontics","id":"ITEM-1","issue":"2","issued":{"date-parts":[["2025"]]},"language":"English","note":"From Duplicate 1 (Cleaning solutions for orthodontic clear aligners: a microbiological and colorimetric analysis - Henriques, da SILVA Paula Cristina; RIBAS, Beatriz Ribeiro; FARIA, Tony Vieira; Habib, JORGE Janaína; GANDINI JR, Luiz Gonzaga; Ary, dos SANTOS-PINTO; GONÇALVES, João Roberto; BIANCHI, Jonas)\n\nCopyright - This is an open-access article distributed under the terms of the Creative Commons Attribution License Notwithstanding the ProQuest Terms and Conditions, you may use this content in accordance with the terms of the License.\n\nLast updated - 2025-07-01\n\nSubjectsTermNotLitGenreText - United States--US","page":"30","publisher":"Dental Press International PP  - Maringa","publisher-place":"São Paulo State University, Dental School, Department of Dental Science (Araraquara/SP, Brazil). ; São Paulo State University, Dental School, Department of Dentistry (Araraquara/SP, Brazil). ; São Paulo State University, Dental School, Department of Denta, Brazil","title":"Cleaning solutions for orthodontic clear aligners: a microbiological and colorimetric analysis","type":"article-journal","volume":"30"},"uris":["http://www.mendeley.com/documents/?uuid=1aeab65f-9a72-480a-96cc-eb9c720a1e75"]}],"mendeley":{"formattedCitation":"[63]","plainTextFormattedCitation":"[63]","previouslyFormattedCitation":"[63]"},"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rPr>
              <w:t>[63]</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43D334C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89B91E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69" w:type="dxa"/>
            <w:tcBorders>
              <w:top w:val="nil"/>
              <w:left w:val="nil"/>
              <w:bottom w:val="nil"/>
              <w:right w:val="nil"/>
            </w:tcBorders>
            <w:shd w:val="clear" w:color="auto" w:fill="auto"/>
            <w:noWrap/>
            <w:hideMark/>
          </w:tcPr>
          <w:p w14:paraId="233910D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5F475A8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4F699C4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19D2D7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25E596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73DBEF7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577F961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54AE61D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40ECAC1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52926AD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561958F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48F7804C" w14:textId="77777777" w:rsidTr="005304A6">
        <w:trPr>
          <w:trHeight w:val="321"/>
        </w:trPr>
        <w:tc>
          <w:tcPr>
            <w:tcW w:w="3080" w:type="dxa"/>
            <w:tcBorders>
              <w:top w:val="nil"/>
              <w:left w:val="nil"/>
              <w:bottom w:val="nil"/>
              <w:right w:val="nil"/>
            </w:tcBorders>
            <w:shd w:val="clear" w:color="auto" w:fill="auto"/>
            <w:noWrap/>
          </w:tcPr>
          <w:p w14:paraId="6B39D7ED" w14:textId="47280C6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Šimunovic</w:t>
            </w:r>
            <w:proofErr w:type="spellEnd"/>
            <w:r w:rsidRPr="000B22C8">
              <w:rPr>
                <w:rFonts w:asciiTheme="minorBidi" w:eastAsia="Times New Roman" w:hAnsiTheme="minorBidi"/>
                <w:color w:val="000000"/>
                <w:kern w:val="0"/>
                <w:sz w:val="16"/>
                <w:szCs w:val="16"/>
                <w14:ligatures w14:val="none"/>
              </w:rPr>
              <w:t xml:space="preserve">́ et al., 2023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10.15644/asc57/4/1","ISSN":"00017019","author":[{"dropping-particle":"","family":"Šimunović","given":"Luka","non-dropping-particle":"","parse-names":false,"suffix":""},{"dropping-particle":"","family":"Jurela","given":"Antonija","non-dropping-particle":"","parse-names":false,"suffix":""},{"dropping-particle":"","family":"Sudarević","given":"Karlo","non-dropping-particle":"","parse-names":false,"suffix":""},{"dropping-particle":"","family":"Bačić","given":"Ivana","non-dropping-particle":"","parse-names":false,"suffix":""},{"dropping-particle":"","family":"Meštrović","given":"Senka","non-dropping-particle":"","parse-names":false,"suffix":""}],"container-title":"Acta Stomatologica Croatica","id":"ITEM-1","issue":"4","issued":{"date-parts":[["2023","12","15"]]},"page":"286-299","title":"Differential Stability of One-layer and Three-layer Orthodontic Aligner Blends under Thermocycling: Implications for Clinical Durability","type":"article-journal","volume":"57"},"uris":["http://www.mendeley.com/documents/?uuid=d32f485c-a530-4df6-a843-27fa9fd6e0dd"]}],"mendeley":{"formattedCitation":"[79]","plainTextFormattedCitation":"[79]","previouslyFormattedCitation":"[79]"},"properties":{"noteIndex":0},"schema":"https://github.com/citation-style-language/schema/raw/master/csl-citation.json"}</w:instrText>
            </w:r>
            <w:r w:rsidRPr="000B22C8">
              <w:rPr>
                <w:rFonts w:asciiTheme="minorBidi" w:hAnsiTheme="minorBidi"/>
                <w:sz w:val="16"/>
                <w:szCs w:val="16"/>
              </w:rPr>
              <w:fldChar w:fldCharType="separate"/>
            </w:r>
            <w:r w:rsidRPr="005B220F">
              <w:rPr>
                <w:rFonts w:asciiTheme="minorBidi" w:hAnsiTheme="minorBidi"/>
                <w:noProof/>
                <w:sz w:val="16"/>
                <w:szCs w:val="16"/>
              </w:rPr>
              <w:t>[79]</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251D9FC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7C865DF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49CED48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tcPr>
          <w:p w14:paraId="1EBCCB3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4BCCB3F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0721641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2709EA9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4279CF6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5616FB8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4ABD85E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63C79AE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7B8F816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4B63A68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395F7AC2" w14:textId="77777777" w:rsidTr="005304A6">
        <w:trPr>
          <w:trHeight w:val="321"/>
        </w:trPr>
        <w:tc>
          <w:tcPr>
            <w:tcW w:w="3080" w:type="dxa"/>
            <w:tcBorders>
              <w:top w:val="nil"/>
              <w:left w:val="nil"/>
              <w:bottom w:val="nil"/>
              <w:right w:val="nil"/>
            </w:tcBorders>
            <w:shd w:val="clear" w:color="auto" w:fill="auto"/>
            <w:noWrap/>
          </w:tcPr>
          <w:p w14:paraId="5A01D0DB" w14:textId="0BC2982B"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Šimunović et al., 2024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{"citationItems":[{"id":"ITEM-1","itemData":{"DOI":"10.3390/polym16081067","ISSN":"2073-4360","abstract":"The significant rise in the use of clear aligners for orthodontic treatment is attributed to their aesthetic appeal, enhancing patient appearance and self-confidence. The aim of this study is to evaluate the aligners’ response to common staining agents (coffee, black tea, Coca-Cola, and Red Bull) in color and chemical stability. Polyurethane-based thermoformed and 3D-printed aligners from four brands were exposed to common beverages to assess color change using a VITA Easyshade compact colorimeter after 24 h, 48 h, 72 h, and 7 days, as well as chemical stability using ATR-FTIR spectroscopy. The brand, beverage, and manufacturing method significantly influence color stability. ATR-FTIR analysis revealed compositional differences, with variations in response to beverage exposure affecting the integrity of polymer bonds. Color change analysis showed coffee as the most potent staining agent, particularly affecting Tera Harz TC85 aligners, while ClearCorrect aligners exhibited the least susceptibility. 3D-printed aligners showed a greater color change compared to thermoformed ones. Aligners with a PETG outer layer are more resistant to stains and chemical alterations than those made of polyurethane. Additionally, 3D-printed polyurethane aligners stain more than thermoformed ones. Therefore, PETG-layered aligners are a more reliable choice for maintaining the aesthetic integrity of aligners.","author":[{"dropping-particle":"","family":"Šimunović","given":"Luka","non-dropping-particle":"","parse-names":false,"suffix":""},{"dropping-particle":"","family":"Čekalović Agović","given":"Sara","non-dropping-particle":"","parse-names":false,"suffix":""},{"dropping-particle":"","family":"Marić","given":"Antun Jakob","non-dropping-particle":"","parse-names":false,"suffix":""},{"dropping-particle":"","family":"Bačić","given":"Ivana","non-dropping-particle":"","parse-names":false,"suffix":""},{"dropping-particle":"","family":"Klarić","given":"Eva","non-dropping-particle":"","parse-names":false,"suffix":""},{"dropping-particle":"","family":"Uribe","given":"Flavio","non-dropping-particle":"","parse-names":false,"suffix":""},{"dropping-particle":"","family":"Meštrović","given":"Senka","non-dropping-particle":"","parse-names":false,"suffix":""}],"container-title":"Polymers","id":"ITEM-1","issue":"8","issued":{"date-parts":[["2024","4","11"]]},"page":"1067","title":"Color and Chemical Stability of 3D-Printed and Thermoformed Polyurethane-Based Aligners","type":"article-journal","volume":"16"},"uris":["http://www.mendeley.com/documents/?uuid=ab2f1880-0fe2-4019-8963-54d92ab2aaf8"]}],"mendeley":{"formattedCitation":"[30]","plainTextFormattedCitation":"[30]","previouslyFormattedCitation":"[30]"},"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[30]</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12B634F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731A54D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5435EB5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tcPr>
          <w:p w14:paraId="3393233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2EBB5D1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64EFCA5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tcPr>
          <w:p w14:paraId="5E33782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779446C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0E6B3FD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tcPr>
          <w:p w14:paraId="437DF4E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731" w:type="dxa"/>
            <w:tcBorders>
              <w:top w:val="nil"/>
              <w:left w:val="nil"/>
              <w:bottom w:val="nil"/>
              <w:right w:val="nil"/>
            </w:tcBorders>
            <w:shd w:val="clear" w:color="auto" w:fill="auto"/>
            <w:noWrap/>
          </w:tcPr>
          <w:p w14:paraId="5228FFC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09EA836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04BF48F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79.2</w:t>
            </w:r>
          </w:p>
        </w:tc>
      </w:tr>
      <w:tr w:rsidR="007D5124" w:rsidRPr="000B22C8" w14:paraId="10BCF1B5" w14:textId="77777777" w:rsidTr="005304A6">
        <w:trPr>
          <w:trHeight w:val="321"/>
        </w:trPr>
        <w:tc>
          <w:tcPr>
            <w:tcW w:w="3080" w:type="dxa"/>
            <w:tcBorders>
              <w:top w:val="nil"/>
              <w:left w:val="nil"/>
              <w:bottom w:val="nil"/>
              <w:right w:val="nil"/>
            </w:tcBorders>
            <w:shd w:val="clear" w:color="auto" w:fill="auto"/>
            <w:noWrap/>
          </w:tcPr>
          <w:p w14:paraId="1EF53973" w14:textId="16451C9A"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Simunovic et al., 2025a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10.1038/s41598-025-04096-z","ISSN":"2045-2322","author":[{"dropping-particle":"","family":"Šimunović","given":"Luka","non-dropping-particle":"","parse-names":false,"suffix":""},{"dropping-particle":"","family":"Pečanić","given":"Paula","non-dropping-particle":"","parse-names":false,"suffix":""},{"dropping-particle":"","family":"Marić","given":"Antun Jakob","non-dropping-particle":"","parse-names":false,"suffix":""},{"dropping-particle":"","family":"Haramina","given":"Tatjana","non-dropping-particle":"","parse-names":false,"suffix":""},{"dropping-particle":"","family":"Rakić","given":"Iva Šrut","non-dropping-particle":"","parse-names":false,"suffix":""},{"dropping-particle":"","family":"Meštrović","given":"Senka","non-dropping-particle":"","parse-names":false,"suffix":""}],"container-title":"Scientific Reports","id":"ITEM-1","issue":"1","issued":{"date-parts":[["2025","5","30"]]},"page":"19022","title":"Impact of various cleaning protocols on the physical and aesthetic properties of 3D-printed orthodontic aligners","type":"article-journal","volume":"15"},"uris":["http://www.mendeley.com/documents/?uuid=2ed88414-b1ac-49bc-8866-f10f5daa62c2"]}],"mendeley":{"formattedCitation":"[49]","plainTextFormattedCitation":"[49]","previouslyFormattedCitation":"[49]"},"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[49]</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tcPr>
          <w:p w14:paraId="40A9A38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46F2649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5C095E0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tcPr>
          <w:p w14:paraId="6E6816D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2A41251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2038243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24D140E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0AB45E6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44963F8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530FFB0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271E255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4A8B66B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60F0CB8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52FB69DD" w14:textId="77777777" w:rsidTr="005304A6">
        <w:trPr>
          <w:trHeight w:val="321"/>
        </w:trPr>
        <w:tc>
          <w:tcPr>
            <w:tcW w:w="3080" w:type="dxa"/>
            <w:tcBorders>
              <w:top w:val="nil"/>
              <w:left w:val="nil"/>
              <w:bottom w:val="nil"/>
              <w:right w:val="nil"/>
            </w:tcBorders>
            <w:shd w:val="clear" w:color="auto" w:fill="auto"/>
            <w:noWrap/>
          </w:tcPr>
          <w:p w14:paraId="3B91634D" w14:textId="2E9AB0A1"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Šimunović et al., 2025b </w:t>
            </w:r>
            <w:r w:rsidRPr="000B22C8">
              <w:rPr>
                <w:rFonts w:asciiTheme="minorBidi" w:eastAsia="Times New Roman" w:hAnsiTheme="minorBidi"/>
                <w:kern w:val="0"/>
                <w:sz w:val="16"/>
                <w:szCs w:val="16"/>
                <w14:ligatures w14:val="none"/>
              </w:rPr>
              <w:fldChar w:fldCharType="begin" w:fldLock="1"/>
            </w:r>
            <w:r>
              <w:rPr>
                <w:rFonts w:asciiTheme="minorBidi" w:eastAsia="Times New Roman" w:hAnsiTheme="minorBidi"/>
                <w:kern w:val="0"/>
                <w:sz w:val="16"/>
                <w:szCs w:val="16"/>
                <w14:ligatures w14:val="none"/>
              </w:rPr>
              <w:instrText>ADDIN CSL_CITATION {"citationItems":[{"id":"ITEM-1","itemData":{"DOI":"10.1016/j.ajodo.2025.04.022","ISSN":"08895406","author":[{"dropping-particle":"","family":"Šimunović","given":"Luka","non-dropping-particle":"","parse-names":false,"suffix":""},{"dropping-particle":"","family":"Miličević","given":"Ana Marija","non-dropping-particle":"","parse-names":false,"suffix":""},{"dropping-particle":"","family":"Brenko","given":"Luka","non-dropping-particle":"","parse-names":false,"suffix":""},{"dropping-particle":"","family":"Haramina","given":"Tatjana","non-dropping-particle":"","parse-names":false,"suffix":""},{"dropping-particle":"","family":"Meštrović","given":"Senka","non-dropping-particle":"","parse-names":false,"suffix":""}],"container-title":"American Journal of Orthodontics and Dentofacial Orthopedics","id":"ITEM-1","issue":"4","issued":{"date-parts":[["2025","10"]]},"page":"466-476","title":"Absorption and desorption dynamics of thermoformed and 3-dimensional-printed orthodontic aligners","type":"article-journal","volume":"168"},"uris":["http://www.mendeley.com/documents/?uuid=0947b228-f53b-421a-8b6c-27759999dd4e"]}],"mendeley":{"formattedCitation":"[48]","plainTextFormattedCitation":"[48]","previouslyFormattedCitation":"[48]"},"properties":{"noteIndex":0},"schema":"https://github.com/citation-style-language/schema/raw/master/csl-citation.json"}</w:instrText>
            </w:r>
            <w:r w:rsidRPr="000B22C8">
              <w:rPr>
                <w:rFonts w:asciiTheme="minorBidi" w:eastAsia="Times New Roman" w:hAnsiTheme="minorBidi"/>
                <w:kern w:val="0"/>
                <w:sz w:val="16"/>
                <w:szCs w:val="16"/>
                <w14:ligatures w14:val="none"/>
              </w:rPr>
              <w:fldChar w:fldCharType="separate"/>
            </w:r>
            <w:r w:rsidRPr="000B22C8">
              <w:rPr>
                <w:rFonts w:asciiTheme="minorBidi" w:eastAsia="Times New Roman" w:hAnsiTheme="minorBidi"/>
                <w:noProof/>
                <w:kern w:val="0"/>
                <w:sz w:val="16"/>
                <w:szCs w:val="16"/>
                <w14:ligatures w14:val="none"/>
              </w:rPr>
              <w:t>[48]</w:t>
            </w:r>
            <w:r w:rsidRPr="000B22C8">
              <w:rPr>
                <w:rFonts w:asciiTheme="minorBidi" w:eastAsia="Times New Roman" w:hAnsiTheme="minorBidi"/>
                <w:kern w:val="0"/>
                <w:sz w:val="16"/>
                <w:szCs w:val="16"/>
                <w14:ligatures w14:val="none"/>
              </w:rPr>
              <w:fldChar w:fldCharType="end"/>
            </w:r>
          </w:p>
        </w:tc>
        <w:tc>
          <w:tcPr>
            <w:tcW w:w="2507" w:type="dxa"/>
            <w:tcBorders>
              <w:top w:val="nil"/>
              <w:left w:val="nil"/>
              <w:bottom w:val="nil"/>
              <w:right w:val="nil"/>
            </w:tcBorders>
            <w:shd w:val="clear" w:color="auto" w:fill="auto"/>
            <w:noWrap/>
          </w:tcPr>
          <w:p w14:paraId="539B63C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0B509FB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tcPr>
          <w:p w14:paraId="2F0C0D1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tcPr>
          <w:p w14:paraId="7C5E19F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tcPr>
          <w:p w14:paraId="411816C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tcPr>
          <w:p w14:paraId="542F246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tcPr>
          <w:p w14:paraId="2F94D8F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tcPr>
          <w:p w14:paraId="7C54492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tcPr>
          <w:p w14:paraId="488669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tcPr>
          <w:p w14:paraId="677DDCA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tcPr>
          <w:p w14:paraId="6286F5C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tcPr>
          <w:p w14:paraId="6E9041A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tcPr>
          <w:p w14:paraId="2F3302B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66.7</w:t>
            </w:r>
          </w:p>
        </w:tc>
      </w:tr>
      <w:tr w:rsidR="007D5124" w:rsidRPr="000B22C8" w14:paraId="0F10FDBD" w14:textId="77777777" w:rsidTr="005304A6">
        <w:trPr>
          <w:trHeight w:val="321"/>
        </w:trPr>
        <w:tc>
          <w:tcPr>
            <w:tcW w:w="3080" w:type="dxa"/>
            <w:tcBorders>
              <w:top w:val="nil"/>
              <w:left w:val="nil"/>
              <w:bottom w:val="nil"/>
              <w:right w:val="nil"/>
            </w:tcBorders>
            <w:shd w:val="clear" w:color="auto" w:fill="auto"/>
            <w:noWrap/>
            <w:hideMark/>
          </w:tcPr>
          <w:p w14:paraId="12191F26" w14:textId="0E0E80F4"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Staderini et al., 2025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10.1186/s12903-025-05863-0","ISSN":"1472-6831","author":[{"dropping-particle":"","family":"Staderini","given":"Edoardo","non-dropping-particle":"","parse-names":false,"suffix":""},{"dropping-particle":"","family":"Chiusolo","given":"Giuseppe","non-dropping-particle":"","parse-names":false,"suffix":""},{"dropping-particle":"","family":"Papi","given":"Massimiliano","non-dropping-particle":"","parse-names":false,"suffix":""},{"dropping-particle":"","family":"Palone","given":"Mario","non-dropping-particle":"","parse-names":false,"suffix":""},{"dropping-particle":"","family":"Lombardo","given":"Luca","non-dropping-particle":"","parse-names":false,"suffix":""},{"dropping-particle":"","family":"Cordaro","given":"Massimo","non-dropping-particle":"","parse-names":false,"suffix":""}],"container-title":"BMC Oral Health","id":"ITEM-1","issue":"1","issued":{"date-parts":[["2025","4","11"]]},"page":"533","title":"Chemical, optical, and morphological properties of TPU and PET-G samples after aging in artificial saliva: an in vitro study","type":"article-journal","volume":"25"},"uris":["http://www.mendeley.com/documents/?uuid=e91e6b81-5d02-425d-a3ab-9015e8c84968"]}],"mendeley":{"formattedCitation":"[51]","plainTextFormattedCitation":"[51]","previouslyFormattedCitation":"[51]"},"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[51]</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68CCC2C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25A360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9D842B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6883ACC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1E887A1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74C1248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427" w:type="dxa"/>
            <w:tcBorders>
              <w:top w:val="nil"/>
              <w:left w:val="nil"/>
              <w:bottom w:val="nil"/>
              <w:right w:val="nil"/>
            </w:tcBorders>
            <w:shd w:val="clear" w:color="auto" w:fill="auto"/>
            <w:noWrap/>
            <w:hideMark/>
          </w:tcPr>
          <w:p w14:paraId="30A3ADF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1255522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6E3DFE0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25" w:type="dxa"/>
            <w:tcBorders>
              <w:top w:val="nil"/>
              <w:left w:val="nil"/>
              <w:bottom w:val="nil"/>
              <w:right w:val="nil"/>
            </w:tcBorders>
            <w:shd w:val="clear" w:color="auto" w:fill="auto"/>
            <w:noWrap/>
            <w:hideMark/>
          </w:tcPr>
          <w:p w14:paraId="5B466A0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375E0CD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2E1EA75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905656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70.8</w:t>
            </w:r>
          </w:p>
        </w:tc>
      </w:tr>
      <w:tr w:rsidR="007D5124" w:rsidRPr="000B22C8" w14:paraId="748710D2" w14:textId="77777777" w:rsidTr="005304A6">
        <w:trPr>
          <w:trHeight w:val="321"/>
        </w:trPr>
        <w:tc>
          <w:tcPr>
            <w:tcW w:w="3080" w:type="dxa"/>
            <w:tcBorders>
              <w:top w:val="nil"/>
              <w:left w:val="nil"/>
              <w:bottom w:val="nil"/>
              <w:right w:val="nil"/>
            </w:tcBorders>
            <w:shd w:val="clear" w:color="auto" w:fill="auto"/>
            <w:noWrap/>
            <w:hideMark/>
          </w:tcPr>
          <w:p w14:paraId="19E2E7CC" w14:textId="095C0B4D"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Taheri wt al., 2026 </w:t>
            </w:r>
            <w:r w:rsidRPr="000B22C8">
              <w:rPr>
                <w:rFonts w:asciiTheme="minorBidi" w:hAnsiTheme="minorBidi"/>
                <w:color w:val="000000"/>
                <w:sz w:val="16"/>
                <w:szCs w:val="16"/>
              </w:rPr>
              <w:fldChar w:fldCharType="begin" w:fldLock="1"/>
            </w:r>
            <w:r>
              <w:rPr>
                <w:rFonts w:asciiTheme="minorBidi" w:hAnsiTheme="minorBidi"/>
                <w:color w:val="000000"/>
                <w:sz w:val="16"/>
                <w:szCs w:val="16"/>
                <w:lang w:val="de-CH"/>
              </w:rPr>
              <w:instrText>ADDIN CSL_CITATION {"citationItems":[{"id":"ITEM-1","itemData":{"DOI":"10.1007/s00784-025-06733-3","ISSN":"14326981","PMID":"41776087","abstract":"ObjectivesThe aim of this in vitro study was to compare the volumetric changes in the attachment regions of two aligner materials subjected to a cyclic insertion-disinsertion model, as well as the influence of a simulated intraoral environment (SIE) on the disinsertion force of the aligners. Materials and methodsPassive aligners of each material were obtained from two patients with different intraoral conditions (mild and severe crowding). Half of these aligners were immersed in SIE. Three study times were established at 35, 50, and 75 insertion disinsertion cycles. At each study time, the aligners were scanned with a Trios 3 intraoral scanner, and the STL models obtained were superimposed for comparative analysis of the volumetric change. The mean and maximum disinsertion forces were also quantified.ResultsAn increase in the mean force of disinsertion was observed for both aligner materials after exposure to SIE, with a statistically significant increase observed for material 1 (p &lt; 0.05). Following exposure to SIE, the aligners exhibited a mean rise in maximum disinsertion force of 56.2% in contrast to their performance under ideal conditions. However, there were no statistically significant differences in volumetric changes regardless of the magnitude of crowding and exposure to SIE.ConclusionsExposure to SIE adversely affects aligner deformation and disinsertion resistance. The PET-G based polymer demonstrated a consistently greater tendency toward volumetric change than the Polyutherane-based polymer.Clinical relevance:Intraoral aging can significantly affect aligner force and volumetric changes, reducing the predictability of planned tooth movements.","author":[{"dropping-particle":"","family":"Taheri","given":"R","non-dropping-particle":"","parse-names":false,"suffix":""},{"dropping-particle":"","family":"García-Marín","given":"C","non-dropping-particle":"","parse-names":false,"suffix":""},{"dropping-particle":"","family":"Aizpuru-Arotzena","given":"M","non-dropping-particle":"","parse-names":false,"suffix":""},{"dropping-particle":"","family":"Iglesias-Linares","given":"A","non-dropping-particle":"","parse-names":false,"suffix":""}],"container-title":"Clinical Oral Investigations","id":"ITEM-1","issue":"3","issued":{"date-parts":[["2026","3"]]},"language":"English","note":"From Duplicate 1 (3D volumetric changes and force delivery at the attachment region of different aligner materials - Taheri, R; García-Marín, C; Aizpuru-Arotzena, M; Iglesias-Linares, A)\n\nTimes Cited in Web of Science Core Collection: 0\nTotal Times Cited: 0\nCited Reference Count: 40\n\nFrom Duplicate 2 (3D volumetric changes and force delivery at the attachment region of different aligner materials - Taheri, R; García-Marín, C; Aizpuru-Arotzena, M; Iglesias-Linares, A)\n\nCopyright - © The Author(s) 2025. This work is published under http://creativecommons.org/licenses/by/4.0/ (the &amp;quot;License&amp;quot;). Notwithstanding the ProQuest Terms and Conditions, you may use this content in accordance with the terms of the License.\n\nLast updated - 2026-03-17\n\nSubjectsTermNotLitGenreText - United States--US; Denmark\n\nFrom Duplicate 3 (3D volumetric changes and force delivery at the attachment region of different aligner materials - Taheri, R; García-Marín, C; Aizpuru-Arotzena, M; Iglesias-Linares, A)\n\nExport Date: 18 March 2026","page":"106","publisher":"Springer Nature B.V. PP  - Heidelberg","publisher-place":"Univ Complutense Madrid, Sch Dent, Dept Orthodont, Madrid, Spain, Germany","title":"3D volumetric changes and force delivery at the attachment region of different aligner materials","type":"article-journal","volume":"30"},"uris":["http://www.mendeley.com/documents/?uuid=9f678691-b05a-4790-a2e4-58433fd73e2a"]}],"mendeley":{"formattedCitation":"[58]","plainTextFormattedCitation":"[58]","previouslyFormattedCitation":"[58]"},"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lang w:val="de-CH"/>
              </w:rPr>
              <w:t>[58]</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30E3301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16B79D1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1D118B6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451E2D1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31B56F9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1886438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71D965C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3C23B94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41869A4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63D8667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7FDF953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F6BF20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2B303C5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02B98510" w14:textId="77777777" w:rsidTr="005304A6">
        <w:trPr>
          <w:trHeight w:val="321"/>
        </w:trPr>
        <w:tc>
          <w:tcPr>
            <w:tcW w:w="3080" w:type="dxa"/>
            <w:tcBorders>
              <w:top w:val="nil"/>
              <w:left w:val="nil"/>
              <w:bottom w:val="nil"/>
              <w:right w:val="nil"/>
            </w:tcBorders>
            <w:shd w:val="clear" w:color="auto" w:fill="auto"/>
            <w:noWrap/>
            <w:hideMark/>
          </w:tcPr>
          <w:p w14:paraId="7C9D2BDE" w14:textId="0BEB35A5"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Tamburrino et al., 2020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{"citationItems":[{"id":"ITEM-1","itemData":{"DOI":"10.3390/dj8020047","ISSN":"2304-6767","abstract":"The use of metal-free thermoplastic materials plays a key role in the orthodontic digital workflow due to the increasing demand for clear aligner treatments. Three thermoplastic polymers commonly used to fabricate clear aligners, namely Duran®, Biolon® and Zendura®, were investigated to evaluate the effect of thermoforming (T.), storage in artificial saliva (S.A.S.) and their combination on their mechanical properties. Elastic modulus and yield stress of the specimens were characterized. Each material was characterized for each condition through tensile tests (ISO527-1). The results showed that thermoforming does not lead to a significant decrease in yield stress, except for Zendura® that showed about a 30% decrease. An increase of the elastic modulus of Duran® and Zendura®, instead, was observed after thermoforming. The same increase was noticed for the yield stress of Duran®. For S.A.S. specimens, the elastic modulus generally decreases compared to supplier condition (A.S.) and simply thermoformed material. A decrease of yield stress, instead, is significant for Zendura®. The results demonstrated that the impact of the operating conditions on the mechanical properties can vary according to the specific polymer. To design reliable and effective orthodontic treatments, the materials should be selected after their mechanical properties are characterized in the simulated intraoral environment.","author":[{"dropping-particle":"","family":"Tamburrino","given":"Francesco","non-dropping-particle":"","parse-names":false,"suffix":""},{"dropping-particle":"","family":"D’Antò","given":"Vincenzo","non-dropping-particle":"","parse-names":false,"suffix":""},{"dropping-particle":"","family":"Bucci","given":"Rosaria","non-dropping-particle":"","parse-names":false,"suffix":""},{"dropping-particle":"","family":"Alessandri-Bonetti","given":"Giulio","non-dropping-particle":"","parse-names":false,"suffix":""},{"dropping-particle":"","family":"Barone","given":"Sandro","non-dropping-particle":"","parse-names":false,"suffix":""},{"dropping-particle":"","family":"Razionale","given":"Armando Viviano","non-dropping-particle":"","parse-names":false,"suffix":""}],"container-title":"Dentistry Journal","id":"ITEM-1","issue":"2","issued":{"date-parts":[["2020","5","10"]]},"page":"47","title":"Mechanical Properties of Thermoplastic Polymers for Aligner Manufacturing: In Vitro Study","type":"article-journal","volume":"8"},"uris":["http://www.mendeley.com/documents/?uuid=f85b102c-4c65-41b1-8ba6-80a6eea4a76d"]}],"mendeley":{"formattedCitation":"[21]","plainTextFormattedCitation":"[21]","previouslyFormattedCitation":"[21]"},"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[21]</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34A8CCE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4ACA5B8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5025B25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51388AB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012DEAF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599BDBD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4B4CFC2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63733D7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5708CB87"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0774CBB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26B804D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7C9FAD3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14C5C8E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54.2</w:t>
            </w:r>
          </w:p>
        </w:tc>
      </w:tr>
      <w:tr w:rsidR="007D5124" w:rsidRPr="000B22C8" w14:paraId="0B28A205" w14:textId="77777777" w:rsidTr="005304A6">
        <w:trPr>
          <w:trHeight w:val="321"/>
        </w:trPr>
        <w:tc>
          <w:tcPr>
            <w:tcW w:w="3080" w:type="dxa"/>
            <w:tcBorders>
              <w:top w:val="nil"/>
              <w:left w:val="nil"/>
              <w:bottom w:val="nil"/>
              <w:right w:val="nil"/>
            </w:tcBorders>
            <w:shd w:val="clear" w:color="auto" w:fill="auto"/>
            <w:noWrap/>
            <w:hideMark/>
          </w:tcPr>
          <w:p w14:paraId="2232784D" w14:textId="1506F5A5"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Trehan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lang w:val="de-CH"/>
              </w:rPr>
              <w:instrText>ADDIN CSL_CITATION {"citationItems":[{"id":"ITEM-1","itemData":{"DOI":"10.18231/j.jco.v.9.i.3.15","author":[{"dropping-particle":"","family":"Trehan","given":"M","non-dropping-particle":"","parse-names":false,"suffix":""},{"dropping-particle":"","family":"Maxwell","given":"A A","non-dropping-particle":"","parse-names":false,"suffix":""},{"dropping-particle":"","family":"Tiwari","given":"A","non-dropping-particle":"","parse-names":false,"suffix":""},{"dropping-particle":"","family":"Kumar","given":"A","non-dropping-particle":"","parse-names":false,"suffix":""},{"dropping-particle":"","family":"Jakhar","given":"A","non-dropping-particle":"","parse-names":false,"suffix":""}],"container-title":"Journal of Contemporary Orthodontics","id":"ITEM-1","issue":"3","issued":{"date-parts":[["2025"]]},"note":"Export Date: 18 March 2026","page":"388-392","title":"Unveiling the resilience of aligner materials: Comparative analysis of mechanical properties across thermoforming and saliva exposure","type":"article-journal","volume":"9"},"uris":["http://www.mendeley.com/documents/?uuid=2dd13209-3774-4530-86c1-46a1e1ff93b8"]}],"mendeley":{"formattedCitation":"[72]","plainTextFormattedCitation":"[72]","previouslyFormattedCitation":"[72]"},"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lang w:val="de-CH"/>
              </w:rPr>
              <w:t>[72]</w:t>
            </w:r>
            <w:r w:rsidRPr="000B22C8">
              <w:rPr>
                <w:rFonts w:asciiTheme="minorBidi" w:hAnsiTheme="minorBidi"/>
                <w:color w:val="000000"/>
                <w:sz w:val="16"/>
                <w:szCs w:val="16"/>
              </w:rPr>
              <w:fldChar w:fldCharType="end"/>
            </w:r>
          </w:p>
        </w:tc>
        <w:tc>
          <w:tcPr>
            <w:tcW w:w="2507" w:type="dxa"/>
            <w:tcBorders>
              <w:top w:val="nil"/>
              <w:left w:val="nil"/>
              <w:bottom w:val="nil"/>
              <w:right w:val="nil"/>
            </w:tcBorders>
            <w:shd w:val="clear" w:color="auto" w:fill="auto"/>
            <w:noWrap/>
            <w:hideMark/>
          </w:tcPr>
          <w:p w14:paraId="053DF26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3488138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63622D4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bottom w:val="nil"/>
              <w:right w:val="nil"/>
            </w:tcBorders>
            <w:shd w:val="clear" w:color="auto" w:fill="auto"/>
            <w:noWrap/>
            <w:hideMark/>
          </w:tcPr>
          <w:p w14:paraId="486F298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6B99C14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88" w:type="dxa"/>
            <w:tcBorders>
              <w:top w:val="nil"/>
              <w:left w:val="nil"/>
              <w:bottom w:val="nil"/>
              <w:right w:val="nil"/>
            </w:tcBorders>
            <w:shd w:val="clear" w:color="auto" w:fill="auto"/>
            <w:noWrap/>
            <w:hideMark/>
          </w:tcPr>
          <w:p w14:paraId="04982CA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nil"/>
              <w:right w:val="nil"/>
            </w:tcBorders>
            <w:shd w:val="clear" w:color="auto" w:fill="auto"/>
            <w:noWrap/>
            <w:hideMark/>
          </w:tcPr>
          <w:p w14:paraId="5CF548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48E9387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621" w:type="dxa"/>
            <w:tcBorders>
              <w:top w:val="nil"/>
              <w:left w:val="nil"/>
              <w:bottom w:val="nil"/>
              <w:right w:val="nil"/>
            </w:tcBorders>
            <w:shd w:val="clear" w:color="auto" w:fill="auto"/>
            <w:noWrap/>
            <w:hideMark/>
          </w:tcPr>
          <w:p w14:paraId="362750F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nil"/>
              <w:right w:val="nil"/>
            </w:tcBorders>
            <w:shd w:val="clear" w:color="auto" w:fill="auto"/>
            <w:noWrap/>
            <w:hideMark/>
          </w:tcPr>
          <w:p w14:paraId="1D5B097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nil"/>
              <w:right w:val="nil"/>
            </w:tcBorders>
            <w:shd w:val="clear" w:color="auto" w:fill="auto"/>
            <w:noWrap/>
            <w:hideMark/>
          </w:tcPr>
          <w:p w14:paraId="488741B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112" w:type="dxa"/>
            <w:tcBorders>
              <w:top w:val="nil"/>
              <w:left w:val="nil"/>
              <w:bottom w:val="nil"/>
              <w:right w:val="nil"/>
            </w:tcBorders>
            <w:shd w:val="clear" w:color="auto" w:fill="auto"/>
            <w:noWrap/>
            <w:hideMark/>
          </w:tcPr>
          <w:p w14:paraId="07F0223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921" w:type="dxa"/>
            <w:tcBorders>
              <w:top w:val="nil"/>
              <w:left w:val="nil"/>
              <w:bottom w:val="nil"/>
              <w:right w:val="nil"/>
            </w:tcBorders>
            <w:shd w:val="clear" w:color="auto" w:fill="auto"/>
            <w:noWrap/>
            <w:hideMark/>
          </w:tcPr>
          <w:p w14:paraId="225DFFB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41.7</w:t>
            </w:r>
          </w:p>
        </w:tc>
      </w:tr>
      <w:tr w:rsidR="007D5124" w:rsidRPr="000B22C8" w14:paraId="64FF4D42" w14:textId="77777777" w:rsidTr="005304A6">
        <w:trPr>
          <w:trHeight w:val="321"/>
        </w:trPr>
        <w:tc>
          <w:tcPr>
            <w:tcW w:w="3080" w:type="dxa"/>
            <w:tcBorders>
              <w:top w:val="nil"/>
              <w:left w:val="nil"/>
              <w:bottom w:val="nil"/>
              <w:right w:val="nil"/>
            </w:tcBorders>
            <w:shd w:val="clear" w:color="auto" w:fill="auto"/>
            <w:noWrap/>
            <w:hideMark/>
          </w:tcPr>
          <w:p w14:paraId="30DC61AD" w14:textId="79EF65DD"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Venkatasubramanian et al., 2022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{"citationItems":[{"id":"ITEM-1","itemData":{"DOI":"10.34172/joddd.2022.035","ISSN":"2008-210X","abstract":"Background. In the recent day, there has been an exponential growth in the usage of clear aligners for orthodontic treatment. As with any removable appliance, the compliance of patients to remove it during ingestion of food is, at times, poor. Thus, the stability of the clear aligner to be \"clear\" becomes questionable. This in-vitro study examined how the clear aligners changed colour on exposure to various indigenous food products used in everyday life. Methods. Aligners from 5 different companies (K Line, Clearbite Aligners, The Aligner Company, iAligners and MaxDent CA Digital) were exposed for 12 hours and 24 hours to various indigenous substances (tea, green tea, coffee, turmeric, saffron and Kashmiri red chili powder) and a control solution (distilled water) in-vitro. The color change was assessed with the help of VITA Easyshade compact colorimeter based on Commission Internationale de I’Eclairage L*a*b* color system. Values were then modified to NBS units for clinical relevance. Results. The hue of the transparent aligners was noticed to change in a statistically meaningful way when exposed to turmeric, saffron, Kashmiri red chili powder and coffee in decreasing order and mild color change in tea and green tea at both 12 hours and 24 hours intervals. Conclusion. Aligners are prone to color change when exposed to indigenous foods that contain staining properties.","author":[{"dropping-particle":"","family":"Venkatasubramanian","given":"Priyanka","non-dropping-particle":"","parse-names":false,"suffix":""},{"dropping-particle":"","family":"Jerome","given":"Mary Sanjana","non-dropping-particle":"","parse-names":false,"suffix":""},{"dropping-particle":"","family":"Ragunanthanan","given":"Lokamithra","non-dropping-particle":"","parse-names":false,"suffix":""},{"dropping-particle":"","family":"Maheshwari","given":"Uma","non-dropping-particle":"","parse-names":false,"suffix":""},{"dropping-particle":"","family":"Vijayalakshmi","given":"Devaki","non-dropping-particle":"","parse-names":false,"suffix":""}],"container-title":"Journal of Dental Research, Dental Clinics, Dental Prospects","id":"ITEM-1","issue":"4","issued":{"date-parts":[["2022","12","30"]]},"page":"221-228","title":"Color stability of aligner materials on exposure to indigenous food products: An in-vitro study","type":"article-journal","volume":"16"},"uris":["http://www.mendeley.com/documents/?uuid=269096f1-1cb9-429e-a5cf-3fe00e74a63c"]}],"mendeley":{"formattedCitation":"[52]","plainTextFormattedCitation":"[52]","previouslyFormattedCitation":"[52]"},"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[52]</w:t>
            </w:r>
            <w:r w:rsidRPr="000B22C8">
              <w:rPr>
                <w:rFonts w:asciiTheme="minorBidi" w:hAnsiTheme="minorBidi"/>
                <w:sz w:val="16"/>
                <w:szCs w:val="16"/>
              </w:rPr>
              <w:fldChar w:fldCharType="end"/>
            </w:r>
          </w:p>
        </w:tc>
        <w:tc>
          <w:tcPr>
            <w:tcW w:w="2507" w:type="dxa"/>
            <w:tcBorders>
              <w:top w:val="nil"/>
              <w:left w:val="nil"/>
              <w:bottom w:val="nil"/>
              <w:right w:val="nil"/>
            </w:tcBorders>
            <w:shd w:val="clear" w:color="auto" w:fill="auto"/>
            <w:noWrap/>
            <w:hideMark/>
          </w:tcPr>
          <w:p w14:paraId="119BE4B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nil"/>
              <w:right w:val="nil"/>
            </w:tcBorders>
            <w:shd w:val="clear" w:color="auto" w:fill="auto"/>
            <w:noWrap/>
            <w:hideMark/>
          </w:tcPr>
          <w:p w14:paraId="24A31E0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nil"/>
              <w:right w:val="nil"/>
            </w:tcBorders>
            <w:shd w:val="clear" w:color="auto" w:fill="auto"/>
            <w:noWrap/>
            <w:hideMark/>
          </w:tcPr>
          <w:p w14:paraId="20C38D3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nil"/>
              <w:right w:val="nil"/>
            </w:tcBorders>
            <w:shd w:val="clear" w:color="auto" w:fill="auto"/>
            <w:noWrap/>
            <w:hideMark/>
          </w:tcPr>
          <w:p w14:paraId="090D6A4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nil"/>
              <w:right w:val="nil"/>
            </w:tcBorders>
            <w:shd w:val="clear" w:color="auto" w:fill="auto"/>
            <w:noWrap/>
            <w:hideMark/>
          </w:tcPr>
          <w:p w14:paraId="62B3ADF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bottom w:val="nil"/>
              <w:right w:val="nil"/>
            </w:tcBorders>
            <w:shd w:val="clear" w:color="auto" w:fill="auto"/>
            <w:noWrap/>
            <w:hideMark/>
          </w:tcPr>
          <w:p w14:paraId="2226AE96"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427" w:type="dxa"/>
            <w:tcBorders>
              <w:top w:val="nil"/>
              <w:left w:val="nil"/>
              <w:bottom w:val="nil"/>
              <w:right w:val="nil"/>
            </w:tcBorders>
            <w:shd w:val="clear" w:color="auto" w:fill="auto"/>
            <w:noWrap/>
            <w:hideMark/>
          </w:tcPr>
          <w:p w14:paraId="410464A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nil"/>
              <w:right w:val="nil"/>
            </w:tcBorders>
            <w:shd w:val="clear" w:color="auto" w:fill="auto"/>
            <w:noWrap/>
            <w:hideMark/>
          </w:tcPr>
          <w:p w14:paraId="6095D19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bottom w:val="nil"/>
              <w:right w:val="nil"/>
            </w:tcBorders>
            <w:shd w:val="clear" w:color="auto" w:fill="auto"/>
            <w:noWrap/>
            <w:hideMark/>
          </w:tcPr>
          <w:p w14:paraId="6E96DB9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25" w:type="dxa"/>
            <w:tcBorders>
              <w:top w:val="nil"/>
              <w:left w:val="nil"/>
              <w:bottom w:val="nil"/>
              <w:right w:val="nil"/>
            </w:tcBorders>
            <w:shd w:val="clear" w:color="auto" w:fill="auto"/>
            <w:noWrap/>
            <w:hideMark/>
          </w:tcPr>
          <w:p w14:paraId="2C73C14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731" w:type="dxa"/>
            <w:tcBorders>
              <w:top w:val="nil"/>
              <w:left w:val="nil"/>
              <w:bottom w:val="nil"/>
              <w:right w:val="nil"/>
            </w:tcBorders>
            <w:shd w:val="clear" w:color="auto" w:fill="auto"/>
            <w:noWrap/>
            <w:hideMark/>
          </w:tcPr>
          <w:p w14:paraId="6FCA468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bottom w:val="nil"/>
              <w:right w:val="nil"/>
            </w:tcBorders>
            <w:shd w:val="clear" w:color="auto" w:fill="auto"/>
            <w:noWrap/>
            <w:hideMark/>
          </w:tcPr>
          <w:p w14:paraId="3E01DBA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nil"/>
              <w:right w:val="nil"/>
            </w:tcBorders>
            <w:shd w:val="clear" w:color="auto" w:fill="auto"/>
            <w:noWrap/>
            <w:hideMark/>
          </w:tcPr>
          <w:p w14:paraId="685376B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79.2</w:t>
            </w:r>
          </w:p>
        </w:tc>
      </w:tr>
      <w:tr w:rsidR="007D5124" w:rsidRPr="000B22C8" w14:paraId="3E3B8C3E" w14:textId="77777777" w:rsidTr="005304A6">
        <w:trPr>
          <w:trHeight w:val="321"/>
        </w:trPr>
        <w:tc>
          <w:tcPr>
            <w:tcW w:w="3080" w:type="dxa"/>
            <w:tcBorders>
              <w:top w:val="nil"/>
              <w:left w:val="nil"/>
              <w:right w:val="nil"/>
            </w:tcBorders>
            <w:shd w:val="clear" w:color="auto" w:fill="auto"/>
            <w:noWrap/>
            <w:hideMark/>
          </w:tcPr>
          <w:p w14:paraId="3143CEF2" w14:textId="26355EAE"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Wu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lang w:val="de-CH"/>
              </w:rPr>
              <w:instrText>ADDIN CSL_CITATION {"citationItems":[{"id":"ITEM-1","itemData":{"DOI":"10.2319/081624-672.1 WE  - Science Citation Index Expanded (SCI-EXPANDED)","ISSN":"0003-3219","abstract":"Objectives: To determine effects of printing layer thickness and build orientation on mechanical properties and color stability of direct 3D-printed clear aligner resin. Materials and Methods: Specimens were printed using 3D printed clear aligner resin with two printing layer thicknesses (50 mm, 100 mm) and three build orientations (90 degrees, 60 degrees, and 45 degrees). Mechanical properties (tensile stress, tensile strain, and elastic modulus), color stability in coffee and artificial saliva, and roughness were then evaluated. Results: Specimens printed with a 50 mm layer thickness and orientation at 90 degrees demonstrated superior color stability in artificial saliva. However, all specimens showed high susceptibility to coffee staining regardless of layer thickness or orientation. Mechanical properties were improved in the order of 90 degrees &lt; 60 degrees &lt; 45 degrees build orientation, showing statistically significant differences (P &lt; .05). Surface roughness was increased in the order of 90 degrees &lt; 60 degrees &lt; 45 degrees build orientation, showing statistically significant differences (P &lt; .05). Conclusions: Printing layer thickness and orientation exerted significant effects on mechanical properties, color stability, and surface roughness of 3D-printed clear aligner resin.","author":[{"dropping-particle":"","family":"Wu","given":"C Z","non-dropping-particle":"","parse-names":false,"suffix":""},{"dropping-particle":"","family":"Mangal","given":"U","non-dropping-particle":"","parse-names":false,"suffix":""},{"dropping-particle":"","family":"Bai","given":"N","non-dropping-particle":"","parse-names":false,"suffix":""},{"dropping-particle":"","family":"Kim","given":"H","non-dropping-particle":"","parse-names":false,"suffix":""},{"dropping-particle":"","family":"Hwang","given":"G","non-dropping-particle":"","parse-names":false,"suffix":""},{"dropping-particle":"","family":"Cha","given":"J Y","non-dropping-particle":"","parse-names":false,"suffix":""},{"dropping-particle":"","family":"Lee","given":"K J","non-dropping-particle":"","parse-names":false,"suffix":""},{"dropping-particle":"","family":"Kwon","given":"J S","non-dropping-particle":"","parse-names":false,"suffix":""},{"dropping-particle":"","family":"Choi","given":"S H","non-dropping-particle":"","parse-names":false,"suffix":""}],"container-title":"ANGLE ORTHODONTIST","id":"ITEM-1","issue":"4","issued":{"date-parts":[["2025"]]},"language":"English","note":"Times Cited in Web of Science Core Collection: 0\nTotal Times Cited: 0\nCited Reference Count: 21","page":"355-361","publisher-place":"Yonsei Univ, Inst Craniofacial Deform, Coll Dent, Dept Orthodont, 50-1 Yonsei ro, Seoul 03722, South Korea","title":"Effects of printing layer thickness and build orientation on the mechanical properties and color stability of 3D-printed clear aligners","type":"article-journal","volume":"95"},"uris":["http://www.mendeley.com/documents/?uuid=7be4c470-fc1d-4fcf-b60b-55d9b9019e22"]}],"mendeley":{"formattedCitation":"[68]","plainTextFormattedCitation":"[68]","previouslyFormattedCitation":"[68]"},"properties":{"noteIndex":0},"schema":"https://github.com/citation-style-language/schema/raw/master/csl-citation.json"}</w:instrText>
            </w:r>
            <w:r w:rsidRPr="000B22C8">
              <w:rPr>
                <w:rFonts w:asciiTheme="minorBidi" w:hAnsiTheme="minorBidi"/>
                <w:color w:val="000000"/>
                <w:sz w:val="16"/>
                <w:szCs w:val="16"/>
              </w:rPr>
              <w:fldChar w:fldCharType="separate"/>
            </w:r>
            <w:r w:rsidRPr="000B22C8">
              <w:rPr>
                <w:rFonts w:asciiTheme="minorBidi" w:hAnsiTheme="minorBidi"/>
                <w:noProof/>
                <w:color w:val="000000"/>
                <w:sz w:val="16"/>
                <w:szCs w:val="16"/>
                <w:lang w:val="de-CH"/>
              </w:rPr>
              <w:t>[68]</w:t>
            </w:r>
            <w:r w:rsidRPr="000B22C8">
              <w:rPr>
                <w:rFonts w:asciiTheme="minorBidi" w:hAnsiTheme="minorBidi"/>
                <w:color w:val="000000"/>
                <w:sz w:val="16"/>
                <w:szCs w:val="16"/>
              </w:rPr>
              <w:fldChar w:fldCharType="end"/>
            </w:r>
          </w:p>
        </w:tc>
        <w:tc>
          <w:tcPr>
            <w:tcW w:w="2507" w:type="dxa"/>
            <w:tcBorders>
              <w:top w:val="nil"/>
              <w:left w:val="nil"/>
              <w:right w:val="nil"/>
            </w:tcBorders>
            <w:shd w:val="clear" w:color="auto" w:fill="auto"/>
            <w:noWrap/>
            <w:hideMark/>
          </w:tcPr>
          <w:p w14:paraId="1166D7F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right w:val="nil"/>
            </w:tcBorders>
            <w:shd w:val="clear" w:color="auto" w:fill="auto"/>
            <w:noWrap/>
            <w:hideMark/>
          </w:tcPr>
          <w:p w14:paraId="317794C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right w:val="nil"/>
            </w:tcBorders>
            <w:shd w:val="clear" w:color="auto" w:fill="auto"/>
            <w:noWrap/>
            <w:hideMark/>
          </w:tcPr>
          <w:p w14:paraId="5392F6F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000" w:type="dxa"/>
            <w:tcBorders>
              <w:top w:val="nil"/>
              <w:left w:val="nil"/>
              <w:right w:val="nil"/>
            </w:tcBorders>
            <w:shd w:val="clear" w:color="auto" w:fill="auto"/>
            <w:noWrap/>
            <w:hideMark/>
          </w:tcPr>
          <w:p w14:paraId="48198B2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right w:val="nil"/>
            </w:tcBorders>
            <w:shd w:val="clear" w:color="auto" w:fill="auto"/>
            <w:noWrap/>
            <w:hideMark/>
          </w:tcPr>
          <w:p w14:paraId="16FBD85F"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588" w:type="dxa"/>
            <w:tcBorders>
              <w:top w:val="nil"/>
              <w:left w:val="nil"/>
              <w:right w:val="nil"/>
            </w:tcBorders>
            <w:shd w:val="clear" w:color="auto" w:fill="auto"/>
            <w:noWrap/>
            <w:hideMark/>
          </w:tcPr>
          <w:p w14:paraId="56A8646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right w:val="nil"/>
            </w:tcBorders>
            <w:shd w:val="clear" w:color="auto" w:fill="auto"/>
            <w:noWrap/>
            <w:hideMark/>
          </w:tcPr>
          <w:p w14:paraId="15202CC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right w:val="nil"/>
            </w:tcBorders>
            <w:shd w:val="clear" w:color="auto" w:fill="auto"/>
            <w:noWrap/>
            <w:hideMark/>
          </w:tcPr>
          <w:p w14:paraId="0E6320C5"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621" w:type="dxa"/>
            <w:tcBorders>
              <w:top w:val="nil"/>
              <w:left w:val="nil"/>
              <w:right w:val="nil"/>
            </w:tcBorders>
            <w:shd w:val="clear" w:color="auto" w:fill="auto"/>
            <w:noWrap/>
            <w:hideMark/>
          </w:tcPr>
          <w:p w14:paraId="0BECE1D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right w:val="nil"/>
            </w:tcBorders>
            <w:shd w:val="clear" w:color="auto" w:fill="auto"/>
            <w:noWrap/>
            <w:hideMark/>
          </w:tcPr>
          <w:p w14:paraId="199F9D8A"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right w:val="nil"/>
            </w:tcBorders>
            <w:shd w:val="clear" w:color="auto" w:fill="auto"/>
            <w:noWrap/>
            <w:hideMark/>
          </w:tcPr>
          <w:p w14:paraId="1B6B7AB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12" w:type="dxa"/>
            <w:tcBorders>
              <w:top w:val="nil"/>
              <w:left w:val="nil"/>
              <w:right w:val="nil"/>
            </w:tcBorders>
            <w:shd w:val="clear" w:color="auto" w:fill="auto"/>
            <w:noWrap/>
            <w:hideMark/>
          </w:tcPr>
          <w:p w14:paraId="054FB88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right w:val="nil"/>
            </w:tcBorders>
            <w:shd w:val="clear" w:color="auto" w:fill="auto"/>
            <w:noWrap/>
            <w:hideMark/>
          </w:tcPr>
          <w:p w14:paraId="5E675BD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58.3</w:t>
            </w:r>
          </w:p>
        </w:tc>
      </w:tr>
      <w:tr w:rsidR="007D5124" w:rsidRPr="000B22C8" w14:paraId="625DECD5" w14:textId="77777777" w:rsidTr="005304A6">
        <w:trPr>
          <w:trHeight w:val="321"/>
        </w:trPr>
        <w:tc>
          <w:tcPr>
            <w:tcW w:w="3080" w:type="dxa"/>
            <w:tcBorders>
              <w:top w:val="nil"/>
              <w:left w:val="nil"/>
              <w:bottom w:val="single" w:sz="4" w:space="0" w:color="auto"/>
              <w:right w:val="nil"/>
            </w:tcBorders>
            <w:shd w:val="clear" w:color="auto" w:fill="auto"/>
            <w:noWrap/>
            <w:hideMark/>
          </w:tcPr>
          <w:p w14:paraId="0D7FFC65" w14:textId="44F04AF3" w:rsidR="007D5124" w:rsidRPr="000B22C8" w:rsidRDefault="007D5124" w:rsidP="007D5124">
            <w:pPr>
              <w:spacing w:after="0" w:line="240" w:lineRule="auto"/>
              <w:rPr>
                <w:rFonts w:asciiTheme="minorBidi" w:eastAsia="Times New Roman" w:hAnsiTheme="minorBidi"/>
                <w:color w:val="000000"/>
                <w:kern w:val="0"/>
                <w:sz w:val="16"/>
                <w:szCs w:val="16"/>
                <w:lang w:val="de-CH"/>
                <w14:ligatures w14:val="none"/>
              </w:rPr>
            </w:pPr>
            <w:r w:rsidRPr="000B22C8">
              <w:rPr>
                <w:rFonts w:asciiTheme="minorBidi" w:eastAsia="Times New Roman" w:hAnsiTheme="minorBidi"/>
                <w:color w:val="000000"/>
                <w:kern w:val="0"/>
                <w:sz w:val="16"/>
                <w:szCs w:val="16"/>
                <w:lang w:val="de-CH"/>
                <w14:ligatures w14:val="none"/>
              </w:rPr>
              <w:t xml:space="preserve">Xiang et al., 2021 </w:t>
            </w:r>
            <w:r w:rsidRPr="000B22C8">
              <w:rPr>
                <w:rFonts w:asciiTheme="minorBidi" w:hAnsiTheme="minorBidi"/>
                <w:sz w:val="16"/>
                <w:szCs w:val="16"/>
              </w:rPr>
              <w:fldChar w:fldCharType="begin" w:fldLock="1"/>
            </w:r>
            <w:r>
              <w:rPr>
                <w:rFonts w:asciiTheme="minorBidi" w:hAnsiTheme="minorBidi"/>
                <w:sz w:val="16"/>
                <w:szCs w:val="16"/>
                <w:lang w:val="de-CH"/>
              </w:rPr>
              <w:instrText>ADDIN CSL_CITATION {"citationItems":[{"id":"ITEM-1","itemData":{"DOI":"10.1038/s41598-021-89425-8","ISSN":"2045-2322","abstract":"Numerous factors can influence the force exerted by clear aligners on teeth. This study aimed to investigate the stability of the force delivered by two different material appliances. 90 clear aligners with 2 materials and three different activations were designed and fabricated. Then, a device was employed to measure the force generated by the two types of PET-G material appliances immersed in artificial saliva for 0, 3, 7, 10, 14 days. Scanning electron microscopy was applied to observe the morphologic alterations on the aligner surfaces, respectively. The forces generated by different activation appliance exhibited differently, 0.0 mm &lt; 0.1 mm &lt; 0.2 mm. In addition, increasing the immersion times and the orthodontic force also decreased, but the forces decreased differently. Compared with the forces of conventional PETG appliances with 0.20 mm activation, the modified PETG appliances with the same activation exhibited significantly higher mean force. When comparing the mean force for modified PETG appliances after 10 and 14 days with conventional PETG appliances, the delivery forces exhibited significant differences ( P &lt; 0.05). The force delivered by both materials decreased obviously following artificial saliva immersion, and the force generated by modified aligners exhibited better stability than conventional aligners.","author":[{"dropping-particle":"","family":"Xiang","given":"Biao","non-dropping-particle":"","parse-names":false,"suffix":""},{"dropping-particle":"","family":"Wang","given":"Xingxing","non-dropping-particle":"","parse-names":false,"suffix":""},{"dropping-particle":"","family":"Wu","given":"Gang","non-dropping-particle":"","parse-names":false,"suffix":""},{"dropping-particle":"","family":"Xu","given":"Yichen","non-dropping-particle":"","parse-names":false,"suffix":""},{"dropping-particle":"","family":"Wang","given":"Menghan","non-dropping-particle":"","parse-names":false,"suffix":""},{"dropping-particle":"","family":"Yang","given":"Yanjing","non-dropping-particle":"","parse-names":false,"suffix":""},{"dropping-particle":"","family":"Wang","given":"Qingyu","non-dropping-particle":"","parse-names":false,"suffix":""}],"container-title":"Scientific Reports","id":"ITEM-1","issue":"1","issued":{"date-parts":[["2021","5","12"]]},"page":"10052","title":"The force effects of two types of polyethylene terephthalate glyc-olmodified clear aligners immersed in artificial saliva","type":"article-journal","volume":"11"},"uris":["http://www.mendeley.com/documents/?uuid=406539b8-ab1b-411b-bfaf-4e72096ae5d7"]}],"mendeley":{"formattedCitation":"[43]","plainTextFormattedCitation":"[43]","previouslyFormattedCitation":"[43]"},"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lang w:val="de-CH"/>
              </w:rPr>
              <w:t>[43]</w:t>
            </w:r>
            <w:r w:rsidRPr="000B22C8">
              <w:rPr>
                <w:rFonts w:asciiTheme="minorBidi" w:hAnsiTheme="minorBidi"/>
                <w:sz w:val="16"/>
                <w:szCs w:val="16"/>
              </w:rPr>
              <w:fldChar w:fldCharType="end"/>
            </w:r>
          </w:p>
        </w:tc>
        <w:tc>
          <w:tcPr>
            <w:tcW w:w="2507" w:type="dxa"/>
            <w:tcBorders>
              <w:top w:val="nil"/>
              <w:left w:val="nil"/>
              <w:bottom w:val="single" w:sz="4" w:space="0" w:color="auto"/>
              <w:right w:val="nil"/>
            </w:tcBorders>
            <w:shd w:val="clear" w:color="auto" w:fill="auto"/>
            <w:noWrap/>
            <w:hideMark/>
          </w:tcPr>
          <w:p w14:paraId="02026851"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69" w:type="dxa"/>
            <w:tcBorders>
              <w:top w:val="nil"/>
              <w:left w:val="nil"/>
              <w:bottom w:val="single" w:sz="4" w:space="0" w:color="auto"/>
              <w:right w:val="nil"/>
            </w:tcBorders>
            <w:shd w:val="clear" w:color="auto" w:fill="auto"/>
            <w:noWrap/>
            <w:hideMark/>
          </w:tcPr>
          <w:p w14:paraId="316892B0"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969" w:type="dxa"/>
            <w:tcBorders>
              <w:top w:val="nil"/>
              <w:left w:val="nil"/>
              <w:bottom w:val="single" w:sz="4" w:space="0" w:color="auto"/>
              <w:right w:val="nil"/>
            </w:tcBorders>
            <w:shd w:val="clear" w:color="auto" w:fill="auto"/>
            <w:noWrap/>
            <w:hideMark/>
          </w:tcPr>
          <w:p w14:paraId="13D04AAD"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2000" w:type="dxa"/>
            <w:tcBorders>
              <w:top w:val="nil"/>
              <w:left w:val="nil"/>
              <w:bottom w:val="single" w:sz="4" w:space="0" w:color="auto"/>
              <w:right w:val="nil"/>
            </w:tcBorders>
            <w:shd w:val="clear" w:color="auto" w:fill="auto"/>
            <w:noWrap/>
            <w:hideMark/>
          </w:tcPr>
          <w:p w14:paraId="38CD861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2174" w:type="dxa"/>
            <w:tcBorders>
              <w:top w:val="nil"/>
              <w:left w:val="nil"/>
              <w:bottom w:val="single" w:sz="4" w:space="0" w:color="auto"/>
              <w:right w:val="nil"/>
            </w:tcBorders>
            <w:shd w:val="clear" w:color="auto" w:fill="auto"/>
            <w:noWrap/>
            <w:hideMark/>
          </w:tcPr>
          <w:p w14:paraId="3F9D355C"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588" w:type="dxa"/>
            <w:tcBorders>
              <w:top w:val="nil"/>
              <w:left w:val="nil"/>
              <w:bottom w:val="single" w:sz="4" w:space="0" w:color="auto"/>
              <w:right w:val="nil"/>
            </w:tcBorders>
            <w:shd w:val="clear" w:color="auto" w:fill="auto"/>
            <w:noWrap/>
            <w:hideMark/>
          </w:tcPr>
          <w:p w14:paraId="0D14D594"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427" w:type="dxa"/>
            <w:tcBorders>
              <w:top w:val="nil"/>
              <w:left w:val="nil"/>
              <w:bottom w:val="single" w:sz="4" w:space="0" w:color="auto"/>
              <w:right w:val="nil"/>
            </w:tcBorders>
            <w:shd w:val="clear" w:color="auto" w:fill="auto"/>
            <w:noWrap/>
            <w:hideMark/>
          </w:tcPr>
          <w:p w14:paraId="7352495B"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238" w:type="dxa"/>
            <w:tcBorders>
              <w:top w:val="nil"/>
              <w:left w:val="nil"/>
              <w:bottom w:val="single" w:sz="4" w:space="0" w:color="auto"/>
              <w:right w:val="nil"/>
            </w:tcBorders>
            <w:shd w:val="clear" w:color="auto" w:fill="auto"/>
            <w:noWrap/>
            <w:hideMark/>
          </w:tcPr>
          <w:p w14:paraId="36D529E9"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1</w:t>
            </w:r>
          </w:p>
        </w:tc>
        <w:tc>
          <w:tcPr>
            <w:tcW w:w="1621" w:type="dxa"/>
            <w:tcBorders>
              <w:top w:val="nil"/>
              <w:left w:val="nil"/>
              <w:bottom w:val="single" w:sz="4" w:space="0" w:color="auto"/>
              <w:right w:val="nil"/>
            </w:tcBorders>
            <w:shd w:val="clear" w:color="auto" w:fill="auto"/>
            <w:noWrap/>
            <w:hideMark/>
          </w:tcPr>
          <w:p w14:paraId="2AB5A13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525" w:type="dxa"/>
            <w:tcBorders>
              <w:top w:val="nil"/>
              <w:left w:val="nil"/>
              <w:bottom w:val="single" w:sz="4" w:space="0" w:color="auto"/>
              <w:right w:val="nil"/>
            </w:tcBorders>
            <w:shd w:val="clear" w:color="auto" w:fill="auto"/>
            <w:noWrap/>
            <w:hideMark/>
          </w:tcPr>
          <w:p w14:paraId="14F799F3"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1731" w:type="dxa"/>
            <w:tcBorders>
              <w:top w:val="nil"/>
              <w:left w:val="nil"/>
              <w:bottom w:val="single" w:sz="4" w:space="0" w:color="auto"/>
              <w:right w:val="nil"/>
            </w:tcBorders>
            <w:shd w:val="clear" w:color="auto" w:fill="auto"/>
            <w:noWrap/>
            <w:hideMark/>
          </w:tcPr>
          <w:p w14:paraId="79D9AB42"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0</w:t>
            </w:r>
          </w:p>
        </w:tc>
        <w:tc>
          <w:tcPr>
            <w:tcW w:w="2112" w:type="dxa"/>
            <w:tcBorders>
              <w:top w:val="nil"/>
              <w:left w:val="nil"/>
              <w:bottom w:val="single" w:sz="4" w:space="0" w:color="auto"/>
              <w:right w:val="nil"/>
            </w:tcBorders>
            <w:shd w:val="clear" w:color="auto" w:fill="auto"/>
            <w:noWrap/>
            <w:hideMark/>
          </w:tcPr>
          <w:p w14:paraId="2E8BF4B8"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2</w:t>
            </w:r>
          </w:p>
        </w:tc>
        <w:tc>
          <w:tcPr>
            <w:tcW w:w="1921" w:type="dxa"/>
            <w:tcBorders>
              <w:top w:val="nil"/>
              <w:left w:val="nil"/>
              <w:bottom w:val="single" w:sz="4" w:space="0" w:color="auto"/>
              <w:right w:val="nil"/>
            </w:tcBorders>
            <w:shd w:val="clear" w:color="auto" w:fill="auto"/>
            <w:noWrap/>
            <w:hideMark/>
          </w:tcPr>
          <w:p w14:paraId="4A38067E" w14:textId="77777777" w:rsidR="007D5124" w:rsidRPr="000B22C8" w:rsidRDefault="007D5124" w:rsidP="007D5124">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37.5</w:t>
            </w:r>
          </w:p>
        </w:tc>
      </w:tr>
    </w:tbl>
    <w:p w14:paraId="48539825" w14:textId="77777777" w:rsidR="00246712" w:rsidRPr="000B22C8" w:rsidRDefault="00246712" w:rsidP="00246712">
      <w:pPr>
        <w:rPr>
          <w:rFonts w:asciiTheme="minorBidi" w:hAnsiTheme="minorBidi"/>
          <w:sz w:val="18"/>
          <w:szCs w:val="18"/>
        </w:rPr>
      </w:pPr>
    </w:p>
    <w:p w14:paraId="07DBC309" w14:textId="77777777" w:rsidR="005304A6" w:rsidRDefault="005304A6">
      <w:pPr>
        <w:rPr>
          <w:b/>
          <w:bCs/>
        </w:rPr>
      </w:pPr>
      <w:r>
        <w:rPr>
          <w:b/>
          <w:bCs/>
        </w:rPr>
        <w:br w:type="page"/>
      </w:r>
    </w:p>
    <w:p w14:paraId="4A00AB71" w14:textId="0B634CD3" w:rsidR="00246712" w:rsidRPr="000B22C8" w:rsidRDefault="00246712" w:rsidP="00246712">
      <w:pPr>
        <w:ind w:left="-13230"/>
      </w:pPr>
      <w:r w:rsidRPr="000B22C8">
        <w:rPr>
          <w:b/>
          <w:bCs/>
        </w:rPr>
        <w:lastRenderedPageBreak/>
        <w:t>Table S2.</w:t>
      </w:r>
      <w:r w:rsidRPr="000B22C8">
        <w:t xml:space="preserve"> </w:t>
      </w:r>
      <w:proofErr w:type="spellStart"/>
      <w:r>
        <w:rPr>
          <w:rFonts w:asciiTheme="minorBidi" w:hAnsiTheme="minorBidi"/>
          <w:sz w:val="18"/>
          <w:szCs w:val="18"/>
        </w:rPr>
        <w:t>RoB</w:t>
      </w:r>
      <w:proofErr w:type="spellEnd"/>
      <w:r w:rsidRPr="000B22C8">
        <w:rPr>
          <w:rFonts w:asciiTheme="minorBidi" w:hAnsiTheme="minorBidi"/>
          <w:sz w:val="18"/>
          <w:szCs w:val="18"/>
        </w:rPr>
        <w:t xml:space="preserve"> assessment of cohort studies using the JBI tool</w:t>
      </w:r>
      <w:r w:rsidR="009752D4">
        <w:rPr>
          <w:rFonts w:asciiTheme="minorBidi" w:hAnsiTheme="minorBidi"/>
          <w:sz w:val="18"/>
          <w:szCs w:val="18"/>
        </w:rPr>
        <w:t xml:space="preserve"> (21 studies)</w:t>
      </w:r>
      <w:r w:rsidRPr="000B22C8">
        <w:rPr>
          <w:rFonts w:asciiTheme="minorBidi" w:hAnsiTheme="minorBidi"/>
          <w:sz w:val="18"/>
          <w:szCs w:val="18"/>
        </w:rPr>
        <w:t>.</w:t>
      </w:r>
    </w:p>
    <w:tbl>
      <w:tblPr>
        <w:tblW w:w="29148" w:type="dxa"/>
        <w:tblInd w:w="-13122" w:type="dxa"/>
        <w:tblLook w:val="04A0" w:firstRow="1" w:lastRow="0" w:firstColumn="1" w:lastColumn="0" w:noHBand="0" w:noVBand="1"/>
      </w:tblPr>
      <w:tblGrid>
        <w:gridCol w:w="4891"/>
        <w:gridCol w:w="1863"/>
        <w:gridCol w:w="1922"/>
        <w:gridCol w:w="1757"/>
        <w:gridCol w:w="2151"/>
        <w:gridCol w:w="2531"/>
        <w:gridCol w:w="2815"/>
        <w:gridCol w:w="1757"/>
        <w:gridCol w:w="1757"/>
        <w:gridCol w:w="1779"/>
        <w:gridCol w:w="1922"/>
        <w:gridCol w:w="1987"/>
        <w:gridCol w:w="1999"/>
        <w:gridCol w:w="17"/>
      </w:tblGrid>
      <w:tr w:rsidR="00246712" w:rsidRPr="000B22C8" w14:paraId="53F8D8F9" w14:textId="77777777" w:rsidTr="005304A6">
        <w:trPr>
          <w:gridAfter w:val="1"/>
          <w:wAfter w:w="17" w:type="dxa"/>
          <w:trHeight w:val="800"/>
        </w:trPr>
        <w:tc>
          <w:tcPr>
            <w:tcW w:w="4891" w:type="dxa"/>
            <w:tcBorders>
              <w:top w:val="single" w:sz="4" w:space="0" w:color="auto"/>
              <w:left w:val="nil"/>
              <w:bottom w:val="single" w:sz="4" w:space="0" w:color="auto"/>
              <w:right w:val="nil"/>
            </w:tcBorders>
            <w:shd w:val="clear" w:color="auto" w:fill="auto"/>
            <w:noWrap/>
            <w:hideMark/>
          </w:tcPr>
          <w:p w14:paraId="16BDEC63"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bookmarkStart w:id="0" w:name="_Hlk238133350"/>
            <w:r w:rsidRPr="000B22C8">
              <w:rPr>
                <w:rFonts w:asciiTheme="minorBidi" w:eastAsia="Times New Roman" w:hAnsiTheme="minorBidi"/>
                <w:b/>
                <w:bCs/>
                <w:color w:val="000000"/>
                <w:kern w:val="0"/>
                <w:sz w:val="16"/>
                <w:szCs w:val="16"/>
                <w14:ligatures w14:val="none"/>
              </w:rPr>
              <w:t>Citation</w:t>
            </w:r>
          </w:p>
        </w:tc>
        <w:tc>
          <w:tcPr>
            <w:tcW w:w="1863" w:type="dxa"/>
            <w:tcBorders>
              <w:top w:val="single" w:sz="4" w:space="0" w:color="auto"/>
              <w:left w:val="nil"/>
              <w:bottom w:val="single" w:sz="4" w:space="0" w:color="auto"/>
              <w:right w:val="nil"/>
            </w:tcBorders>
            <w:shd w:val="clear" w:color="auto" w:fill="auto"/>
            <w:noWrap/>
            <w:hideMark/>
          </w:tcPr>
          <w:p w14:paraId="0F225FBE" w14:textId="77777777" w:rsidR="00246712" w:rsidRPr="000B22C8" w:rsidRDefault="00246712" w:rsidP="009A3A22">
            <w:pPr>
              <w:rPr>
                <w:rFonts w:asciiTheme="minorBidi" w:hAnsiTheme="minorBidi"/>
                <w:b/>
                <w:bCs/>
                <w:sz w:val="16"/>
                <w:szCs w:val="16"/>
              </w:rPr>
            </w:pPr>
            <w:r w:rsidRPr="00FE14C4">
              <w:rPr>
                <w:rFonts w:asciiTheme="minorBidi" w:hAnsiTheme="minorBidi"/>
                <w:b/>
                <w:bCs/>
                <w:sz w:val="16"/>
                <w:szCs w:val="16"/>
              </w:rPr>
              <w:t xml:space="preserve">1. </w:t>
            </w:r>
            <w:r w:rsidRPr="000B22C8">
              <w:rPr>
                <w:rFonts w:asciiTheme="minorBidi" w:hAnsiTheme="minorBidi"/>
                <w:b/>
                <w:bCs/>
                <w:sz w:val="16"/>
                <w:szCs w:val="16"/>
              </w:rPr>
              <w:t>Were the two groups similar and recruited from the same population?</w:t>
            </w:r>
          </w:p>
        </w:tc>
        <w:tc>
          <w:tcPr>
            <w:tcW w:w="1922" w:type="dxa"/>
            <w:tcBorders>
              <w:top w:val="single" w:sz="4" w:space="0" w:color="auto"/>
              <w:left w:val="nil"/>
              <w:bottom w:val="single" w:sz="4" w:space="0" w:color="auto"/>
              <w:right w:val="nil"/>
            </w:tcBorders>
            <w:shd w:val="clear" w:color="auto" w:fill="auto"/>
            <w:noWrap/>
            <w:hideMark/>
          </w:tcPr>
          <w:p w14:paraId="34BFC455" w14:textId="77777777" w:rsidR="00246712" w:rsidRPr="000B22C8" w:rsidRDefault="00246712" w:rsidP="009A3A22">
            <w:pPr>
              <w:rPr>
                <w:rFonts w:asciiTheme="minorBidi" w:eastAsia="Times New Roman" w:hAnsiTheme="minorBidi"/>
                <w:b/>
                <w:bCs/>
                <w:color w:val="000000"/>
                <w:kern w:val="0"/>
                <w:sz w:val="16"/>
                <w:szCs w:val="16"/>
                <w14:ligatures w14:val="none"/>
              </w:rPr>
            </w:pPr>
            <w:r w:rsidRPr="000B22C8">
              <w:rPr>
                <w:rFonts w:asciiTheme="minorBidi" w:hAnsiTheme="minorBidi"/>
                <w:b/>
                <w:bCs/>
                <w:sz w:val="16"/>
                <w:szCs w:val="16"/>
              </w:rPr>
              <w:t>2. Were the exposures measured similarly to assign people to both exposed and unexposed groups?</w:t>
            </w:r>
          </w:p>
        </w:tc>
        <w:tc>
          <w:tcPr>
            <w:tcW w:w="1757" w:type="dxa"/>
            <w:tcBorders>
              <w:top w:val="single" w:sz="4" w:space="0" w:color="auto"/>
              <w:left w:val="nil"/>
              <w:bottom w:val="single" w:sz="4" w:space="0" w:color="auto"/>
              <w:right w:val="nil"/>
            </w:tcBorders>
            <w:shd w:val="clear" w:color="auto" w:fill="auto"/>
            <w:noWrap/>
            <w:hideMark/>
          </w:tcPr>
          <w:p w14:paraId="3BDBAF38"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3. Was the exposure measured in a valid and reliable way?</w:t>
            </w:r>
          </w:p>
        </w:tc>
        <w:tc>
          <w:tcPr>
            <w:tcW w:w="2151" w:type="dxa"/>
            <w:tcBorders>
              <w:top w:val="single" w:sz="4" w:space="0" w:color="auto"/>
              <w:left w:val="nil"/>
              <w:bottom w:val="single" w:sz="4" w:space="0" w:color="auto"/>
              <w:right w:val="nil"/>
            </w:tcBorders>
            <w:shd w:val="clear" w:color="auto" w:fill="auto"/>
            <w:noWrap/>
            <w:hideMark/>
          </w:tcPr>
          <w:p w14:paraId="75DDD5FA"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 xml:space="preserve">4. </w:t>
            </w:r>
            <w:proofErr w:type="spellStart"/>
            <w:r w:rsidRPr="000B22C8">
              <w:rPr>
                <w:rFonts w:asciiTheme="minorBidi" w:hAnsiTheme="minorBidi"/>
                <w:b/>
                <w:bCs/>
                <w:sz w:val="16"/>
                <w:szCs w:val="16"/>
              </w:rPr>
              <w:t>Were</w:t>
            </w:r>
            <w:proofErr w:type="spellEnd"/>
            <w:r w:rsidRPr="000B22C8">
              <w:rPr>
                <w:rFonts w:asciiTheme="minorBidi" w:hAnsiTheme="minorBidi"/>
                <w:b/>
                <w:bCs/>
                <w:sz w:val="16"/>
                <w:szCs w:val="16"/>
              </w:rPr>
              <w:t xml:space="preserve"> confounding factors identified?</w:t>
            </w:r>
          </w:p>
        </w:tc>
        <w:tc>
          <w:tcPr>
            <w:tcW w:w="2531" w:type="dxa"/>
            <w:tcBorders>
              <w:top w:val="single" w:sz="4" w:space="0" w:color="auto"/>
              <w:left w:val="nil"/>
              <w:bottom w:val="single" w:sz="4" w:space="0" w:color="auto"/>
              <w:right w:val="nil"/>
            </w:tcBorders>
            <w:shd w:val="clear" w:color="auto" w:fill="auto"/>
            <w:noWrap/>
            <w:hideMark/>
          </w:tcPr>
          <w:p w14:paraId="5A66C178"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5. Were strategies to deal with confounding factors stated?</w:t>
            </w:r>
          </w:p>
        </w:tc>
        <w:tc>
          <w:tcPr>
            <w:tcW w:w="2815" w:type="dxa"/>
            <w:tcBorders>
              <w:top w:val="single" w:sz="4" w:space="0" w:color="auto"/>
              <w:left w:val="nil"/>
              <w:bottom w:val="single" w:sz="4" w:space="0" w:color="auto"/>
              <w:right w:val="nil"/>
            </w:tcBorders>
            <w:shd w:val="clear" w:color="auto" w:fill="auto"/>
            <w:noWrap/>
            <w:hideMark/>
          </w:tcPr>
          <w:p w14:paraId="3318F6EE"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6. Were the groups/participants free of the outcome at the start of the study (or at the moment of exposure)?</w:t>
            </w:r>
          </w:p>
        </w:tc>
        <w:tc>
          <w:tcPr>
            <w:tcW w:w="1757" w:type="dxa"/>
            <w:tcBorders>
              <w:top w:val="single" w:sz="4" w:space="0" w:color="auto"/>
              <w:left w:val="nil"/>
              <w:bottom w:val="single" w:sz="4" w:space="0" w:color="auto"/>
              <w:right w:val="nil"/>
            </w:tcBorders>
            <w:shd w:val="clear" w:color="auto" w:fill="auto"/>
            <w:noWrap/>
            <w:hideMark/>
          </w:tcPr>
          <w:p w14:paraId="5FC5D63C"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7. Were the outcomes measured in a valid and reliable way?</w:t>
            </w:r>
          </w:p>
        </w:tc>
        <w:tc>
          <w:tcPr>
            <w:tcW w:w="1757" w:type="dxa"/>
            <w:tcBorders>
              <w:top w:val="single" w:sz="4" w:space="0" w:color="auto"/>
              <w:left w:val="nil"/>
              <w:bottom w:val="single" w:sz="4" w:space="0" w:color="auto"/>
              <w:right w:val="nil"/>
            </w:tcBorders>
            <w:shd w:val="clear" w:color="auto" w:fill="auto"/>
            <w:noWrap/>
            <w:hideMark/>
          </w:tcPr>
          <w:p w14:paraId="43B8AA77"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8. Was the follow-up time reported and sufficient to be long enough for outcomes to occur?</w:t>
            </w:r>
          </w:p>
        </w:tc>
        <w:tc>
          <w:tcPr>
            <w:tcW w:w="1779" w:type="dxa"/>
            <w:tcBorders>
              <w:top w:val="single" w:sz="4" w:space="0" w:color="auto"/>
              <w:left w:val="nil"/>
              <w:bottom w:val="single" w:sz="4" w:space="0" w:color="auto"/>
              <w:right w:val="nil"/>
            </w:tcBorders>
            <w:shd w:val="clear" w:color="auto" w:fill="auto"/>
            <w:noWrap/>
            <w:hideMark/>
          </w:tcPr>
          <w:p w14:paraId="1E707BF0"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9. Was follow-up complete, and if not, were the reasons to loss to follow-up described and explored?</w:t>
            </w:r>
          </w:p>
        </w:tc>
        <w:tc>
          <w:tcPr>
            <w:tcW w:w="1922" w:type="dxa"/>
            <w:tcBorders>
              <w:top w:val="single" w:sz="4" w:space="0" w:color="auto"/>
              <w:left w:val="nil"/>
              <w:bottom w:val="single" w:sz="4" w:space="0" w:color="auto"/>
              <w:right w:val="nil"/>
            </w:tcBorders>
            <w:shd w:val="clear" w:color="auto" w:fill="auto"/>
            <w:noWrap/>
            <w:hideMark/>
          </w:tcPr>
          <w:p w14:paraId="5C4F5E75" w14:textId="77777777" w:rsidR="00246712" w:rsidRPr="000B22C8" w:rsidRDefault="00246712" w:rsidP="009A3A22">
            <w:pPr>
              <w:rPr>
                <w:rFonts w:asciiTheme="minorBidi" w:hAnsiTheme="minorBidi"/>
                <w:b/>
                <w:bCs/>
                <w:sz w:val="16"/>
                <w:szCs w:val="16"/>
              </w:rPr>
            </w:pPr>
            <w:r w:rsidRPr="000B22C8">
              <w:rPr>
                <w:rFonts w:asciiTheme="minorBidi" w:hAnsiTheme="minorBidi"/>
                <w:b/>
                <w:bCs/>
                <w:sz w:val="16"/>
                <w:szCs w:val="16"/>
              </w:rPr>
              <w:t>10. Were strategies to address incomplete follow-up utilized?</w:t>
            </w:r>
          </w:p>
        </w:tc>
        <w:tc>
          <w:tcPr>
            <w:tcW w:w="1987" w:type="dxa"/>
            <w:tcBorders>
              <w:top w:val="single" w:sz="4" w:space="0" w:color="auto"/>
              <w:left w:val="nil"/>
              <w:bottom w:val="single" w:sz="4" w:space="0" w:color="auto"/>
              <w:right w:val="nil"/>
            </w:tcBorders>
            <w:shd w:val="clear" w:color="auto" w:fill="auto"/>
            <w:noWrap/>
            <w:hideMark/>
          </w:tcPr>
          <w:p w14:paraId="6BE79827"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hAnsiTheme="minorBidi"/>
                <w:b/>
                <w:bCs/>
                <w:sz w:val="16"/>
                <w:szCs w:val="16"/>
              </w:rPr>
              <w:t>11. Was appropriate statistical analysis used?</w:t>
            </w:r>
          </w:p>
        </w:tc>
        <w:tc>
          <w:tcPr>
            <w:tcW w:w="1999" w:type="dxa"/>
            <w:tcBorders>
              <w:top w:val="single" w:sz="4" w:space="0" w:color="auto"/>
              <w:left w:val="nil"/>
              <w:bottom w:val="single" w:sz="4" w:space="0" w:color="auto"/>
              <w:right w:val="nil"/>
            </w:tcBorders>
            <w:shd w:val="clear" w:color="auto" w:fill="auto"/>
            <w:noWrap/>
            <w:hideMark/>
          </w:tcPr>
          <w:p w14:paraId="2EC4EE5B" w14:textId="77777777" w:rsidR="00246712" w:rsidRPr="000B22C8" w:rsidRDefault="00246712" w:rsidP="009A3A22">
            <w:pPr>
              <w:spacing w:after="0" w:line="240" w:lineRule="auto"/>
              <w:rPr>
                <w:rFonts w:asciiTheme="minorBidi" w:eastAsia="Times New Roman" w:hAnsiTheme="minorBidi"/>
                <w:b/>
                <w:bCs/>
                <w:color w:val="000000"/>
                <w:kern w:val="0"/>
                <w:sz w:val="16"/>
                <w:szCs w:val="16"/>
                <w14:ligatures w14:val="none"/>
              </w:rPr>
            </w:pPr>
            <w:r w:rsidRPr="000B22C8">
              <w:rPr>
                <w:rFonts w:asciiTheme="minorBidi" w:eastAsia="Times New Roman" w:hAnsiTheme="minorBidi"/>
                <w:b/>
                <w:bCs/>
                <w:color w:val="000000"/>
                <w:kern w:val="0"/>
                <w:sz w:val="16"/>
                <w:szCs w:val="16"/>
                <w14:ligatures w14:val="none"/>
              </w:rPr>
              <w:t>Cumulative score (%)</w:t>
            </w:r>
          </w:p>
        </w:tc>
      </w:tr>
      <w:tr w:rsidR="00EE34A2" w:rsidRPr="000B22C8" w14:paraId="29425F5B" w14:textId="77777777" w:rsidTr="00246712">
        <w:trPr>
          <w:gridAfter w:val="1"/>
          <w:wAfter w:w="17" w:type="dxa"/>
          <w:trHeight w:val="359"/>
        </w:trPr>
        <w:tc>
          <w:tcPr>
            <w:tcW w:w="4891" w:type="dxa"/>
            <w:tcBorders>
              <w:top w:val="single" w:sz="4" w:space="0" w:color="auto"/>
              <w:left w:val="nil"/>
              <w:bottom w:val="nil"/>
              <w:right w:val="nil"/>
            </w:tcBorders>
            <w:shd w:val="clear" w:color="auto" w:fill="auto"/>
            <w:noWrap/>
            <w:hideMark/>
          </w:tcPr>
          <w:p w14:paraId="0CA89FFA" w14:textId="28F893D2"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Arabpour</w:t>
            </w:r>
            <w:proofErr w:type="spellEnd"/>
            <w:r w:rsidRPr="000B22C8">
              <w:rPr>
                <w:rFonts w:asciiTheme="minorBidi" w:eastAsia="Times New Roman" w:hAnsiTheme="minorBidi"/>
                <w:color w:val="000000"/>
                <w:kern w:val="0"/>
                <w:sz w:val="16"/>
                <w:szCs w:val="16"/>
                <w14:ligatures w14:val="none"/>
              </w:rPr>
              <w:t xml:space="preserve"> et al., 2025 </w:t>
            </w:r>
            <w:r w:rsidRPr="000B22C8">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{"citationItems":[{"id":"ITEM-1","itemData":{"DOI":"https://doi.org/10.1186/s12903-025-06966-4","ISSN":"1472-6831 J9  - BMC ORAL HEALTH JI  - BMC Oral Health","PMID":"41063132","abstract":"BackgroundDue to the viscoelasticity of orthodontic thermoplastic materials, the force generated by the orthodontic device for the same deformation will decline over time. Aligners are continually exposed to saliva at a constant body temperature, which can have an adverse effect on the chemical composition of the polymers. More studies are needed to investigate the in vivo aging of other materials, to determine the Best material that could meet treatment needs. We show the comparison of physical, chemical, and mechanical changes of clear aligners before and after 10 days of intraoral usage.MethodsTwenty-five unused aligners and twenty-five aligners used in the oral environment were first gathered from five patients requiring clear aligners and then subjected to water absorption and solubility, tensile strength, modulus of elasticity, and Chemical properties testing. The Kolmogorov-Smirnov (K-S) test was used to compare the equality of distributions. The Wilcoxon test was used to determine the median difference by time. Data were analyzed in R-4.4.1 using the ggstatsplot package and ggwithinstats function. The results with p &lt; 0.05 were considered statistically significant for all tests.ResultsThe mean water solubility (Wsl) was zero (before using aligners) and 0.00013 (after using aligners), indicating an insignificant difference between the two time periods (p = 0.150). The mean Max Force (N) was 97.105 (before using aligners) and 111.18 (after using aligners), implying an insignificant difference between the two time periods (p = 0.640). Similarly, the mean normalized displacement (%) was 123.56 (before using aligners) and 122.08 (after using aligners), indicating an insignificant difference between the two time periods (p = 0.290). The chemical composition analysis revealed the hydrolysis of ester bonds to carboxylic acid and alcohol functional groups post-treatment.ConclusionThe aligners’ mechanical and physical properties are not significantly affected, but their chemical properties can be altered with aging.","author":[{"dropping-particle":"","family":"Arabpour","given":"Fatemeh","non-dropping-particle":"","parse-names":false,"suffix":""},{"dropping-particle":"","family":"Aghili","given":"Hossein Agha","non-dropping-particle":"","parse-names":false,"suffix":""},{"dropping-particle":"","family":"Javaheri Mahd","given":"Maryam","non-dropping-particle":"","parse-names":false,"suffix":""},{"dropping-particle":"","family":"Arabpour","given":"Zahra","non-dropping-particle":"","parse-names":false,"suffix":""},{"dropping-particle":"","family":"Yasaei","given":"Soghra","non-dropping-particle":"","parse-names":false,"suffix":""},{"dropping-particle":"","family":"Mahd","given":"M J","non-dropping-particle":"","parse-names":false,"suffix":""},{"dropping-particle":"","family":"Arabpour","given":"Zahra","non-dropping-particle":"","parse-names":false,"suffix":""},{"dropping-particle":"","family":"Yasaei","given":"Soghra","non-dropping-particle":"","parse-names":false,"suffix":""},{"dropping-particle":"","family":"Javaheri Mahd","given":"Maryam","non-dropping-particle":"","parse-names":false,"suffix":""},{"dropping-particle":"","family":"Arabpour","given":"Zahra","non-dropping-particle":"","parse-names":false,"suffix":""},{"dropping-particle":"","family":"Yasaei","given":"Soghra","non-dropping-particle":"","parse-names":false,"suffix":""}],"container-title":"BMC Oral Health","id":"ITEM-1","issue":"1","issued":{"date-parts":[["2025","10","8"]]},"language":"English","note":"From Duplicate 1 (Evaluation of aging effects on the physical, chemical, and mechanical properties of thermoplastic materials for orthodontic clear aligners: an in vivo study - Arabpour, F; Aghili, H A; Javaheri Mahd, M; Arabpour, Z; Yasaei, S)\n\nExport Date: 18 March 2026\n\nFrom Duplicate 3 (Evaluation of aging effects on the physical, chemical, and mechanical properties of thermoplastic materials for orthodontic clear aligners: an in vivo study - Arabpour, Fatemeh; Aghili, Hossein Agha; Javaheri Mahd, Maryam; Arabpour, Zahra; Yasaei, Soghra)\n\nCopyright - © The Author(s) 2025. This work is published under http://creativecommons.org/licenses/by/4.0/ (the “License”). Notwithstanding the ProQuest Terms and Conditions, you may use this content in accordance with the terms of the License.\n\nLast updated - 2026-01-12\n\nFrom Duplicate 4 (Evaluation of aging effects on the physical, chemical, and mechanical properties of thermoplastic materials for orthodontic clear aligners: an in vivo study - Arabpour, F; Aghili, H A; Mahd, M J; Arabpour, Z; Yasaei, S)\n\nTimes Cited in Web of Science Core Collection: 0\nTotal Times Cited: 0\nCited Reference Count: 26\n\nFrom Duplicate 5 (Evaluation of aging effects on the physical, chemical, and mechanical properties of thermoplastic materials for orthodontic clear aligners: an in vivo study - Arabpour, Fatemeh; Aghili, Hossein Agha; Javaheri Mahd, Maryam; Arabpour, Zahra; Yasaei, Soghra)\n\nCopyright - © 2025. The Author(s).\n\nDate completed - 2025-10-09\n\nDate created - 2025-10-08\n\nPublication note - Electronic\n\nSuppNotes - Declarations. Ethics approval and consent to participate: Patients denoting aligners were asked to sign the informed consent form. This research was approved by the “Research Ethics Committee of Shahid Sadoughi University of Medical Sciences (SSUMS) with the ethical approval code of IR.SSU.DENTISTRY.REC.1402.033. This research adhered to the Declaration of Helsinki. Consent for publication: Not applicable. Competing interests: The authors declare no competing interests.; Indexing method: Automated\n\nLast updated - 2025-10-12","page":"1557","publisher":"Springer Nature B.V. PP  - London","publisher-place":"Arak University of Medical Sciences, Department of Orthodontics, School of Dentistry, Arak, Iran (GRID:grid.468130.8) (ISNI:0000 0001 1218 604X) ; Shahid Sadoughi University of Medical Sciences, Department of Orthodontics, School of Dentistry, Yazd, Iran , England","title":"Evaluation of aging effects on the physical, chemical, and mechanical properties of thermoplastic materials for orthodontic clear aligners: an in vivo study","type":"article-journal","volume":"25"},"uris":["http://www.mendeley.com/documents/?uuid=27ff6573-58a7-49c5-88b6-63a9842b4373"]}],"mendeley":{"formattedCitation":"[104]","plainTextFormattedCitation":"[104]","previouslyFormattedCitation":"[105]"},"properties":{"noteIndex":0},"schema":"https://github.com/citation-style-language/schema/raw/master/csl-citation.json"}</w:instrText>
            </w:r>
            <w:r w:rsidRPr="000B22C8">
              <w:rPr>
                <w:rFonts w:asciiTheme="minorBidi" w:hAnsiTheme="minorBidi"/>
                <w:color w:val="000000"/>
                <w:sz w:val="16"/>
                <w:szCs w:val="16"/>
              </w:rPr>
              <w:fldChar w:fldCharType="separate"/>
            </w:r>
            <w:r w:rsidRPr="00C31535">
              <w:rPr>
                <w:rFonts w:asciiTheme="minorBidi" w:hAnsiTheme="minorBidi"/>
                <w:noProof/>
                <w:color w:val="000000"/>
                <w:sz w:val="16"/>
                <w:szCs w:val="16"/>
              </w:rPr>
              <w:t>[104]</w:t>
            </w:r>
            <w:r w:rsidRPr="000B22C8">
              <w:rPr>
                <w:rFonts w:asciiTheme="minorBidi" w:hAnsiTheme="minorBidi"/>
                <w:color w:val="000000"/>
                <w:sz w:val="16"/>
                <w:szCs w:val="16"/>
              </w:rPr>
              <w:fldChar w:fldCharType="end"/>
            </w:r>
          </w:p>
        </w:tc>
        <w:tc>
          <w:tcPr>
            <w:tcW w:w="1863" w:type="dxa"/>
            <w:tcBorders>
              <w:top w:val="single" w:sz="4" w:space="0" w:color="auto"/>
              <w:left w:val="nil"/>
              <w:bottom w:val="nil"/>
              <w:right w:val="nil"/>
            </w:tcBorders>
            <w:shd w:val="clear" w:color="auto" w:fill="auto"/>
            <w:noWrap/>
          </w:tcPr>
          <w:p w14:paraId="3C0DF34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single" w:sz="4" w:space="0" w:color="auto"/>
              <w:left w:val="nil"/>
              <w:bottom w:val="nil"/>
              <w:right w:val="nil"/>
            </w:tcBorders>
            <w:shd w:val="clear" w:color="auto" w:fill="auto"/>
            <w:noWrap/>
          </w:tcPr>
          <w:p w14:paraId="7E3B43E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single" w:sz="4" w:space="0" w:color="auto"/>
              <w:left w:val="nil"/>
              <w:bottom w:val="nil"/>
              <w:right w:val="nil"/>
            </w:tcBorders>
            <w:shd w:val="clear" w:color="auto" w:fill="auto"/>
            <w:noWrap/>
          </w:tcPr>
          <w:p w14:paraId="42AA10C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single" w:sz="4" w:space="0" w:color="auto"/>
              <w:left w:val="nil"/>
              <w:bottom w:val="nil"/>
              <w:right w:val="nil"/>
            </w:tcBorders>
            <w:shd w:val="clear" w:color="auto" w:fill="auto"/>
            <w:noWrap/>
          </w:tcPr>
          <w:p w14:paraId="11534E6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single" w:sz="4" w:space="0" w:color="auto"/>
              <w:left w:val="nil"/>
              <w:bottom w:val="nil"/>
              <w:right w:val="nil"/>
            </w:tcBorders>
            <w:shd w:val="clear" w:color="auto" w:fill="auto"/>
            <w:noWrap/>
          </w:tcPr>
          <w:p w14:paraId="43F2CB2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single" w:sz="4" w:space="0" w:color="auto"/>
              <w:left w:val="nil"/>
              <w:bottom w:val="nil"/>
              <w:right w:val="nil"/>
            </w:tcBorders>
            <w:shd w:val="clear" w:color="auto" w:fill="auto"/>
            <w:noWrap/>
          </w:tcPr>
          <w:p w14:paraId="5467C6C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single" w:sz="4" w:space="0" w:color="auto"/>
              <w:left w:val="nil"/>
              <w:bottom w:val="nil"/>
              <w:right w:val="nil"/>
            </w:tcBorders>
            <w:shd w:val="clear" w:color="auto" w:fill="auto"/>
            <w:noWrap/>
          </w:tcPr>
          <w:p w14:paraId="2C41513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single" w:sz="4" w:space="0" w:color="auto"/>
              <w:left w:val="nil"/>
              <w:bottom w:val="nil"/>
              <w:right w:val="nil"/>
            </w:tcBorders>
            <w:shd w:val="clear" w:color="auto" w:fill="auto"/>
            <w:noWrap/>
          </w:tcPr>
          <w:p w14:paraId="60D5F9D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779" w:type="dxa"/>
            <w:tcBorders>
              <w:top w:val="single" w:sz="4" w:space="0" w:color="auto"/>
              <w:left w:val="nil"/>
              <w:bottom w:val="nil"/>
              <w:right w:val="nil"/>
            </w:tcBorders>
            <w:shd w:val="clear" w:color="auto" w:fill="auto"/>
            <w:noWrap/>
          </w:tcPr>
          <w:p w14:paraId="0BDF33F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single" w:sz="4" w:space="0" w:color="auto"/>
              <w:left w:val="nil"/>
              <w:bottom w:val="nil"/>
              <w:right w:val="nil"/>
            </w:tcBorders>
            <w:shd w:val="clear" w:color="auto" w:fill="auto"/>
            <w:noWrap/>
          </w:tcPr>
          <w:p w14:paraId="0CD8F8F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single" w:sz="4" w:space="0" w:color="auto"/>
              <w:left w:val="nil"/>
              <w:bottom w:val="nil"/>
              <w:right w:val="nil"/>
            </w:tcBorders>
            <w:shd w:val="clear" w:color="auto" w:fill="auto"/>
            <w:noWrap/>
          </w:tcPr>
          <w:p w14:paraId="7AD4406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single" w:sz="4" w:space="0" w:color="auto"/>
              <w:left w:val="nil"/>
              <w:bottom w:val="nil"/>
              <w:right w:val="nil"/>
            </w:tcBorders>
            <w:shd w:val="clear" w:color="auto" w:fill="auto"/>
            <w:noWrap/>
          </w:tcPr>
          <w:p w14:paraId="3BB8528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60</w:t>
            </w:r>
          </w:p>
        </w:tc>
      </w:tr>
      <w:tr w:rsidR="00EE34A2" w:rsidRPr="000B22C8" w14:paraId="39B2AAA5"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7250F1E2" w14:textId="671BE5EC"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Bouchema</w:t>
            </w:r>
            <w:proofErr w:type="spellEnd"/>
            <w:r w:rsidRPr="000B22C8">
              <w:rPr>
                <w:rFonts w:asciiTheme="minorBidi" w:eastAsia="Times New Roman" w:hAnsiTheme="minorBidi"/>
                <w:color w:val="000000"/>
                <w:kern w:val="0"/>
                <w:sz w:val="16"/>
                <w:szCs w:val="16"/>
                <w14:ligatures w14:val="none"/>
              </w:rPr>
              <w:t xml:space="preserve">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10.1016/j.dental.2024.10.003","ISSN":"01095641","author":[{"dropping-particle":"","family":"Bouchema","given":"TSE.","non-dropping-particle":"","parse-names":false,"suffix":""},{"dropping-particle":"","family":"Saunier","given":"J.","non-dropping-particle":"","parse-names":false,"suffix":""},{"dropping-particle":"","family":"Mauriello","given":"J.","non-dropping-particle":"","parse-names":false,"suffix":""},{"dropping-particle":"","family":"Tfayli","given":"A.","non-dropping-particle":"","parse-names":false,"suffix":""},{"dropping-particle":"","family":"Savard","given":"B.","non-dropping-particle":"","parse-names":false,"suffix":""},{"dropping-particle":"","family":"Yagoubi","given":"N.","non-dropping-particle":"","parse-names":false,"suffix":""}],"container-title":"Dental Materials","id":"ITEM-1","issue":"12","issued":{"date-parts":[["2024","12"]]},"page":"2135-2147","title":"Chemical analysis and performance evaluation of ClearCorrect® aligners as received and after intraoral use: Implications for durability, aesthetics, and patient safety","type":"article-journal","volume":"40"},"uris":["http://www.mendeley.com/documents/?uuid=7b04423e-435d-4460-9f3c-965603f8a313"]}],"mendeley":{"formattedCitation":"[98]","plainTextFormattedCitation":"[98]","previouslyFormattedCitation":"[99]"},"properties":{"noteIndex":0},"schema":"https://github.com/citation-style-language/schema/raw/master/csl-citation.json"}</w:instrText>
            </w:r>
            <w:r w:rsidRPr="000B22C8">
              <w:rPr>
                <w:rFonts w:asciiTheme="minorBidi" w:hAnsiTheme="minorBidi"/>
                <w:sz w:val="16"/>
                <w:szCs w:val="16"/>
              </w:rPr>
              <w:fldChar w:fldCharType="separate"/>
            </w:r>
            <w:r w:rsidRPr="00C31535">
              <w:rPr>
                <w:rFonts w:asciiTheme="minorBidi" w:hAnsiTheme="minorBidi"/>
                <w:noProof/>
                <w:sz w:val="16"/>
                <w:szCs w:val="16"/>
              </w:rPr>
              <w:t>[98]</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265C646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4184ECF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2384350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21F3DB5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233335A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7E9D603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7680178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2B14A82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5284E7D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4FBE277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4CFD320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99" w:type="dxa"/>
            <w:tcBorders>
              <w:top w:val="nil"/>
              <w:left w:val="nil"/>
              <w:bottom w:val="nil"/>
              <w:right w:val="nil"/>
            </w:tcBorders>
            <w:shd w:val="clear" w:color="auto" w:fill="auto"/>
            <w:noWrap/>
          </w:tcPr>
          <w:p w14:paraId="28755E6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50</w:t>
            </w:r>
          </w:p>
        </w:tc>
      </w:tr>
      <w:tr w:rsidR="00EE34A2" w:rsidRPr="000B22C8" w14:paraId="46BF8842"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16495C01" w14:textId="0F26FA48"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Bucci et al., 2019 </w:t>
            </w:r>
            <w:r w:rsidRPr="000B22C8">
              <w:rPr>
                <w:rFonts w:asciiTheme="minorBidi" w:hAnsiTheme="minorBidi"/>
                <w:sz w:val="16"/>
                <w:szCs w:val="16"/>
              </w:rPr>
              <w:fldChar w:fldCharType="begin" w:fldLock="1"/>
            </w:r>
            <w:r w:rsidRPr="000B22C8">
              <w:rPr>
                <w:rFonts w:asciiTheme="minorBidi" w:hAnsiTheme="minorBidi"/>
                <w:sz w:val="16"/>
                <w:szCs w:val="16"/>
              </w:rPr>
              <w:instrText>ADDIN CSL_CITATION {"citationItems":[{"id":"ITEM-1","itemData":{"DOI":"10.1186/s40510-019-0289-6","ISSN":"2196-1042","author":[{"dropping-particle":"","family":"Bucci","given":"Rosaria","non-dropping-particle":"","parse-names":false,"suffix":""},{"dropping-particle":"","family":"Rongo","given":"Roberto","non-dropping-particle":"","parse-names":false,"suffix":""},{"dropping-particle":"","family":"Levatè","given":"Carmine","non-dropping-particle":"","parse-names":false,"suffix":""},{"dropping-particle":"","family":"Michelotti","given":"Ambrosina","non-dropping-particle":"","parse-names":false,"suffix":""},{"dropping-particle":"","family":"Barone","given":"Sandro","non-dropping-particle":"","parse-names":false,"suffix":""},{"dropping-particle":"","family":"Razionale","given":"Armando Viviano","non-dropping-particle":"","parse-names":false,"suffix":""},{"dropping-particle":"","family":"D’Antò","given":"Vincenzo","non-dropping-particle":"","parse-names":false,"suffix":""}],"container-title":"Progress in Orthodontics","id":"ITEM-1","issue":"1","issued":{"date-parts":[["2019","12","9"]]},"page":"36","title":"Thickness of orthodontic clear aligners after thermoforming and after 10 days of intraoral exposure: a prospective clinical study","type":"article-journal","volume":"20"},"uris":["http://www.mendeley.com/documents/?uuid=3911628d-4739-4e3b-80b1-cd16ee271674"]}],"mendeley":{"formattedCitation":"[32]","plainTextFormattedCitation":"[32]","previouslyFormattedCitation":"[32]"},"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[32]</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175B409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22C9E3D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636295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151" w:type="dxa"/>
            <w:tcBorders>
              <w:top w:val="nil"/>
              <w:left w:val="nil"/>
              <w:bottom w:val="nil"/>
              <w:right w:val="nil"/>
            </w:tcBorders>
            <w:shd w:val="clear" w:color="auto" w:fill="auto"/>
            <w:noWrap/>
          </w:tcPr>
          <w:p w14:paraId="56DCA29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531" w:type="dxa"/>
            <w:tcBorders>
              <w:top w:val="nil"/>
              <w:left w:val="nil"/>
              <w:bottom w:val="nil"/>
              <w:right w:val="nil"/>
            </w:tcBorders>
            <w:shd w:val="clear" w:color="auto" w:fill="auto"/>
            <w:noWrap/>
          </w:tcPr>
          <w:p w14:paraId="6956F06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815" w:type="dxa"/>
            <w:tcBorders>
              <w:top w:val="nil"/>
              <w:left w:val="nil"/>
              <w:bottom w:val="nil"/>
              <w:right w:val="nil"/>
            </w:tcBorders>
            <w:shd w:val="clear" w:color="auto" w:fill="auto"/>
            <w:noWrap/>
          </w:tcPr>
          <w:p w14:paraId="4751359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181FF6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330F86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48B742C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398A2D6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04FBAE9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4665B43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90</w:t>
            </w:r>
          </w:p>
        </w:tc>
      </w:tr>
      <w:tr w:rsidR="00EE34A2" w:rsidRPr="000B22C8" w14:paraId="7395F076"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3CDB237E" w14:textId="20091B4E"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Can et al., 202</w:t>
            </w:r>
            <w:r>
              <w:rPr>
                <w:rFonts w:asciiTheme="minorBidi" w:eastAsia="Times New Roman" w:hAnsiTheme="minorBidi"/>
                <w:color w:val="000000"/>
                <w:kern w:val="0"/>
                <w:sz w:val="16"/>
                <w:szCs w:val="16"/>
                <w14:ligatures w14:val="none"/>
              </w:rPr>
              <w:t>2</w:t>
            </w:r>
            <w:r w:rsidRPr="000B22C8">
              <w:rPr>
                <w:rFonts w:asciiTheme="minorBidi" w:eastAsia="Times New Roman" w:hAnsiTheme="minorBidi"/>
                <w:color w:val="000000"/>
                <w:kern w:val="0"/>
                <w:sz w:val="16"/>
                <w:szCs w:val="16"/>
                <w14:ligatures w14:val="none"/>
              </w:rPr>
              <w:t xml:space="preserve">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10.1093/ejo/cjab022","ISSN":"0141-5387","author":[{"dropping-particle":"","family":"Can","given":"Esad","non-dropping-particle":"","parse-names":false,"suffix":""},{"dropping-particle":"","family":"Panayi","given":"Nearchos","non-dropping-particle":"","parse-names":false,"suffix":""},{"dropping-particle":"","family":"Polychronis","given":"Georgios","non-dropping-particle":"","parse-names":false,"suffix":""},{"dropping-particle":"","family":"Papageorgiou","given":"Spyridon N","non-dropping-particle":"","parse-names":false,"suffix":""},{"dropping-particle":"","family":"Zinelis","given":"Spiros","non-dropping-particle":"","parse-names":false,"suffix":""},{"dropping-particle":"","family":"Eliades","given":"George","non-dropping-particle":"","parse-names":false,"suffix":""},{"dropping-particle":"","family":"Eliades","given":"Theodore","non-dropping-particle":"","parse-names":false,"suffix":""}],"container-title":"European Journal of Orthodontics","id":"ITEM-1","issue":"1","issued":{"date-parts":[["2022","1","25"]]},"page":"51-55","title":"In-house 3D-printed aligners: effect of in vivo ageing on mechanical properties","type":"article-journal","volume":"44"},"uris":["http://www.mendeley.com/documents/?uuid=849f689e-7b7a-4654-ba5d-8922cead579d"]}],"mendeley":{"formattedCitation":"[110]","plainTextFormattedCitation":"[110]","previouslyFormattedCitation":"[95]"},"properties":{"noteIndex":0},"schema":"https://github.com/citation-style-language/schema/raw/master/csl-citation.json"}</w:instrText>
            </w:r>
            <w:r w:rsidRPr="000B22C8">
              <w:rPr>
                <w:rFonts w:asciiTheme="minorBidi" w:hAnsiTheme="minorBidi"/>
                <w:sz w:val="16"/>
                <w:szCs w:val="16"/>
              </w:rPr>
              <w:fldChar w:fldCharType="separate"/>
            </w:r>
            <w:r w:rsidRPr="00C31535">
              <w:rPr>
                <w:rFonts w:asciiTheme="minorBidi" w:hAnsiTheme="minorBidi"/>
                <w:noProof/>
                <w:sz w:val="16"/>
                <w:szCs w:val="16"/>
              </w:rPr>
              <w:t>[110]</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3DED789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5A38B85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D058A6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689B30E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24AF596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760544D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32FD5E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D2F113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31B400D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6191D34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326274E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062C7BC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70</w:t>
            </w:r>
          </w:p>
        </w:tc>
      </w:tr>
      <w:tr w:rsidR="00EE34A2" w:rsidRPr="000B22C8" w14:paraId="3BF755C8"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5A36D747" w14:textId="17592108"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Choi et al., 2026 </w:t>
            </w:r>
            <w:r w:rsidRPr="000B22C8">
              <w:rPr>
                <w:rFonts w:asciiTheme="minorBidi" w:hAnsiTheme="minorBidi"/>
                <w:sz w:val="16"/>
                <w:szCs w:val="16"/>
              </w:rPr>
              <w:fldChar w:fldCharType="begin" w:fldLock="1"/>
            </w:r>
            <w:r w:rsidRPr="000B22C8">
              <w:rPr>
                <w:rFonts w:asciiTheme="minorBidi" w:hAnsiTheme="minorBidi"/>
                <w:sz w:val="16"/>
                <w:szCs w:val="16"/>
              </w:rPr>
              <w:instrText>ADDIN CSL_CITATION {"citationItems":[{"id":"ITEM-1","itemData":{"DOI":"10.1016/j.ajodo.2025.10.012","ISSN":"08895406","abstract":"Introduction: This study evaluated how clinical use affects the surface properties and cytocompatibility of 3-dimensional (3D)-printed clear aligners by comparing them against saliva-unexposed and artificial saliva-exposed groups., Methods: Eleven aligners were collected from 5 adult patients after 10 days of use (clinically used group). Two additional groups were established: the saliva-unexposed group (immediately after postprocessing) and the artificial saliva-exposed group (immersed in artificial saliva). All aligners underwent extraction for 1 day (day-1 extraction) and an additional 6 days (day-7 extraction). After 7 days of extraction, surface properties, including hardness (Shore D) and topography (scanning electron microscope imaging), were analyzed. Cytotoxicity to normal L929 cells was evaluated using 3-[4,5-dimethylthiazol-2-yl]-2,5-diphenyltetrazolium bromide assays. Proinflammatory responses in lipopolysaccharide (LPS)-induced presensitized L929 cells were assessed by quantitative polymerase chain reaction, measuring interleukin-6, tumor necrosis factor-[alpha], and nitric oxide synthase 2 expression levels., Results: Shore D hardness did not differ among groups. Scanning electron microscope imaging revealed increased surface irregularities after salivary exposure. All groups exhibited no cytotoxicity (&gt;70% viability) in both day-1 and day-7 extractions, with the clinically used group showing significantly higher cell viability than the saliva-unexposed group in both extractions (P &lt;0.001). However, when LPS-induced presensitized cells were treated with day-7 extraction, only the clinically used group showed a significant increase in both interleukin-6 and tumor necrosis factor-[alpha] expression compared with LPS-only-treated cells (P &lt;0.001)., Conclusions: Saliva-exposed 3D-printed aligners exhibited increased surface irregularities and lower cytotoxicity compared with unexposed aligners. However, clinically used 3D-printed aligners may exacerbate proinflammatory responses in presensitized cells. Depending on the initial state of the cells, cytological responses to 3D-printed aligners may vary., (C) 2026Elsevier, Inc.","author":[{"dropping-particle":"","family":"Andrew Choi","given":"Eun-Hack","non-dropping-particle":"","parse-names":false,"suffix":""},{"dropping-particle":"","family":"Mangal","given":"Utkarsh","non-dropping-particle":"","parse-names":false,"suffix":""},{"dropping-particle":"","family":"Ryu","given":"Jeong-Hyun","non-dropping-particle":"","parse-names":false,"suffix":""},{"dropping-particle":"","family":"Kim","given":"Jae-Hyung","non-dropping-particle":"","parse-names":false,"suffix":""},{"dropping-particle":"","family":"Hwang","given":"Geelsu","non-dropping-particle":"","parse-names":false,"suffix":""},{"dropping-particle":"","family":"Kim","given":"Hoon","non-dropping-particle":"","parse-names":false,"suffix":""},{"dropping-particle":"","family":"Cha","given":"Jung-Yul","non-dropping-particle":"","parse-names":false,"suffix":""},{"dropping-particle":"","family":"Lee","given":"Kee-Joon","non-dropping-particle":"","parse-names":false,"suffix":""},{"dropping-particle":"","family":"Choi","given":"Sung-Hwan","non-dropping-particle":"","parse-names":false,"suffix":""}],"container-title":"American Journal of Orthodontics and Dentofacial Orthopedics","id":"ITEM-1","issue":"3","issued":{"date-parts":[["2026","3"]]},"note":"From Duplicate 1 (Changes in the cytocompatibility, surface hardness, and surface topography of 3-dimensional–printed clear aligners after clinical use - Andrew Choi, E.-H.; Mangal, U; Ryu, J.-H.; Kim, J.-H.; Hwang, G; Kim, H; Cha, J.-Y.; Lee, K.-J.; Choi, S.-H.)\n\nFrom Duplicate 2 (Changes in the cytocompatibility, surface hardness, and surface topography of 3-dimensional–printed clear aligners after clinical use - Andrew Choi, E.-H.; Mangal, U; Ryu, J.-H.; Kim, J.-H.; Hwang, G; Kim, H; Cha, J.-Y.; Lee, K.-J.; Choi, S.-H.)\n\nExport Date: 18 March 2026\n\nFrom Duplicate 2 (Changes in the cytocompatibility, surface hardness, and surface topography of 3-dimensional-printed clear aligners after clinical use. - Andrew Choi, E.-H.; Mangal, U; Ryu, J.-H.; Kim, J.-H.; Hwang, G; Kim, H; Cha, J.-Y.; Lee, K.-J.; Choi, S.-H.)\n\nFrom Duplicate 2 (Changes in the cytocompatibility, surface hardness, and surface topography of 3-dimensional–printed clear aligners after clinical use - Andrew Choi, E.-H.; Mangal, U; Ryu, J.-H.; Kim, J.-H.; Hwang, G; Kim, H; Cha, J.-Y.; Lee, K.-J.; Choi, S.-H.)\n\nFrom Duplicate 2 (Changes in the cytocompatibility, surface hardness, and surface topography of 3-dimensional–printed clear aligners after clinical use - Andrew Choi, E.-H.; Mangal, U; Ryu, J.-H.; Kim, J.-H.; Hwang, G; Kim, H; Cha, J.-Y.; Lee, K.-J.; Choi, S.-H.)\n\nExport Date: 18 March 2026","page":"370-378","publisher":"(a)Department of Orthodontics, Institute of Craniofacial Deformity, Yonsei University College of Dentistry, Seoul, Republic of Korea","publisher-place":"(C) 2026Elsevier, Inc.","title":"Changes in the cytocompatibility, surface hardness, and surface topography of 3-dimensional–printed clear aligners after clinical use","type":"article-journal","volume":"169"},"uris":["http://www.mendeley.com/documents/?uuid=b6676920-9dcf-46de-8572-bc5ea9acee1c"]}],"mendeley":{"formattedCitation":"[61]","plainTextFormattedCitation":"[61]","previouslyFormattedCitation":"[61]"},"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[61]</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04ED94B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296FD74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2A17BC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48157C3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531" w:type="dxa"/>
            <w:tcBorders>
              <w:top w:val="nil"/>
              <w:left w:val="nil"/>
              <w:bottom w:val="nil"/>
              <w:right w:val="nil"/>
            </w:tcBorders>
            <w:shd w:val="clear" w:color="auto" w:fill="auto"/>
            <w:noWrap/>
          </w:tcPr>
          <w:p w14:paraId="7B4B59C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14BFA3D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6FD883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75E507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1840989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22" w:type="dxa"/>
            <w:tcBorders>
              <w:top w:val="nil"/>
              <w:left w:val="nil"/>
              <w:bottom w:val="nil"/>
              <w:right w:val="nil"/>
            </w:tcBorders>
            <w:shd w:val="clear" w:color="auto" w:fill="auto"/>
            <w:noWrap/>
          </w:tcPr>
          <w:p w14:paraId="012B237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6EFC45B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5F0ACA1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77.8</w:t>
            </w:r>
          </w:p>
        </w:tc>
      </w:tr>
      <w:tr w:rsidR="00EE34A2" w:rsidRPr="000B22C8" w14:paraId="406ACA60"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1AA29E71" w14:textId="3FACC365"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Ciavarella et al., 2019 </w:t>
            </w:r>
            <w:r w:rsidRPr="000B22C8">
              <w:rPr>
                <w:rFonts w:asciiTheme="minorBidi" w:hAnsiTheme="minorBidi"/>
                <w:sz w:val="16"/>
                <w:szCs w:val="16"/>
              </w:rPr>
              <w:fldChar w:fldCharType="begin" w:fldLock="1"/>
            </w:r>
            <w:r w:rsidRPr="000B22C8">
              <w:rPr>
                <w:rFonts w:asciiTheme="minorBidi" w:hAnsiTheme="minorBidi"/>
                <w:sz w:val="16"/>
                <w:szCs w:val="16"/>
              </w:rPr>
              <w:instrText>ADDIN CSL_CITATION {"citationItems":[{"id":"ITEM-1","itemData":{"DOI":"10.2174/1874210601913010041","ISSN":"1874-2106","author":[{"dropping-particle":"","family":"Ciavarella","given":"Domenico","non-dropping-particle":"","parse-names":false,"suffix":""},{"dropping-particle":"","family":"Cianci","given":"Claudia","non-dropping-particle":"","parse-names":false,"suffix":""},{"dropping-particle":"","family":"Laurenziello","given":"Michele","non-dropping-particle":"","parse-names":false,"suffix":""},{"dropping-particle":"","family":"Troiano","given":"Giuseppe","non-dropping-particle":"","parse-names":false,"suffix":""},{"dropping-particle":"","family":"Cillis","given":"Francesco","non-dropping-particle":"De","parse-names":false,"suffix":""},{"dropping-particle":"","family":"Tepedino","given":"Michele","non-dropping-particle":"","parse-names":false,"suffix":""},{"dropping-particle":"","family":"Montaruli","given":"Graziano","non-dropping-particle":"","parse-names":false,"suffix":""},{"dropping-particle":"","family":"Grassia","given":"Vincenzo","non-dropping-particle":"","parse-names":false,"suffix":""},{"dropping-particle":"","family":"Muzio","given":"Lorenzo","non-dropping-particle":"Lo","parse-names":false,"suffix":""},{"dropping-particle":"","family":"Pappalettere","given":"Carmine","non-dropping-particle":"","parse-names":false,"suffix":""}],"container-title":"The Open Dentistry Journal","id":"ITEM-1","issue":"1","issued":{"date-parts":[["2019","1","31"]]},"page":"41-47","title":"Comparison of the Stress Strain Capacity between Different Clear Aligners","type":"article-journal","volume":"13"},"uris":["http://www.mendeley.com/documents/?uuid=07efa5b4-ae94-49a3-af6e-aa0cfca982fb"]}],"mendeley":{"formattedCitation":"[33]","plainTextFormattedCitation":"[33]","previouslyFormattedCitation":"[33]"},"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[33]</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6BA5252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1922" w:type="dxa"/>
            <w:tcBorders>
              <w:top w:val="nil"/>
              <w:left w:val="nil"/>
              <w:bottom w:val="nil"/>
              <w:right w:val="nil"/>
            </w:tcBorders>
            <w:shd w:val="clear" w:color="auto" w:fill="auto"/>
            <w:noWrap/>
          </w:tcPr>
          <w:p w14:paraId="398F035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E7EEC1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26348BB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48DFF4D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815" w:type="dxa"/>
            <w:tcBorders>
              <w:top w:val="nil"/>
              <w:left w:val="nil"/>
              <w:bottom w:val="nil"/>
              <w:right w:val="nil"/>
            </w:tcBorders>
            <w:shd w:val="clear" w:color="auto" w:fill="auto"/>
            <w:noWrap/>
          </w:tcPr>
          <w:p w14:paraId="52C1D43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70F8486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7FFF921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0A94F04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22" w:type="dxa"/>
            <w:tcBorders>
              <w:top w:val="nil"/>
              <w:left w:val="nil"/>
              <w:bottom w:val="nil"/>
              <w:right w:val="nil"/>
            </w:tcBorders>
            <w:shd w:val="clear" w:color="auto" w:fill="auto"/>
            <w:noWrap/>
          </w:tcPr>
          <w:p w14:paraId="0ED1840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16C2733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1999" w:type="dxa"/>
            <w:tcBorders>
              <w:top w:val="nil"/>
              <w:left w:val="nil"/>
              <w:bottom w:val="nil"/>
              <w:right w:val="nil"/>
            </w:tcBorders>
            <w:shd w:val="clear" w:color="auto" w:fill="auto"/>
            <w:noWrap/>
          </w:tcPr>
          <w:p w14:paraId="3CCA855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44.4</w:t>
            </w:r>
          </w:p>
        </w:tc>
      </w:tr>
      <w:tr w:rsidR="00EE34A2" w:rsidRPr="000B22C8" w14:paraId="1C016784"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5BE2A84E" w14:textId="249D4B14"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Condo et al., 2018 </w:t>
            </w:r>
            <w:r w:rsidRPr="000B22C8">
              <w:rPr>
                <w:rFonts w:asciiTheme="minorBidi" w:hAnsiTheme="minorBidi"/>
                <w:sz w:val="16"/>
                <w:szCs w:val="16"/>
              </w:rPr>
              <w:fldChar w:fldCharType="begin" w:fldLock="1"/>
            </w:r>
            <w:r w:rsidRPr="000B22C8">
              <w:rPr>
                <w:rFonts w:asciiTheme="minorBidi" w:hAnsiTheme="minorBidi"/>
                <w:sz w:val="16"/>
                <w:szCs w:val="16"/>
              </w:rPr>
              <w:instrText>ADDIN CSL_CITATION {"citationItems":[{"id":"ITEM-1","itemData":{"DOI":"10.4012/dmj.2017-323","ISSN":"0287-4547","author":[{"dropping-particle":"","family":"CONDO’","given":"Roberta","non-dropping-particle":"","parse-names":false,"suffix":""},{"dropping-particle":"","family":"PAZZINI","given":"Luca","non-dropping-particle":"","parse-names":false,"suffix":""},{"dropping-particle":"","family":"CERRONI","given":"Loredana","non-dropping-particle":"","parse-names":false,"suffix":""},{"dropping-particle":"","family":"PASQUANTONIO","given":"Guido","non-dropping-particle":"","parse-names":false,"suffix":""},{"dropping-particle":"","family":"LAGANA’","given":"Giuseppina","non-dropping-particle":"","parse-names":false,"suffix":""},{"dropping-particle":"","family":"PECORA","given":"Alessandro","non-dropping-particle":"","parse-names":false,"suffix":""},{"dropping-particle":"","family":"MUSSI","given":"Valentina","non-dropping-particle":"","parse-names":false,"suffix":""},{"dropping-particle":"","family":"RINALDI","given":"Antonio","non-dropping-particle":"","parse-names":false,"suffix":""},{"dropping-particle":"","family":"MECHERI","given":"Barbara","non-dropping-particle":"","parse-names":false,"suffix":""},{"dropping-particle":"","family":"LICOCCIA","given":"Silvia","non-dropping-particle":"","parse-names":false,"suffix":""},{"dropping-particle":"","family":"MAIOLO","given":"Luca","non-dropping-particle":"","parse-names":false,"suffix":""}],"container-title":"Dental Materials Journal","id":"ITEM-1","issue":"5","issued":{"date-parts":[["2018","9","27"]]},"page":"835-842","title":"Mechanical properties of “two generations” of teeth aligners: Change analysis during oral permanence","type":"article-journal","volume":"37"},"uris":["http://www.mendeley.com/documents/?uuid=49f19f4a-c1ff-4d3f-b7fd-fe1eebc7bd2a"]}],"mendeley":{"formattedCitation":"[17]","plainTextFormattedCitation":"[17]","previouslyFormattedCitation":"[17]"},"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[17]</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215F939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6AAE378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896672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7CFF325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653ABC7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195C4C0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04DDE15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F19B76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289E594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5DD4486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33EB173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1999" w:type="dxa"/>
            <w:tcBorders>
              <w:top w:val="nil"/>
              <w:left w:val="nil"/>
              <w:bottom w:val="nil"/>
              <w:right w:val="nil"/>
            </w:tcBorders>
            <w:shd w:val="clear" w:color="auto" w:fill="auto"/>
            <w:noWrap/>
          </w:tcPr>
          <w:p w14:paraId="5CE6C43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50</w:t>
            </w:r>
          </w:p>
        </w:tc>
      </w:tr>
      <w:tr w:rsidR="00EE34A2" w:rsidRPr="000B22C8" w14:paraId="4E5CDA59" w14:textId="77777777" w:rsidTr="00246712">
        <w:trPr>
          <w:gridAfter w:val="1"/>
          <w:wAfter w:w="17" w:type="dxa"/>
          <w:trHeight w:val="359"/>
        </w:trPr>
        <w:tc>
          <w:tcPr>
            <w:tcW w:w="4891" w:type="dxa"/>
            <w:tcBorders>
              <w:top w:val="nil"/>
              <w:left w:val="nil"/>
              <w:bottom w:val="nil"/>
              <w:right w:val="nil"/>
            </w:tcBorders>
            <w:shd w:val="clear" w:color="auto" w:fill="auto"/>
            <w:noWrap/>
          </w:tcPr>
          <w:p w14:paraId="625BC115" w14:textId="1C2FF4C8" w:rsidR="00EE34A2" w:rsidRPr="00A033FD" w:rsidRDefault="00EE34A2" w:rsidP="00EE34A2">
            <w:pPr>
              <w:spacing w:after="0" w:line="240" w:lineRule="auto"/>
              <w:rPr>
                <w:rFonts w:asciiTheme="minorBidi" w:eastAsia="Times New Roman" w:hAnsiTheme="minorBidi"/>
                <w:color w:val="000000"/>
                <w:kern w:val="0"/>
                <w:sz w:val="16"/>
                <w:szCs w:val="16"/>
                <w14:ligatures w14:val="none"/>
              </w:rPr>
            </w:pPr>
            <w:r w:rsidRPr="00A033FD">
              <w:rPr>
                <w:rFonts w:asciiTheme="minorBidi" w:hAnsiTheme="minorBidi"/>
                <w:noProof/>
                <w:sz w:val="16"/>
                <w:szCs w:val="16"/>
              </w:rPr>
              <w:t>Condò</w:t>
            </w:r>
            <w:r w:rsidRPr="00A033FD">
              <w:rPr>
                <w:rFonts w:asciiTheme="minorBidi" w:eastAsia="Times New Roman" w:hAnsiTheme="minorBidi"/>
                <w:color w:val="000000"/>
                <w:kern w:val="0"/>
                <w:sz w:val="16"/>
                <w:szCs w:val="16"/>
                <w14:ligatures w14:val="none"/>
              </w:rPr>
              <w:t xml:space="preserve"> et al., 2021 </w:t>
            </w:r>
            <w:r w:rsidRPr="00A033FD">
              <w:rPr>
                <w:rFonts w:asciiTheme="minorBidi" w:hAnsiTheme="minorBidi"/>
                <w:sz w:val="16"/>
                <w:szCs w:val="16"/>
              </w:rPr>
              <w:fldChar w:fldCharType="begin" w:fldLock="1"/>
            </w:r>
            <w:r>
              <w:rPr>
                <w:rFonts w:asciiTheme="minorBidi" w:hAnsiTheme="minorBidi"/>
                <w:sz w:val="16"/>
                <w:szCs w:val="16"/>
              </w:rPr>
              <w:instrText>ADDIN CSL_CITATION {"citationItems":[{"id":"ITEM-1","itemData":{"DOI":"10.1186/s12903-021-01676-z","ISSN":"1472-6831","author":[{"dropping-particle":"","family":"Condò","given":"Roberta","non-dropping-particle":"","parse-names":false,"suffix":""},{"dropping-particle":"","family":"Mampieri","given":"Gianluca","non-dropping-particle":"","parse-names":false,"suffix":""},{"dropping-particle":"","family":"Giancotti","given":"Aldo","non-dropping-particle":"","parse-names":false,"suffix":""},{"dropping-particle":"","family":"Cerroni","given":"Loredana","non-dropping-particle":"","parse-names":false,"suffix":""},{"dropping-particle":"","family":"Pasquantonio","given":"Guido","non-dropping-particle":"","parse-names":false,"suffix":""},{"dropping-particle":"","family":"Divizia","given":"Andrea","non-dropping-particle":"","parse-names":false,"suffix":""},{"dropping-particle":"","family":"Convertino","given":"Annalisa","non-dropping-particle":"","parse-names":false,"suffix":""},{"dropping-particle":"","family":"Mecheri","given":"Barbara","non-dropping-particle":"","parse-names":false,"suffix":""},{"dropping-particle":"","family":"Maiolo","given":"Luca","non-dropping-particle":"","parse-names":false,"suffix":""}],"container-title":"BMC Oral Health","id":"ITEM-1","issue":"1","issued":{"date-parts":[["2021","12","23"]]},"page":"316","title":"SEM characterization and ageing analysis on two generation of invisible aligners","type":"article-journal","volume":"21"},"uris":["http://www.mendeley.com/documents/?uuid=e2a6ac79-15ec-45b2-9b24-bf2d1312072b"]}],"mendeley":{"formattedCitation":"[42]","plainTextFormattedCitation":"[42]","previouslyFormattedCitation":"[42]"},"properties":{"noteIndex":0},"schema":"https://github.com/citation-style-language/schema/raw/master/csl-citation.json"}</w:instrText>
            </w:r>
            <w:r w:rsidRPr="00A033FD">
              <w:rPr>
                <w:rFonts w:asciiTheme="minorBidi" w:hAnsiTheme="minorBidi"/>
                <w:sz w:val="16"/>
                <w:szCs w:val="16"/>
              </w:rPr>
              <w:fldChar w:fldCharType="separate"/>
            </w:r>
            <w:r w:rsidRPr="00A033FD">
              <w:rPr>
                <w:rFonts w:asciiTheme="minorBidi" w:hAnsiTheme="minorBidi"/>
                <w:noProof/>
                <w:sz w:val="16"/>
                <w:szCs w:val="16"/>
              </w:rPr>
              <w:t>[42]</w:t>
            </w:r>
            <w:r w:rsidRPr="00A033FD">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750B277B" w14:textId="5A5A85E6"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47F68641" w14:textId="5DCFA504"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7894D18" w14:textId="01FA754E"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N</w:t>
            </w:r>
          </w:p>
        </w:tc>
        <w:tc>
          <w:tcPr>
            <w:tcW w:w="2151" w:type="dxa"/>
            <w:tcBorders>
              <w:top w:val="nil"/>
              <w:left w:val="nil"/>
              <w:bottom w:val="nil"/>
              <w:right w:val="nil"/>
            </w:tcBorders>
            <w:shd w:val="clear" w:color="auto" w:fill="auto"/>
            <w:noWrap/>
          </w:tcPr>
          <w:p w14:paraId="495F779F" w14:textId="0072E591"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6E7CE9CC" w14:textId="52DD8FF1"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49222B8C" w14:textId="18E7FE18"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EED7E30" w14:textId="170B9485"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80ED998" w14:textId="324D75D4"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2CBE741C" w14:textId="60AE12BE"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NA</w:t>
            </w:r>
          </w:p>
        </w:tc>
        <w:tc>
          <w:tcPr>
            <w:tcW w:w="1922" w:type="dxa"/>
            <w:tcBorders>
              <w:top w:val="nil"/>
              <w:left w:val="nil"/>
              <w:bottom w:val="nil"/>
              <w:right w:val="nil"/>
            </w:tcBorders>
            <w:shd w:val="clear" w:color="auto" w:fill="auto"/>
            <w:noWrap/>
          </w:tcPr>
          <w:p w14:paraId="2179327C" w14:textId="1111DCDE"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4192907F" w14:textId="7552DBF4" w:rsidR="00EE34A2" w:rsidRPr="00A033FD" w:rsidRDefault="00EE34A2" w:rsidP="00EE34A2">
            <w:pPr>
              <w:spacing w:after="0" w:line="240" w:lineRule="auto"/>
              <w:rPr>
                <w:rFonts w:asciiTheme="minorBidi" w:hAnsiTheme="minorBidi"/>
                <w:color w:val="000000"/>
                <w:sz w:val="16"/>
                <w:szCs w:val="16"/>
              </w:rPr>
            </w:pPr>
            <w:r w:rsidRPr="00A033FD">
              <w:rPr>
                <w:rFonts w:asciiTheme="minorBidi" w:hAnsiTheme="minorBidi"/>
                <w:color w:val="000000"/>
                <w:sz w:val="16"/>
                <w:szCs w:val="16"/>
              </w:rPr>
              <w:t>UC</w:t>
            </w:r>
          </w:p>
        </w:tc>
        <w:tc>
          <w:tcPr>
            <w:tcW w:w="1999" w:type="dxa"/>
            <w:tcBorders>
              <w:top w:val="nil"/>
              <w:left w:val="nil"/>
              <w:bottom w:val="nil"/>
              <w:right w:val="nil"/>
            </w:tcBorders>
            <w:shd w:val="clear" w:color="auto" w:fill="auto"/>
            <w:noWrap/>
          </w:tcPr>
          <w:p w14:paraId="2EBE1C9F" w14:textId="7294237D" w:rsidR="00EE34A2" w:rsidRPr="000B22C8" w:rsidRDefault="00EE34A2" w:rsidP="00EE34A2">
            <w:pPr>
              <w:spacing w:after="0" w:line="240" w:lineRule="auto"/>
              <w:rPr>
                <w:rFonts w:asciiTheme="minorBidi" w:hAnsiTheme="minorBidi"/>
                <w:color w:val="000000"/>
                <w:sz w:val="16"/>
                <w:szCs w:val="16"/>
              </w:rPr>
            </w:pPr>
            <w:r>
              <w:rPr>
                <w:rFonts w:asciiTheme="minorBidi" w:hAnsiTheme="minorBidi"/>
                <w:color w:val="000000"/>
                <w:sz w:val="16"/>
                <w:szCs w:val="16"/>
              </w:rPr>
              <w:t>44.4</w:t>
            </w:r>
          </w:p>
        </w:tc>
      </w:tr>
      <w:tr w:rsidR="00EE34A2" w:rsidRPr="000B22C8" w14:paraId="3C0D1AF3"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7CECF303" w14:textId="63CDFB0E"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0B22C8">
              <w:rPr>
                <w:rFonts w:asciiTheme="minorBidi" w:eastAsia="Times New Roman" w:hAnsiTheme="minorBidi"/>
                <w:color w:val="000000"/>
                <w:kern w:val="0"/>
                <w:sz w:val="16"/>
                <w:szCs w:val="16"/>
                <w14:ligatures w14:val="none"/>
              </w:rPr>
              <w:t>Dalaie</w:t>
            </w:r>
            <w:proofErr w:type="spellEnd"/>
            <w:r w:rsidRPr="000B22C8">
              <w:rPr>
                <w:rFonts w:asciiTheme="minorBidi" w:eastAsia="Times New Roman" w:hAnsiTheme="minorBidi"/>
                <w:color w:val="000000"/>
                <w:kern w:val="0"/>
                <w:sz w:val="16"/>
                <w:szCs w:val="16"/>
                <w14:ligatures w14:val="none"/>
              </w:rPr>
              <w:t xml:space="preserve"> et al., 2024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10.25259/APOS_169_2023","ISSN":"2321-1407","author":[{"dropping-particle":"","family":"Dalaie","given":"Kazem","non-dropping-particle":"","parse-names":false,"suffix":""},{"dropping-particle":"","family":"Rafsanjan","given":"Katayoun Talebi","non-dropping-particle":"","parse-names":false,"suffix":""},{"dropping-particle":"","family":"Nojehdehian","given":"Hanieh","non-dropping-particle":"","parse-names":false,"suffix":""},{"dropping-particle":"","family":"Namazi","given":"Zahra","non-dropping-particle":"","parse-names":false,"suffix":""}],"container-title":"APOS Trends in Orthodontics","id":"ITEM-1","issued":{"date-parts":[["2024","6","14"]]},"page":"235","title":"Physical and chemical changes of clear aligners after thermoforming and intraoral exposure","type":"article-journal","volume":"14"},"uris":["http://www.mendeley.com/documents/?uuid=91627939-a480-409f-8601-84b15f3dea9e"]}],"mendeley":{"formattedCitation":"[101]","plainTextFormattedCitation":"[101]","previouslyFormattedCitation":"[102]"},"properties":{"noteIndex":0},"schema":"https://github.com/citation-style-language/schema/raw/master/csl-citation.json"}</w:instrText>
            </w:r>
            <w:r w:rsidRPr="000B22C8">
              <w:rPr>
                <w:rFonts w:asciiTheme="minorBidi" w:hAnsiTheme="minorBidi"/>
                <w:sz w:val="16"/>
                <w:szCs w:val="16"/>
              </w:rPr>
              <w:fldChar w:fldCharType="separate"/>
            </w:r>
            <w:r w:rsidRPr="00C31535">
              <w:rPr>
                <w:rFonts w:asciiTheme="minorBidi" w:hAnsiTheme="minorBidi"/>
                <w:noProof/>
                <w:sz w:val="16"/>
                <w:szCs w:val="16"/>
              </w:rPr>
              <w:t>[101]</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2933C5E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423C2D0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9980D8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794CDA4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531" w:type="dxa"/>
            <w:tcBorders>
              <w:top w:val="nil"/>
              <w:left w:val="nil"/>
              <w:bottom w:val="nil"/>
              <w:right w:val="nil"/>
            </w:tcBorders>
            <w:shd w:val="clear" w:color="auto" w:fill="auto"/>
            <w:noWrap/>
          </w:tcPr>
          <w:p w14:paraId="145E998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0C34B1A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C91075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2D2CDF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2C33B21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56446C9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1A06618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01D74F6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70</w:t>
            </w:r>
          </w:p>
        </w:tc>
      </w:tr>
      <w:tr w:rsidR="00EE34A2" w:rsidRPr="000B22C8" w14:paraId="713A4254"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5DCFA688" w14:textId="60789A62"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El</w:t>
            </w:r>
            <w:r w:rsidRPr="000B22C8">
              <w:rPr>
                <w:rFonts w:asciiTheme="minorBidi" w:eastAsia="Times New Roman" w:hAnsiTheme="minorBidi"/>
                <w:color w:val="000000"/>
                <w:kern w:val="0"/>
                <w:sz w:val="16"/>
                <w:szCs w:val="16"/>
                <w14:ligatures w14:val="none"/>
              </w:rPr>
              <w:noBreakHyphen/>
            </w:r>
            <w:proofErr w:type="spellStart"/>
            <w:r w:rsidRPr="000B22C8">
              <w:rPr>
                <w:rFonts w:asciiTheme="minorBidi" w:eastAsia="Times New Roman" w:hAnsiTheme="minorBidi"/>
                <w:color w:val="000000"/>
                <w:kern w:val="0"/>
                <w:sz w:val="16"/>
                <w:szCs w:val="16"/>
                <w14:ligatures w14:val="none"/>
              </w:rPr>
              <w:t>Kabbany</w:t>
            </w:r>
            <w:proofErr w:type="spellEnd"/>
            <w:r w:rsidRPr="000B22C8">
              <w:rPr>
                <w:rFonts w:asciiTheme="minorBidi" w:eastAsia="Times New Roman" w:hAnsiTheme="minorBidi"/>
                <w:color w:val="000000"/>
                <w:kern w:val="0"/>
                <w:sz w:val="16"/>
                <w:szCs w:val="16"/>
                <w14:ligatures w14:val="none"/>
              </w:rPr>
              <w:t xml:space="preserve"> &amp; Mohamed, 202</w:t>
            </w:r>
            <w:bookmarkStart w:id="1" w:name="_Hlk237276903"/>
            <w:r w:rsidRPr="000B22C8">
              <w:rPr>
                <w:rFonts w:asciiTheme="minorBidi" w:eastAsia="Times New Roman" w:hAnsiTheme="minorBidi"/>
                <w:color w:val="000000"/>
                <w:kern w:val="0"/>
                <w:sz w:val="16"/>
                <w:szCs w:val="16"/>
                <w14:ligatures w14:val="none"/>
              </w:rPr>
              <w:t xml:space="preserve">6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{"citationItems":[{"id":"ITEM-1","itemData":{"DOI":"10.4103/jnsm.jnsm_154_24","ISSN":"2589-627X","abstract":"Background: The utilization of clear aligners (CA) has increased owing to esthetic demands., Objective: The objective of this study was to evaluate alterations in the mechanical properties, surface morphology, and the translucency parameter of Zendura FlxTM (ZF) following 1 week (1W) and 2 weeks (2Ws) of intraoral usage., Materials and Methods: Forty-eight ZF aligners were selected (Bay Materials, USA). CAs were divided into three groups (n = 16); control group of unused ZF, intraorally aged groups (1W and 2Ws). All samples underwent tensile and indentation testing, surface morphology, and translucency evaluations. Tensile resistance was measured by the Universal Testing Machine. Surface microhardness was determined using Digital Vickers micro hardness tester. Surface topography was characterized using a digital microscope. Spectrophotometry was used to evaluate changes in transparency., Results: A statistically significant difference was seen in the mean tensile resistance across the three groups (P = 0.033). The 2W group exhibited a substantial increased tensile resistance. No significant changes were observed regarding other assessed properties., Conclusion: ZF demonstrated commendable tensile resistance, consistent hardness, surface topography, and transparency after physiological intraoral aging indicating its suitability for usage over 1-2 weeks., (C) 2026 Journal of Nature and Science of Medicine | Published by Wolters Kluwer - Medknow","author":[{"dropping-particle":"","family":"El-Kabbany","given":"Sara","non-dropping-particle":"","parse-names":false,"suffix":""},{"dropping-particle":"","family":"Mohamed","given":"Inas M.","non-dropping-particle":"","parse-names":false,"suffix":""}],"container-title":"Journal of Nature and Science of Medicine","id":"ITEM-1","issue":"1","issued":{"date-parts":[["2026","1"]]},"page":"72-76","publisher":"(1)Department of Orthodontics, Faculty of Oral and Dental Medicine for Girls, Al Azhar University, Cairo, Egypt","publisher-place":"(C) 2026 Journal of Nature and Science of Medicine | Published by Wolters Kluwer - Medknow","title":"Mechanical and Physical Properties of Zendura Flx™ after One and Two Weeks of Thermoformed Aligner Therapy: A Prospective Clinical Study","type":"article-journal","volume":"9"},"uris":["http://www.mendeley.com/documents/?uuid=9760b336-af38-4afa-9ef8-16a15dcbc32f"]}],"mendeley":{"formattedCitation":"[107]","plainTextFormattedCitation":"[107]","previouslyFormattedCitation":"[108]"},"properties":{"noteIndex":0},"schema":"https://github.com/citation-style-language/schema/raw/master/csl-citation.json"}</w:instrText>
            </w:r>
            <w:r w:rsidRPr="000B22C8">
              <w:rPr>
                <w:rFonts w:asciiTheme="minorBidi" w:hAnsiTheme="minorBidi"/>
                <w:sz w:val="16"/>
                <w:szCs w:val="16"/>
              </w:rPr>
              <w:fldChar w:fldCharType="separate"/>
            </w:r>
            <w:r w:rsidRPr="00C31535">
              <w:rPr>
                <w:rFonts w:asciiTheme="minorBidi" w:hAnsiTheme="minorBidi"/>
                <w:noProof/>
                <w:sz w:val="16"/>
                <w:szCs w:val="16"/>
              </w:rPr>
              <w:t>[107]</w:t>
            </w:r>
            <w:r w:rsidRPr="000B22C8">
              <w:rPr>
                <w:rFonts w:asciiTheme="minorBidi" w:hAnsiTheme="minorBidi"/>
                <w:sz w:val="16"/>
                <w:szCs w:val="16"/>
              </w:rPr>
              <w:fldChar w:fldCharType="end"/>
            </w:r>
            <w:bookmarkEnd w:id="1"/>
          </w:p>
        </w:tc>
        <w:tc>
          <w:tcPr>
            <w:tcW w:w="1863" w:type="dxa"/>
            <w:tcBorders>
              <w:top w:val="nil"/>
              <w:left w:val="nil"/>
              <w:bottom w:val="nil"/>
              <w:right w:val="nil"/>
            </w:tcBorders>
            <w:shd w:val="clear" w:color="auto" w:fill="auto"/>
            <w:noWrap/>
          </w:tcPr>
          <w:p w14:paraId="0234A07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37FD1F7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04AD0C7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151" w:type="dxa"/>
            <w:tcBorders>
              <w:top w:val="nil"/>
              <w:left w:val="nil"/>
              <w:bottom w:val="nil"/>
              <w:right w:val="nil"/>
            </w:tcBorders>
            <w:shd w:val="clear" w:color="auto" w:fill="auto"/>
            <w:noWrap/>
          </w:tcPr>
          <w:p w14:paraId="7DC357B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4A07F8D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2EE149C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3D77D8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CF78D0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4FE9BEA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22" w:type="dxa"/>
            <w:tcBorders>
              <w:top w:val="nil"/>
              <w:left w:val="nil"/>
              <w:bottom w:val="nil"/>
              <w:right w:val="nil"/>
            </w:tcBorders>
            <w:shd w:val="clear" w:color="auto" w:fill="auto"/>
            <w:noWrap/>
          </w:tcPr>
          <w:p w14:paraId="5543CB3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24D889F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2231F2B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55.6</w:t>
            </w:r>
          </w:p>
        </w:tc>
      </w:tr>
      <w:tr w:rsidR="00EE34A2" w:rsidRPr="000B22C8" w14:paraId="70324185"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630F9284" w14:textId="39BD6561"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Fang, D et al., 2020 </w:t>
            </w:r>
            <w:r w:rsidRPr="000B22C8">
              <w:rPr>
                <w:rFonts w:asciiTheme="minorBidi" w:hAnsiTheme="minorBidi"/>
                <w:sz w:val="16"/>
                <w:szCs w:val="16"/>
              </w:rPr>
              <w:fldChar w:fldCharType="begin" w:fldLock="1"/>
            </w:r>
            <w:r>
              <w:rPr>
                <w:rFonts w:asciiTheme="minorBidi" w:hAnsiTheme="minorBidi"/>
                <w:sz w:val="16"/>
                <w:szCs w:val="16"/>
              </w:rPr>
              <w:instrText>ADDIN CSL_CITATION {"citationItems":[{"id":"ITEM-1","itemData":{"DOI":"10.1016/j.ajodo.2019.05.023","ISSN":"08895406","author":[{"dropping-particle":"","family":"Fang","given":"Dongyu","non-dropping-particle":"","parse-names":false,"suffix":""},{"dropping-particle":"","family":"Li","given":"Fangming","non-dropping-particle":"","parse-names":false,"suffix":""},{"dropping-particle":"","family":"Zhang","given":"Yulong","non-dropping-particle":"","parse-names":false,"suffix":""},{"dropping-particle":"","family":"Bai","given":"Yuxing","non-dropping-particle":"","parse-names":false,"suffix":""},{"dropping-particle":"","family":"Wu","given":"Benjamin M.","non-dropping-particle":"","parse-names":false,"suffix":""}],"container-title":"American Journal of Orthodontics and Dentofacial Orthopedics","id":"ITEM-1","issue":"6","issued":{"date-parts":[["2020","6"]]},"page":"745-753","title":"Changes in mechanical properties, surface morphology, structure, and composition of Invisalign material in the oral environment","type":"article-journal","volume":"157"},"uris":["http://www.mendeley.com/documents/?uuid=9709b9bb-6049-4372-adb2-74a65b01464a"]}],"mendeley":{"formattedCitation":"[85]","plainTextFormattedCitation":"[85]","previouslyFormattedCitation":"[96]"},"properties":{"noteIndex":0},"schema":"https://github.com/citation-style-language/schema/raw/master/csl-citation.json"}</w:instrText>
            </w:r>
            <w:r w:rsidRPr="000B22C8">
              <w:rPr>
                <w:rFonts w:asciiTheme="minorBidi" w:hAnsiTheme="minorBidi"/>
                <w:sz w:val="16"/>
                <w:szCs w:val="16"/>
              </w:rPr>
              <w:fldChar w:fldCharType="separate"/>
            </w:r>
            <w:r w:rsidRPr="00C31535">
              <w:rPr>
                <w:rFonts w:asciiTheme="minorBidi" w:hAnsiTheme="minorBidi"/>
                <w:noProof/>
                <w:sz w:val="16"/>
                <w:szCs w:val="16"/>
              </w:rPr>
              <w:t>[85]</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6774B17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02C9D29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3A0BDF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18A3FDF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6653437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2350692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EDDC73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7D316E7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6C67960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5CF2AF5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653E0DC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18A43FD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60</w:t>
            </w:r>
          </w:p>
        </w:tc>
      </w:tr>
      <w:tr w:rsidR="00EE34A2" w:rsidRPr="000B22C8" w14:paraId="41C5BCBD"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5308756A" w14:textId="057EFD08"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eastAsia="Times New Roman" w:hAnsiTheme="minorBidi"/>
                <w:color w:val="000000"/>
                <w:kern w:val="0"/>
                <w:sz w:val="16"/>
                <w:szCs w:val="16"/>
                <w14:ligatures w14:val="none"/>
              </w:rPr>
              <w:t xml:space="preserve">Gerard Bradley et al., 2016 </w:t>
            </w:r>
            <w:r w:rsidRPr="000B22C8">
              <w:rPr>
                <w:rFonts w:asciiTheme="minorBidi" w:hAnsiTheme="minorBidi"/>
                <w:sz w:val="16"/>
                <w:szCs w:val="16"/>
              </w:rPr>
              <w:fldChar w:fldCharType="begin" w:fldLock="1"/>
            </w:r>
            <w:r w:rsidRPr="000B22C8">
              <w:rPr>
                <w:rFonts w:asciiTheme="minorBidi" w:hAnsiTheme="minorBidi"/>
                <w:sz w:val="16"/>
                <w:szCs w:val="16"/>
              </w:rPr>
              <w:instrText>ADDIN CSL_CITATION {"citationItems":[{"id":"ITEM-1","itemData":{"DOI":"10.1093/ejo/cjv003","ISSN":"0141-5387","abstract":"AIM: To investigate the mechanical and chemical alterations of Invisalign appliances after intraoral aging., MATERIALS AND METHODS: Samples of Invisalign appliances (Align Technology, San Jose, California, USA) were collected following routine treatment for a mean period of 44+/-15 days (group INV), whereas unused aligners of the same brand were used as reference (group REF). A small sample from the central incisors region was cut from each appliance and the buccal surface was analysed by attenuated total reflectance-Fourier transform infrared (ATR-FTIR) spectroscopy (n = 5). Then the appliances were cut (n = 25) and embedded in acrylic resin, ground/polished in a grinding polishing machine, and the prepared surfaces were subjected to Instrumented Indentation Testing under 4.9 N load. Force-indentation depth curves were recorded for each group and the following parameters were calculated according to ISO 14577-1; 2002 specification: indentation modulus (E IT), elastic to total work ratio also known as elastic index (etaIT), Martens Hardness (HM), and indentation creep (C IT) The mean values of the mechanical properties were statistically analysed by unpaired t-test (a = 0.05)., RESULTS: ATR-FTIR analysis confirmed the urethane based structure of the appliances, without important chemical differences attributed to the aging process. INV group showed significantly lower E IT (REF: 2466+/-20, INV: 2216+/-168MPa), HM (REF: 119+/-1, INV: 110+/-6 N mm-2) and higher etaIT (REF: 40.0+/-0.3, INV: 41.5+/-1.2%), and C IT (REF: 3.7+/-0.2 INV: 4.0+/-0.1%). The increase in etaIT indicates that INV is a more brittle than REF, whereas the increase in C IT, a decrease in creep resistance., CONCLUSION: Despite the lack of detectable chemical changes, intraoral aging adversely affected the mechanical properties of the Invisalign appliance. Copyright © The Author 2015. Published by Oxford University Press on behalf of the European Orthodontic Society. All rights reserved. For permissions, please email: journals.permissions@oup.com.","author":[{"dropping-particle":"","family":"Gerard Bradley","given":"T.","non-dropping-particle":"","parse-names":false,"suffix":""},{"dropping-particle":"","family":"Teske","given":"Lauren","non-dropping-particle":"","parse-names":false,"suffix":""},{"dropping-particle":"","family":"Eliades","given":"George","non-dropping-particle":"","parse-names":false,"suffix":""},{"dropping-particle":"","family":"Zinelis","given":"Spiros","non-dropping-particle":"","parse-names":false,"suffix":""},{"dropping-particle":"","family":"Eliades","given":"Theodore","non-dropping-particle":"","parse-names":false,"suffix":""}],"container-title":"The European Journal of Orthodontics","id":"ITEM-1","issue":"1","issued":{"date-parts":[["2016","2"]]},"page":"27-31","publisher-place":"England","title":"Do the mechanical and chemical properties of Invisalign TM appliances change after use? A retrieval analysis","type":"article-journal","volume":"38"},"uris":["http://www.mendeley.com/documents/?uuid=29dd637c-66ad-4c75-98e4-86935785e138"]}],"mendeley":{"formattedCitation":"[34]","plainTextFormattedCitation":"[34]","previouslyFormattedCitation":"[34]"},"properties":{"noteIndex":0},"schema":"https://github.com/citation-style-language/schema/raw/master/csl-citation.json"}</w:instrText>
            </w:r>
            <w:r w:rsidRPr="000B22C8">
              <w:rPr>
                <w:rFonts w:asciiTheme="minorBidi" w:hAnsiTheme="minorBidi"/>
                <w:sz w:val="16"/>
                <w:szCs w:val="16"/>
              </w:rPr>
              <w:fldChar w:fldCharType="separate"/>
            </w:r>
            <w:r w:rsidRPr="000B22C8">
              <w:rPr>
                <w:rFonts w:asciiTheme="minorBidi" w:hAnsiTheme="minorBidi"/>
                <w:noProof/>
                <w:sz w:val="16"/>
                <w:szCs w:val="16"/>
              </w:rPr>
              <w:t>[34]</w:t>
            </w:r>
            <w:r w:rsidRPr="000B22C8">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068D452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74A2438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006716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62388B8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531" w:type="dxa"/>
            <w:tcBorders>
              <w:top w:val="nil"/>
              <w:left w:val="nil"/>
              <w:bottom w:val="nil"/>
              <w:right w:val="nil"/>
            </w:tcBorders>
            <w:shd w:val="clear" w:color="auto" w:fill="auto"/>
            <w:noWrap/>
          </w:tcPr>
          <w:p w14:paraId="2E4C919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815" w:type="dxa"/>
            <w:tcBorders>
              <w:top w:val="nil"/>
              <w:left w:val="nil"/>
              <w:bottom w:val="nil"/>
              <w:right w:val="nil"/>
            </w:tcBorders>
            <w:shd w:val="clear" w:color="auto" w:fill="auto"/>
            <w:noWrap/>
          </w:tcPr>
          <w:p w14:paraId="4A7AB48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606DB63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6BF3C41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01B60F4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4074F2B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6190C4E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09DEC20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80</w:t>
            </w:r>
          </w:p>
        </w:tc>
      </w:tr>
      <w:tr w:rsidR="00EE34A2" w:rsidRPr="000B22C8" w14:paraId="067ED9AD"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59E67BB8" w14:textId="55732122"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r w:rsidRPr="00246712">
              <w:rPr>
                <w:rFonts w:asciiTheme="minorBidi" w:eastAsia="Times New Roman" w:hAnsiTheme="minorBidi"/>
                <w:color w:val="000000"/>
                <w:kern w:val="0"/>
                <w:sz w:val="16"/>
                <w:szCs w:val="16"/>
                <w14:ligatures w14:val="none"/>
              </w:rPr>
              <w:t xml:space="preserve">Gold et al., 2022 </w:t>
            </w:r>
            <w:r w:rsidRPr="00246712">
              <w:rPr>
                <w:rFonts w:asciiTheme="minorBidi" w:hAnsiTheme="minorBidi"/>
                <w:sz w:val="16"/>
                <w:szCs w:val="16"/>
              </w:rPr>
              <w:fldChar w:fldCharType="begin" w:fldLock="1"/>
            </w:r>
            <w:r>
              <w:rPr>
                <w:rFonts w:asciiTheme="minorBidi" w:hAnsiTheme="minorBidi"/>
                <w:sz w:val="16"/>
                <w:szCs w:val="16"/>
              </w:rPr>
              <w:instrText>ADDIN CSL_CITATION {"citationItems":[{"id":"ITEM-1","itemData":{"DOI":"10.7860/JCDR/2022/59186.17033","ISSN":"2249782X","abstract":"Introduction: There is a rising demand for clear aligners among orthodontic patients and after the expiry of Invisalign patent many indigenous aligners have been introduced in several part of the globe including India. The major advantage of the aligners is its invisibility which is attributed to its unique optical properties. The optical properties vary between different aligners and any changes in the optical properties during the clinical use is an important factor to be considered. Aim: To evaluate and compare the optical properties of three different types of indigenous clear orthodontic aligners before and after in-vivo aging. Materials and Methods: A prospective clinical study was conducted in the Department of Orthodontics and Dentofacial Orthopedics, SRM Dental College, Chennai, Tamil Nadu, India, August 2021 to December 2021. Total 36 volunteers participated in the study and were divided into three study groups. In group A subjects had Clearbite aligners (JJ Orthodontics Pvt. Ltd, Thrissur, Kerala), group B had Dentcare clear aligners (Dent Care Dental Lab Pvt. Ltd. Ernakulum, Kerala) and group C had Smile aligners (smile aligners Inc. Mumbai, Maharashtra). Polyvinyl siloxane impression of the maxillary arch was obtained and sent for the fabrication of two sets of clear aligners. One set of aligners were used to measure absorbance and transmittance before invivo aging and another set after an intraoral use of 14 days. The measurement of absorbance and transmittance were made at the wavelength range of 400-700 nm using a Shimadzu UV-3600i Plus UV-Vis-NIR spectrophotometer. Intergroup and intragroup comparisons were done using Independent sample t-test and One way ANOVA. Results: In all the three groups of aligners evaluated, an increase in the absorbance values was noted at all the wavelengths after in-vivo aging but the increase was not statistically significant (p-value &gt;0.05). Transmittance values of group A samples reduced after in-vivo aging but not significantly, whereas group B values reduced significantly between 400-440 nm (p-value &lt;0.05) and group C values reduced significantly between 400-460 nm and 680-700 nm (p-value &lt;0.05). Intergroup comparison of the mean absorbance and transmittance values of the group A, B and C samples before and after in-vivo aging showed no significant difference at all wavelengths (p-value &gt;0.05). Conclusion: The absorbance and transmittance values of all the three indigenous aligners did not change signif…","author":[{"dropping-particle":"","family":"Gold","given":"Binu Punnoose","non-dropping-particle":"","parse-names":false,"suffix":""},{"dropping-particle":"","family":"Sangeetha","given":"Duraisamy","non-dropping-particle":"","parse-names":false,"suffix":""},{"dropping-particle":"","family":"Kannan","given":"Ravi","non-dropping-particle":"","parse-names":false,"suffix":""}],"container-title":"JOURNAL OF CLINICAL AND DIAGNOSTIC RESEARCH","id":"ITEM-1","issued":{"date-parts":[["2022"]]},"title":"Comparison of Optical Properties of Clear Aligners Before and After In-vivo Aging","type":"article-journal"},"uris":["http://www.mendeley.com/documents/?uuid=8316001b-0a32-453c-9f1d-9f6c5bd1cda3"]}],"mendeley":{"formattedCitation":"[97]","plainTextFormattedCitation":"[97]","previouslyFormattedCitation":"[98]"},"properties":{"noteIndex":0},"schema":"https://github.com/citation-style-language/schema/raw/master/csl-citation.json"}</w:instrText>
            </w:r>
            <w:r w:rsidRPr="00246712">
              <w:rPr>
                <w:rFonts w:asciiTheme="minorBidi" w:hAnsiTheme="minorBidi"/>
                <w:sz w:val="16"/>
                <w:szCs w:val="16"/>
              </w:rPr>
              <w:fldChar w:fldCharType="separate"/>
            </w:r>
            <w:r w:rsidRPr="00C31535">
              <w:rPr>
                <w:rFonts w:asciiTheme="minorBidi" w:hAnsiTheme="minorBidi"/>
                <w:noProof/>
                <w:sz w:val="16"/>
                <w:szCs w:val="16"/>
              </w:rPr>
              <w:t>[97]</w:t>
            </w:r>
            <w:r w:rsidRPr="00246712">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7A25329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001372A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05230ED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2CFC5C1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6864CE2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7E44F3C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649C63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745A4B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55CCC29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2B51167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60D761E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41D43EE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70</w:t>
            </w:r>
          </w:p>
        </w:tc>
      </w:tr>
      <w:tr w:rsidR="00EE34A2" w:rsidRPr="000B22C8" w14:paraId="5B08374E"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4B717194" w14:textId="50D0F644"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246712">
              <w:rPr>
                <w:rFonts w:asciiTheme="minorBidi" w:eastAsia="Times New Roman" w:hAnsiTheme="minorBidi"/>
                <w:color w:val="000000"/>
                <w:kern w:val="0"/>
                <w:sz w:val="16"/>
                <w:szCs w:val="16"/>
                <w14:ligatures w14:val="none"/>
              </w:rPr>
              <w:t>Koletsi</w:t>
            </w:r>
            <w:proofErr w:type="spellEnd"/>
            <w:r w:rsidRPr="00246712">
              <w:rPr>
                <w:rFonts w:asciiTheme="minorBidi" w:eastAsia="Times New Roman" w:hAnsiTheme="minorBidi"/>
                <w:color w:val="000000"/>
                <w:kern w:val="0"/>
                <w:sz w:val="16"/>
                <w:szCs w:val="16"/>
                <w14:ligatures w14:val="none"/>
              </w:rPr>
              <w:t xml:space="preserve"> et al., 2023 </w:t>
            </w:r>
            <w:r w:rsidRPr="00246712">
              <w:rPr>
                <w:rFonts w:asciiTheme="minorBidi" w:hAnsiTheme="minorBidi"/>
                <w:sz w:val="16"/>
                <w:szCs w:val="16"/>
              </w:rPr>
              <w:fldChar w:fldCharType="begin" w:fldLock="1"/>
            </w:r>
            <w:r>
              <w:rPr>
                <w:rFonts w:asciiTheme="minorBidi" w:hAnsiTheme="minorBidi"/>
                <w:sz w:val="16"/>
                <w:szCs w:val="16"/>
              </w:rPr>
              <w:instrText>ADDIN CSL_CITATION {"citationItems":[{"id":"ITEM-1","itemData":{"DOI":"10.1177/14653125221145948","ISSN":"1465-3125","author":[{"dropping-particle":"","family":"Koletsi","given":"Despina","non-dropping-particle":"","parse-names":false,"suffix":""},{"dropping-particle":"","family":"Panayi","given":"Nearchos","non-dropping-particle":"","parse-names":false,"suffix":""},{"dropping-particle":"","family":"Laspos","given":"Christodoulos","non-dropping-particle":"","parse-names":false,"suffix":""},{"dropping-particle":"","family":"Athanasiou","given":"Athanasios E","non-dropping-particle":"","parse-names":false,"suffix":""},{"dropping-particle":"","family":"Zinelis","given":"Spiros","non-dropping-particle":"","parse-names":false,"suffix":""},{"dropping-particle":"","family":"Eliades","given":"Theodore","non-dropping-particle":"","parse-names":false,"suffix":""}],"container-title":"Journal of Orthodontics","id":"ITEM-1","issue":"4","issued":{"date-parts":[["2023","12","27"]]},"page":"352-360","title":"In vivo aging-induced surface roughness alterations of Invisalign ® and 3D-printed aligners","type":"article-journal","volume":"50"},"uris":["http://www.mendeley.com/documents/?uuid=e5f071e2-1690-4b4f-982b-4eaebf67f6be"]}],"mendeley":{"formattedCitation":"[109]","plainTextFormattedCitation":"[109]","previouslyFormattedCitation":"[110]"},"properties":{"noteIndex":0},"schema":"https://github.com/citation-style-language/schema/raw/master/csl-citation.json"}</w:instrText>
            </w:r>
            <w:r w:rsidRPr="00246712">
              <w:rPr>
                <w:rFonts w:asciiTheme="minorBidi" w:hAnsiTheme="minorBidi"/>
                <w:sz w:val="16"/>
                <w:szCs w:val="16"/>
              </w:rPr>
              <w:fldChar w:fldCharType="separate"/>
            </w:r>
            <w:r w:rsidRPr="00C31535">
              <w:rPr>
                <w:rFonts w:asciiTheme="minorBidi" w:hAnsiTheme="minorBidi"/>
                <w:noProof/>
                <w:sz w:val="16"/>
                <w:szCs w:val="16"/>
              </w:rPr>
              <w:t>[109]</w:t>
            </w:r>
            <w:r w:rsidRPr="00246712">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5A1F094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73B4438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658EB41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2E9F6C2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3505354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815" w:type="dxa"/>
            <w:tcBorders>
              <w:top w:val="nil"/>
              <w:left w:val="nil"/>
              <w:bottom w:val="nil"/>
              <w:right w:val="nil"/>
            </w:tcBorders>
            <w:shd w:val="clear" w:color="auto" w:fill="auto"/>
            <w:noWrap/>
          </w:tcPr>
          <w:p w14:paraId="23D9396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F7C447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D5B627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75DD7C3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22" w:type="dxa"/>
            <w:tcBorders>
              <w:top w:val="nil"/>
              <w:left w:val="nil"/>
              <w:bottom w:val="nil"/>
              <w:right w:val="nil"/>
            </w:tcBorders>
            <w:shd w:val="clear" w:color="auto" w:fill="auto"/>
            <w:noWrap/>
          </w:tcPr>
          <w:p w14:paraId="4CF450E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53CFB96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6308934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55.6</w:t>
            </w:r>
          </w:p>
        </w:tc>
      </w:tr>
      <w:tr w:rsidR="00EE34A2" w:rsidRPr="000B22C8" w14:paraId="1CAC4021"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653EA3F8" w14:textId="20B4394B"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r w:rsidRPr="00246712">
              <w:rPr>
                <w:rFonts w:asciiTheme="minorBidi" w:eastAsia="Times New Roman" w:hAnsiTheme="minorBidi"/>
                <w:color w:val="000000"/>
                <w:kern w:val="0"/>
                <w:sz w:val="16"/>
                <w:szCs w:val="16"/>
                <w14:ligatures w14:val="none"/>
              </w:rPr>
              <w:t xml:space="preserve">Lego et al., 2026 </w:t>
            </w:r>
            <w:r w:rsidRPr="00246712">
              <w:rPr>
                <w:rFonts w:asciiTheme="minorBidi" w:hAnsiTheme="minorBidi"/>
                <w:color w:val="000000"/>
                <w:sz w:val="16"/>
                <w:szCs w:val="16"/>
              </w:rPr>
              <w:fldChar w:fldCharType="begin" w:fldLock="1"/>
            </w:r>
            <w:r>
              <w:rPr>
                <w:rFonts w:asciiTheme="minorBidi" w:hAnsiTheme="minorBidi"/>
                <w:color w:val="000000"/>
                <w:sz w:val="16"/>
                <w:szCs w:val="16"/>
              </w:rPr>
              <w:instrText>ADDIN CSL_CITATION {"citationItems":[{"id":"ITEM-1","itemData":{"DOI":"10.1016/j.ajodo.2025.09.027","author":[{"dropping-particle":"","family":"Lego","given":"T","non-dropping-particle":"","parse-names":false,"suffix":""},{"dropping-particle":"","family":"Malhotra","given":"A","non-dropping-particle":"","parse-names":false,"suffix":""},{"dropping-particle":"","family":"Batra","given":"P","non-dropping-particle":"","parse-names":false,"suffix":""},{"dropping-particle":"","family":"Singh","given":"A K","non-dropping-particle":"","parse-names":false,"suffix":""},{"dropping-particle":"","family":"Talwar","given":"A","non-dropping-particle":"","parse-names":false,"suffix":""}],"container-title":"American Journal of Orthodontics and Dentofacial Orthopedics","id":"ITEM-1","issued":{"date-parts":[["2025"]]},"note":"Export Date: 18 March 2026","title":"Comparison of optical properties and color stability of 3-dimensional (3D) printed shape memory and thermoformed clear aligners: A single-center, prospective clinical trial study","type":"article-journal"},"uris":["http://www.mendeley.com/documents/?uuid=981755da-fc1d-4484-95d8-e2ac54923734"]}],"mendeley":{"formattedCitation":"[103]","plainTextFormattedCitation":"[103]","previouslyFormattedCitation":"[104]"},"properties":{"noteIndex":0},"schema":"https://github.com/citation-style-language/schema/raw/master/csl-citation.json"}</w:instrText>
            </w:r>
            <w:r w:rsidRPr="00246712">
              <w:rPr>
                <w:rFonts w:asciiTheme="minorBidi" w:hAnsiTheme="minorBidi"/>
                <w:color w:val="000000"/>
                <w:sz w:val="16"/>
                <w:szCs w:val="16"/>
              </w:rPr>
              <w:fldChar w:fldCharType="separate"/>
            </w:r>
            <w:r w:rsidRPr="00C31535">
              <w:rPr>
                <w:rFonts w:asciiTheme="minorBidi" w:hAnsiTheme="minorBidi"/>
                <w:noProof/>
                <w:color w:val="000000"/>
                <w:sz w:val="16"/>
                <w:szCs w:val="16"/>
              </w:rPr>
              <w:t>[103]</w:t>
            </w:r>
            <w:r w:rsidRPr="00246712">
              <w:rPr>
                <w:rFonts w:asciiTheme="minorBidi" w:hAnsiTheme="minorBidi"/>
                <w:color w:val="000000"/>
                <w:sz w:val="16"/>
                <w:szCs w:val="16"/>
              </w:rPr>
              <w:fldChar w:fldCharType="end"/>
            </w:r>
          </w:p>
        </w:tc>
        <w:tc>
          <w:tcPr>
            <w:tcW w:w="1863" w:type="dxa"/>
            <w:tcBorders>
              <w:top w:val="nil"/>
              <w:left w:val="nil"/>
              <w:bottom w:val="nil"/>
              <w:right w:val="nil"/>
            </w:tcBorders>
            <w:shd w:val="clear" w:color="auto" w:fill="auto"/>
            <w:noWrap/>
          </w:tcPr>
          <w:p w14:paraId="2F254BD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44DC574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40CC0D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084DE81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2FCDB63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815" w:type="dxa"/>
            <w:tcBorders>
              <w:top w:val="nil"/>
              <w:left w:val="nil"/>
              <w:bottom w:val="nil"/>
              <w:right w:val="nil"/>
            </w:tcBorders>
            <w:shd w:val="clear" w:color="auto" w:fill="auto"/>
            <w:noWrap/>
          </w:tcPr>
          <w:p w14:paraId="01D4192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0D49C7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7846CA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6E48720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6C4BFF1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1987" w:type="dxa"/>
            <w:tcBorders>
              <w:top w:val="nil"/>
              <w:left w:val="nil"/>
              <w:bottom w:val="nil"/>
              <w:right w:val="nil"/>
            </w:tcBorders>
            <w:shd w:val="clear" w:color="auto" w:fill="auto"/>
            <w:noWrap/>
          </w:tcPr>
          <w:p w14:paraId="3A86E3C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63DC7CC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63.6</w:t>
            </w:r>
          </w:p>
        </w:tc>
      </w:tr>
      <w:tr w:rsidR="00EE34A2" w:rsidRPr="000B22C8" w14:paraId="0A67AAAF"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1724F74D" w14:textId="445DECE1"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246712">
              <w:rPr>
                <w:rFonts w:asciiTheme="minorBidi" w:eastAsia="Times New Roman" w:hAnsiTheme="minorBidi"/>
                <w:color w:val="000000"/>
                <w:kern w:val="0"/>
                <w:sz w:val="16"/>
                <w:szCs w:val="16"/>
                <w14:ligatures w14:val="none"/>
              </w:rPr>
              <w:t>Linjawi</w:t>
            </w:r>
            <w:proofErr w:type="spellEnd"/>
            <w:r w:rsidRPr="00246712">
              <w:rPr>
                <w:rFonts w:asciiTheme="minorBidi" w:eastAsia="Times New Roman" w:hAnsiTheme="minorBidi"/>
                <w:color w:val="000000"/>
                <w:kern w:val="0"/>
                <w:sz w:val="16"/>
                <w:szCs w:val="16"/>
                <w14:ligatures w14:val="none"/>
              </w:rPr>
              <w:t xml:space="preserve"> &amp; </w:t>
            </w:r>
            <w:proofErr w:type="spellStart"/>
            <w:r w:rsidRPr="00246712">
              <w:rPr>
                <w:rFonts w:asciiTheme="minorBidi" w:eastAsia="Times New Roman" w:hAnsiTheme="minorBidi"/>
                <w:color w:val="000000"/>
                <w:kern w:val="0"/>
                <w:sz w:val="16"/>
                <w:szCs w:val="16"/>
                <w14:ligatures w14:val="none"/>
              </w:rPr>
              <w:t>Abushal</w:t>
            </w:r>
            <w:proofErr w:type="spellEnd"/>
            <w:r w:rsidRPr="00246712">
              <w:rPr>
                <w:rFonts w:asciiTheme="minorBidi" w:eastAsia="Times New Roman" w:hAnsiTheme="minorBidi"/>
                <w:color w:val="000000"/>
                <w:kern w:val="0"/>
                <w:sz w:val="16"/>
                <w:szCs w:val="16"/>
                <w14:ligatures w14:val="none"/>
              </w:rPr>
              <w:t xml:space="preserve">, 2022 </w:t>
            </w:r>
            <w:r w:rsidRPr="00246712">
              <w:rPr>
                <w:rFonts w:asciiTheme="minorBidi" w:hAnsiTheme="minorBidi"/>
                <w:sz w:val="16"/>
                <w:szCs w:val="16"/>
              </w:rPr>
              <w:fldChar w:fldCharType="begin" w:fldLock="1"/>
            </w:r>
            <w:r>
              <w:rPr>
                <w:rFonts w:asciiTheme="minorBidi" w:hAnsiTheme="minorBidi"/>
                <w:sz w:val="16"/>
                <w:szCs w:val="16"/>
              </w:rPr>
              <w:instrText>ADDIN CSL_CITATION {"citationItems":[{"id":"ITEM-1","itemData":{"DOI":"10.2319/042421-330.1","ISSN":"1945-7103","author":[{"dropping-particle":"","family":"Linjawi","given":"Amal I.","non-dropping-particle":"","parse-names":false,"suffix":""},{"dropping-particle":"","family":"Abushal","given":"Amal M.","non-dropping-particle":"","parse-names":false,"suffix":""}],"container-title":"The Angle Orthodontist","id":"ITEM-1","issue":"2","issued":{"date-parts":[["2022","3","1"]]},"page":"220-225","title":"Adaptational changes in clear aligner fit with time: A scanning electron microscopy analysis","type":"article-journal","volume":"92"},"uris":["http://www.mendeley.com/documents/?uuid=e8925e1c-1ad5-4c7f-802f-d40c63f2bdb7"]}],"mendeley":{"formattedCitation":"[96]","plainTextFormattedCitation":"[96]","previouslyFormattedCitation":"[97]"},"properties":{"noteIndex":0},"schema":"https://github.com/citation-style-language/schema/raw/master/csl-citation.json"}</w:instrText>
            </w:r>
            <w:r w:rsidRPr="00246712">
              <w:rPr>
                <w:rFonts w:asciiTheme="minorBidi" w:hAnsiTheme="minorBidi"/>
                <w:sz w:val="16"/>
                <w:szCs w:val="16"/>
              </w:rPr>
              <w:fldChar w:fldCharType="separate"/>
            </w:r>
            <w:r w:rsidRPr="00C31535">
              <w:rPr>
                <w:rFonts w:asciiTheme="minorBidi" w:hAnsiTheme="minorBidi"/>
                <w:noProof/>
                <w:sz w:val="16"/>
                <w:szCs w:val="16"/>
              </w:rPr>
              <w:t>[96]</w:t>
            </w:r>
            <w:r w:rsidRPr="00246712">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002FF92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1922" w:type="dxa"/>
            <w:tcBorders>
              <w:top w:val="nil"/>
              <w:left w:val="nil"/>
              <w:bottom w:val="nil"/>
              <w:right w:val="nil"/>
            </w:tcBorders>
            <w:shd w:val="clear" w:color="auto" w:fill="auto"/>
            <w:noWrap/>
          </w:tcPr>
          <w:p w14:paraId="4B75044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63323F2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151" w:type="dxa"/>
            <w:tcBorders>
              <w:top w:val="nil"/>
              <w:left w:val="nil"/>
              <w:bottom w:val="nil"/>
              <w:right w:val="nil"/>
            </w:tcBorders>
            <w:shd w:val="clear" w:color="auto" w:fill="auto"/>
            <w:noWrap/>
          </w:tcPr>
          <w:p w14:paraId="19AECE0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6223E31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815" w:type="dxa"/>
            <w:tcBorders>
              <w:top w:val="nil"/>
              <w:left w:val="nil"/>
              <w:bottom w:val="nil"/>
              <w:right w:val="nil"/>
            </w:tcBorders>
            <w:shd w:val="clear" w:color="auto" w:fill="auto"/>
            <w:noWrap/>
          </w:tcPr>
          <w:p w14:paraId="15CB30A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2F15A3C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6C39A6F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7AC84EF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22" w:type="dxa"/>
            <w:tcBorders>
              <w:top w:val="nil"/>
              <w:left w:val="nil"/>
              <w:bottom w:val="nil"/>
              <w:right w:val="nil"/>
            </w:tcBorders>
            <w:shd w:val="clear" w:color="auto" w:fill="auto"/>
            <w:noWrap/>
          </w:tcPr>
          <w:p w14:paraId="718A3AC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5EFD2D5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31C269F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66.7</w:t>
            </w:r>
          </w:p>
        </w:tc>
      </w:tr>
      <w:tr w:rsidR="00EE34A2" w:rsidRPr="000B22C8" w14:paraId="6A366A66"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460BA469" w14:textId="7AD657BB"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r w:rsidRPr="00246712">
              <w:rPr>
                <w:rFonts w:asciiTheme="minorBidi" w:eastAsia="Times New Roman" w:hAnsiTheme="minorBidi"/>
                <w:color w:val="000000"/>
                <w:kern w:val="0"/>
                <w:sz w:val="16"/>
                <w:szCs w:val="16"/>
                <w14:ligatures w14:val="none"/>
              </w:rPr>
              <w:t xml:space="preserve">Lira et al., 2023 </w:t>
            </w:r>
            <w:r w:rsidRPr="00246712">
              <w:rPr>
                <w:rFonts w:asciiTheme="minorBidi" w:hAnsiTheme="minorBidi"/>
                <w:sz w:val="16"/>
                <w:szCs w:val="16"/>
              </w:rPr>
              <w:fldChar w:fldCharType="begin" w:fldLock="1"/>
            </w:r>
            <w:r>
              <w:rPr>
                <w:rFonts w:asciiTheme="minorBidi" w:hAnsiTheme="minorBidi"/>
                <w:sz w:val="16"/>
                <w:szCs w:val="16"/>
              </w:rPr>
              <w:instrText>ADDIN CSL_CITATION {"citationItems":[{"id":"ITEM-1","itemData":{"DOI":"10.1016/j.ajodo.2023.05.015","ISSN":"08895406","author":[{"dropping-particle":"","family":"Lira","given":"Larine Ferreira","non-dropping-particle":"","parse-names":false,"suffix":""},{"dropping-particle":"","family":"Otero Amaral Vargas","given":"Eduardo","non-dropping-particle":"","parse-names":false,"suffix":""},{"dropping-particle":"","family":"Moreira da Silva","given":"Eduardo","non-dropping-particle":"","parse-names":false,"suffix":""},{"dropping-particle":"","family":"Nunes da Silva Meirelles Dória Maia","given":"Juliana","non-dropping-particle":"","parse-names":false,"suffix":""},{"dropping-particle":"","family":"Elzubair","given":"Amal","non-dropping-particle":"","parse-names":false,"suffix":""},{"dropping-particle":"","family":"Siqueira de Morais","given":"Liliane","non-dropping-particle":"","parse-names":false,"suffix":""},{"dropping-particle":"","family":"Alvaro de Souza Camargo Jr","given":"Sérgio","non-dropping-particle":"","parse-names":false,"suffix":""},{"dropping-particle":"","family":"Serra","given":"Glaucio","non-dropping-particle":"","parse-names":false,"suffix":""},{"dropping-particle":"","family":"Gomes de Souza","given":"Margareth Maria","non-dropping-particle":"","parse-names":false,"suffix":""}],"container-title":"American Journal of Orthodontics and Dentofacial Orthopedics","id":"ITEM-1","issue":"2","issued":{"date-parts":[["2023","8"]]},"page":"e51-e63","title":"Effect of oral exposure on chemical, physical, mechanical, and morphologic properties of clear orthodontic aligners","type":"article-journal","volume":"164"},"uris":["http://www.mendeley.com/documents/?uuid=31f476a6-ab71-4b46-9529-9bd329e93ca3"]}],"mendeley":{"formattedCitation":"[15]","plainTextFormattedCitation":"[15]","previouslyFormattedCitation":"[15]"},"properties":{"noteIndex":0},"schema":"https://github.com/citation-style-language/schema/raw/master/csl-citation.json"}</w:instrText>
            </w:r>
            <w:r w:rsidRPr="00246712">
              <w:rPr>
                <w:rFonts w:asciiTheme="minorBidi" w:hAnsiTheme="minorBidi"/>
                <w:sz w:val="16"/>
                <w:szCs w:val="16"/>
              </w:rPr>
              <w:fldChar w:fldCharType="separate"/>
            </w:r>
            <w:r w:rsidRPr="00246712">
              <w:rPr>
                <w:rFonts w:asciiTheme="minorBidi" w:hAnsiTheme="minorBidi"/>
                <w:noProof/>
                <w:sz w:val="16"/>
                <w:szCs w:val="16"/>
              </w:rPr>
              <w:t>[15]</w:t>
            </w:r>
            <w:r w:rsidRPr="00246712">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47AF29C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25E1DA9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648C520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7634FCE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69D7735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09701A9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2CB8A16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42145C4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22261A8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2AD40F4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87" w:type="dxa"/>
            <w:tcBorders>
              <w:top w:val="nil"/>
              <w:left w:val="nil"/>
              <w:bottom w:val="nil"/>
              <w:right w:val="nil"/>
            </w:tcBorders>
            <w:shd w:val="clear" w:color="auto" w:fill="auto"/>
            <w:noWrap/>
          </w:tcPr>
          <w:p w14:paraId="245BAC2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6BE924D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63.6</w:t>
            </w:r>
          </w:p>
        </w:tc>
      </w:tr>
      <w:tr w:rsidR="00EE34A2" w:rsidRPr="000B22C8" w14:paraId="05CA7199"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449CAA4A" w14:textId="294B8E7F"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r w:rsidRPr="00246712">
              <w:rPr>
                <w:rFonts w:asciiTheme="minorBidi" w:eastAsia="Times New Roman" w:hAnsiTheme="minorBidi"/>
                <w:color w:val="000000"/>
                <w:kern w:val="0"/>
                <w:sz w:val="16"/>
                <w:szCs w:val="16"/>
                <w14:ligatures w14:val="none"/>
              </w:rPr>
              <w:t xml:space="preserve">Papadopoulou et al., 2019 </w:t>
            </w:r>
            <w:r w:rsidRPr="00246712">
              <w:rPr>
                <w:rFonts w:asciiTheme="minorBidi" w:hAnsiTheme="minorBidi"/>
                <w:sz w:val="16"/>
                <w:szCs w:val="16"/>
              </w:rPr>
              <w:fldChar w:fldCharType="begin" w:fldLock="1"/>
            </w:r>
            <w:r w:rsidRPr="00246712">
              <w:rPr>
                <w:rFonts w:asciiTheme="minorBidi" w:hAnsiTheme="minorBidi"/>
                <w:sz w:val="16"/>
                <w:szCs w:val="16"/>
              </w:rPr>
              <w:instrText>ADDIN CSL_CITATION {"citationItems":[{"id":"ITEM-1","itemData":{"DOI":"10.3390/ma12152406","ISSN":"1996-1944","abstract":"The aim of this study was to estimate the possible changes of surface roughness and the mechanical properties of Invisalign® appliances over one- and two-week of service. Forty appliances with attachments were retrieved after the end of orthodontic treatment from different patients. Half of them had been used for one week (1W), and the rest for two weeks (2W). Ten unused Invisalign® appliances were used as the control (CON). An equal number of teeth possessing attachments were cut of aligners deriving from all groups (1W, 2W, and CON), and the Sa, Sq, Sz, Sc, and Sv roughness parameters of the internal surface of the aligner attachment area and the opposite lingual side (which was in contact to enamel) were determined by optical profilometry. Then, ten first molars originating from all groups were embedded in acrylic resin, and were ground and polished. Instrumented indentation testing (IIT) was performed in order to determine the Martens hardness (HM), indentation modulus (EIT), and relaxation index (RIT), according to ISO 14577-2002. The produced data were statistically processed by one- or two-way analysis of variance (ANOVA) and multiple comparison post-hoc tests (a = 0.05). Both the surface roughness and mechanical properties of the retrieved groups (1W and 2W) showed statistically significant differences compared with CON, but without statistically significant differences between each other. The roughness variables of the as-received material were shown to be reduced after intraoral service demonstrating a wear effect. Ageing has a detrimental effect on the surface roughness and mechanical properties of Invisalign® appliances, although this effect is restricted to the first week of clinical usage.","author":[{"dropping-particle":"","family":"Papadopoulou","given":"Alexandra K.","non-dropping-particle":"","parse-names":false,"suffix":""},{"dropping-particle":"","family":"Cantele","given":"Aurelie","non-dropping-particle":"","parse-names":false,"suffix":""},{"dropping-particle":"","family":"Polychronis","given":"Georgios","non-dropping-particle":"","parse-names":false,"suffix":""},{"dropping-particle":"","family":"Zinelis","given":"Spiros","non-dropping-particle":"","parse-names":false,"suffix":""},{"dropping-particle":"","family":"Eliades","given":"Theodore","non-dropping-particle":"","parse-names":false,"suffix":""}],"container-title":"Materials","id":"ITEM-1","issue":"15","issued":{"date-parts":[["2019","7","28"]]},"page":"2406","title":"Changes in Roughness and Mechanical Properties of Invisalign® Appliances after One- and Two-Weeks Use","type":"article-journal","volume":"12"},"uris":["http://www.mendeley.com/documents/?uuid=0762671f-0e17-484d-95ef-0d228423ea55"]}],"mendeley":{"formattedCitation":"[37]","plainTextFormattedCitation":"[37]","previouslyFormattedCitation":"[37]"},"properties":{"noteIndex":0},"schema":"https://github.com/citation-style-language/schema/raw/master/csl-citation.json"}</w:instrText>
            </w:r>
            <w:r w:rsidRPr="00246712">
              <w:rPr>
                <w:rFonts w:asciiTheme="minorBidi" w:hAnsiTheme="minorBidi"/>
                <w:sz w:val="16"/>
                <w:szCs w:val="16"/>
              </w:rPr>
              <w:fldChar w:fldCharType="separate"/>
            </w:r>
            <w:r w:rsidRPr="00246712">
              <w:rPr>
                <w:rFonts w:asciiTheme="minorBidi" w:hAnsiTheme="minorBidi"/>
                <w:noProof/>
                <w:sz w:val="16"/>
                <w:szCs w:val="16"/>
              </w:rPr>
              <w:t>[37]</w:t>
            </w:r>
            <w:r w:rsidRPr="00246712">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493DAD8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5E37DDC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2044EAA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151" w:type="dxa"/>
            <w:tcBorders>
              <w:top w:val="nil"/>
              <w:left w:val="nil"/>
              <w:bottom w:val="nil"/>
              <w:right w:val="nil"/>
            </w:tcBorders>
            <w:shd w:val="clear" w:color="auto" w:fill="auto"/>
            <w:noWrap/>
          </w:tcPr>
          <w:p w14:paraId="0EEBA33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00E19A4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69E83DB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0D9501A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286D5D5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06A31EF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22" w:type="dxa"/>
            <w:tcBorders>
              <w:top w:val="nil"/>
              <w:left w:val="nil"/>
              <w:bottom w:val="nil"/>
              <w:right w:val="nil"/>
            </w:tcBorders>
            <w:shd w:val="clear" w:color="auto" w:fill="auto"/>
            <w:noWrap/>
          </w:tcPr>
          <w:p w14:paraId="3AE69D7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3C34255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37885FA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55.6</w:t>
            </w:r>
          </w:p>
        </w:tc>
      </w:tr>
      <w:tr w:rsidR="00EE34A2" w:rsidRPr="000B22C8" w14:paraId="7D511BA4"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4274AB96" w14:textId="5780A18D"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246712">
              <w:rPr>
                <w:rFonts w:asciiTheme="minorBidi" w:eastAsia="Times New Roman" w:hAnsiTheme="minorBidi"/>
                <w:color w:val="000000"/>
                <w:kern w:val="0"/>
                <w:sz w:val="16"/>
                <w:szCs w:val="16"/>
                <w14:ligatures w14:val="none"/>
              </w:rPr>
              <w:lastRenderedPageBreak/>
              <w:t>Sayahpour</w:t>
            </w:r>
            <w:proofErr w:type="spellEnd"/>
            <w:r w:rsidRPr="00246712">
              <w:rPr>
                <w:rFonts w:asciiTheme="minorBidi" w:eastAsia="Times New Roman" w:hAnsiTheme="minorBidi"/>
                <w:color w:val="000000"/>
                <w:kern w:val="0"/>
                <w:sz w:val="16"/>
                <w:szCs w:val="16"/>
                <w14:ligatures w14:val="none"/>
              </w:rPr>
              <w:t xml:space="preserve"> et al., 2024a </w:t>
            </w:r>
            <w:r w:rsidRPr="00246712">
              <w:rPr>
                <w:rFonts w:asciiTheme="minorBidi" w:hAnsiTheme="minorBidi"/>
                <w:sz w:val="16"/>
                <w:szCs w:val="16"/>
              </w:rPr>
              <w:fldChar w:fldCharType="begin" w:fldLock="1"/>
            </w:r>
            <w:r>
              <w:rPr>
                <w:rFonts w:asciiTheme="minorBidi" w:hAnsiTheme="minorBidi"/>
                <w:sz w:val="16"/>
                <w:szCs w:val="16"/>
              </w:rPr>
              <w:instrText>ADDIN CSL_CITATION {"citationItems":[{"id":"ITEM-1","itemData":{"DOI":"10.1093/ejo/cjad063","ISSN":"0141-5387","author":[{"dropping-particle":"","family":"Sayahpour","given":"Babak","non-dropping-particle":"","parse-names":false,"suffix":""},{"dropping-particle":"","family":"Zinelis","given":"Spiros","non-dropping-particle":"","parse-names":false,"suffix":""},{"dropping-particle":"","family":"Polychronis","given":"Georgios","non-dropping-particle":"","parse-names":false,"suffix":""},{"dropping-particle":"","family":"Eliades","given":"Theodore","non-dropping-particle":"","parse-names":false,"suffix":""},{"dropping-particle":"","family":"Goteni","given":"Malcolm","non-dropping-particle":"","parse-names":false,"suffix":""},{"dropping-particle":"","family":"Kopp","given":"Stefan","non-dropping-particle":"","parse-names":false,"suffix":""},{"dropping-particle":"","family":"Eslami","given":"Sara","non-dropping-particle":"","parse-names":false,"suffix":""}],"container-title":"European Journal of Orthodontics","id":"ITEM-1","issue":"1","issued":{"date-parts":[["2024","1","1"]]},"title":"Effects of intraoral aging on mechanical properties of directly printed aligners vs. thermoformed aligners: an in vivo prospective investigation","type":"article-journal","volume":"46"},"uris":["http://www.mendeley.com/documents/?uuid=202caac5-43dd-482a-bcc5-65c1f5e9ac00"]}],"mendeley":{"formattedCitation":"[108]","plainTextFormattedCitation":"[108]","previouslyFormattedCitation":"[109]"},"properties":{"noteIndex":0},"schema":"https://github.com/citation-style-language/schema/raw/master/csl-citation.json"}</w:instrText>
            </w:r>
            <w:r w:rsidRPr="00246712">
              <w:rPr>
                <w:rFonts w:asciiTheme="minorBidi" w:hAnsiTheme="minorBidi"/>
                <w:sz w:val="16"/>
                <w:szCs w:val="16"/>
              </w:rPr>
              <w:fldChar w:fldCharType="separate"/>
            </w:r>
            <w:r w:rsidRPr="00C31535">
              <w:rPr>
                <w:rFonts w:asciiTheme="minorBidi" w:hAnsiTheme="minorBidi"/>
                <w:noProof/>
                <w:sz w:val="16"/>
                <w:szCs w:val="16"/>
              </w:rPr>
              <w:t>[108]</w:t>
            </w:r>
            <w:r w:rsidRPr="00246712">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10E76B6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190FA34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07F7033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2A42AEC5"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5B377CF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815" w:type="dxa"/>
            <w:tcBorders>
              <w:top w:val="nil"/>
              <w:left w:val="nil"/>
              <w:bottom w:val="nil"/>
              <w:right w:val="nil"/>
            </w:tcBorders>
            <w:shd w:val="clear" w:color="auto" w:fill="auto"/>
            <w:noWrap/>
          </w:tcPr>
          <w:p w14:paraId="7AC2729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0B3CB2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C86449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2602BE2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5246DCA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038CBD4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4945296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60</w:t>
            </w:r>
          </w:p>
        </w:tc>
      </w:tr>
      <w:tr w:rsidR="00EE34A2" w:rsidRPr="000B22C8" w14:paraId="7C7A0632"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2B9E65A1" w14:textId="4DAF9686"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246712">
              <w:rPr>
                <w:rFonts w:asciiTheme="minorBidi" w:eastAsia="Times New Roman" w:hAnsiTheme="minorBidi"/>
                <w:color w:val="000000"/>
                <w:kern w:val="0"/>
                <w:sz w:val="16"/>
                <w:szCs w:val="16"/>
                <w14:ligatures w14:val="none"/>
              </w:rPr>
              <w:t>Sayahpour</w:t>
            </w:r>
            <w:proofErr w:type="spellEnd"/>
            <w:r w:rsidRPr="00246712">
              <w:rPr>
                <w:rFonts w:asciiTheme="minorBidi" w:eastAsia="Times New Roman" w:hAnsiTheme="minorBidi"/>
                <w:color w:val="000000"/>
                <w:kern w:val="0"/>
                <w:sz w:val="16"/>
                <w:szCs w:val="16"/>
                <w14:ligatures w14:val="none"/>
              </w:rPr>
              <w:t xml:space="preserve"> et al., 2024b </w:t>
            </w:r>
            <w:r w:rsidRPr="00246712">
              <w:rPr>
                <w:rFonts w:asciiTheme="minorBidi" w:hAnsiTheme="minorBidi"/>
                <w:sz w:val="16"/>
                <w:szCs w:val="16"/>
              </w:rPr>
              <w:fldChar w:fldCharType="begin" w:fldLock="1"/>
            </w:r>
            <w:r>
              <w:rPr>
                <w:rFonts w:asciiTheme="minorBidi" w:hAnsiTheme="minorBidi"/>
                <w:sz w:val="16"/>
                <w:szCs w:val="16"/>
              </w:rPr>
              <w:instrText>ADDIN CSL_CITATION {"citationItems":[{"id":"ITEM-1","itemData":{"DOI":"10.1111/ocr.12822","ISSN":"1601-6335","author":[{"dropping-particle":"","family":"Sayahpour","given":"Babak","non-dropping-particle":"","parse-names":false,"suffix":""},{"dropping-particle":"","family":"Eslami","given":"Sara","non-dropping-particle":"","parse-names":false,"suffix":""},{"dropping-particle":"","family":"Stuhlfelder","given":"Jakob","non-dropping-particle":"","parse-names":false,"suffix":""},{"dropping-particle":"","family":"Bühling","given":"Sarah","non-dropping-particle":"","parse-names":false,"suffix":""},{"dropping-particle":"","family":"Dahmer","given":"Iulia","non-dropping-particle":"","parse-names":false,"suffix":""},{"dropping-particle":"","family":"Goteni","given":"Malcolm","non-dropping-particle":"","parse-names":false,"suffix":""},{"dropping-particle":"","family":"Kopp","given":"Stefan","non-dropping-particle":"","parse-names":false,"suffix":""},{"dropping-particle":"","family":"Nucci","given":"Ludovica","non-dropping-particle":"","parse-names":false,"suffix":""}],"container-title":"Orthodontics &amp; Craniofacial Research","id":"ITEM-1","issue":"5","issued":{"date-parts":[["2024","10","11"]]},"page":"831-838","title":"Evaluation of thickness of 3D printed versus thermoformed aligners: A prospective in vivo ageing experiment","type":"article-journal","volume":"27"},"uris":["http://www.mendeley.com/documents/?uuid=8521436f-0090-4576-9122-0183aeef07ff"]}],"mendeley":{"formattedCitation":"[100]","plainTextFormattedCitation":"[100]","previouslyFormattedCitation":"[101]"},"properties":{"noteIndex":0},"schema":"https://github.com/citation-style-language/schema/raw/master/csl-citation.json"}</w:instrText>
            </w:r>
            <w:r w:rsidRPr="00246712">
              <w:rPr>
                <w:rFonts w:asciiTheme="minorBidi" w:hAnsiTheme="minorBidi"/>
                <w:sz w:val="16"/>
                <w:szCs w:val="16"/>
              </w:rPr>
              <w:fldChar w:fldCharType="separate"/>
            </w:r>
            <w:r w:rsidRPr="00C31535">
              <w:rPr>
                <w:rFonts w:asciiTheme="minorBidi" w:hAnsiTheme="minorBidi"/>
                <w:noProof/>
                <w:sz w:val="16"/>
                <w:szCs w:val="16"/>
              </w:rPr>
              <w:t>[100]</w:t>
            </w:r>
            <w:r w:rsidRPr="00246712">
              <w:rPr>
                <w:rFonts w:asciiTheme="minorBidi" w:hAnsiTheme="minorBidi"/>
                <w:sz w:val="16"/>
                <w:szCs w:val="16"/>
              </w:rPr>
              <w:fldChar w:fldCharType="end"/>
            </w:r>
          </w:p>
        </w:tc>
        <w:tc>
          <w:tcPr>
            <w:tcW w:w="1863" w:type="dxa"/>
            <w:tcBorders>
              <w:top w:val="nil"/>
              <w:left w:val="nil"/>
              <w:bottom w:val="nil"/>
              <w:right w:val="nil"/>
            </w:tcBorders>
            <w:shd w:val="clear" w:color="auto" w:fill="auto"/>
            <w:noWrap/>
          </w:tcPr>
          <w:p w14:paraId="76AD9F7C"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22" w:type="dxa"/>
            <w:tcBorders>
              <w:top w:val="nil"/>
              <w:left w:val="nil"/>
              <w:bottom w:val="nil"/>
              <w:right w:val="nil"/>
            </w:tcBorders>
            <w:shd w:val="clear" w:color="auto" w:fill="auto"/>
            <w:noWrap/>
          </w:tcPr>
          <w:p w14:paraId="7DCC5B9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23E3BB1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728DB447"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531" w:type="dxa"/>
            <w:tcBorders>
              <w:top w:val="nil"/>
              <w:left w:val="nil"/>
              <w:bottom w:val="nil"/>
              <w:right w:val="nil"/>
            </w:tcBorders>
            <w:shd w:val="clear" w:color="auto" w:fill="auto"/>
            <w:noWrap/>
          </w:tcPr>
          <w:p w14:paraId="4149EDD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815" w:type="dxa"/>
            <w:tcBorders>
              <w:top w:val="nil"/>
              <w:left w:val="nil"/>
              <w:bottom w:val="nil"/>
              <w:right w:val="nil"/>
            </w:tcBorders>
            <w:shd w:val="clear" w:color="auto" w:fill="auto"/>
            <w:noWrap/>
          </w:tcPr>
          <w:p w14:paraId="4C36609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D247AF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5B8F189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1BAF738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34EF187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1987" w:type="dxa"/>
            <w:tcBorders>
              <w:top w:val="nil"/>
              <w:left w:val="nil"/>
              <w:bottom w:val="nil"/>
              <w:right w:val="nil"/>
            </w:tcBorders>
            <w:shd w:val="clear" w:color="auto" w:fill="auto"/>
            <w:noWrap/>
          </w:tcPr>
          <w:p w14:paraId="538A900E"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99" w:type="dxa"/>
            <w:tcBorders>
              <w:top w:val="nil"/>
              <w:left w:val="nil"/>
              <w:bottom w:val="nil"/>
              <w:right w:val="nil"/>
            </w:tcBorders>
            <w:shd w:val="clear" w:color="auto" w:fill="auto"/>
            <w:noWrap/>
          </w:tcPr>
          <w:p w14:paraId="05C54879"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54.5</w:t>
            </w:r>
          </w:p>
        </w:tc>
      </w:tr>
      <w:tr w:rsidR="00EE34A2" w:rsidRPr="000B22C8" w14:paraId="7F90162D" w14:textId="77777777" w:rsidTr="00246712">
        <w:trPr>
          <w:gridAfter w:val="1"/>
          <w:wAfter w:w="17" w:type="dxa"/>
          <w:trHeight w:val="359"/>
        </w:trPr>
        <w:tc>
          <w:tcPr>
            <w:tcW w:w="4891" w:type="dxa"/>
            <w:tcBorders>
              <w:top w:val="nil"/>
              <w:left w:val="nil"/>
              <w:bottom w:val="nil"/>
              <w:right w:val="nil"/>
            </w:tcBorders>
            <w:shd w:val="clear" w:color="auto" w:fill="auto"/>
            <w:noWrap/>
            <w:hideMark/>
          </w:tcPr>
          <w:p w14:paraId="704CADDD" w14:textId="65816AEA"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r w:rsidRPr="00246712">
              <w:rPr>
                <w:rFonts w:asciiTheme="minorBidi" w:eastAsia="Times New Roman" w:hAnsiTheme="minorBidi"/>
                <w:color w:val="000000"/>
                <w:kern w:val="0"/>
                <w:sz w:val="16"/>
                <w:szCs w:val="16"/>
                <w:lang w:val="de-CH"/>
                <w14:ligatures w14:val="none"/>
              </w:rPr>
              <w:t xml:space="preserve">Sebar et al., 2025 </w:t>
            </w:r>
            <w:r w:rsidRPr="00246712">
              <w:rPr>
                <w:rFonts w:asciiTheme="minorBidi" w:hAnsiTheme="minorBidi"/>
                <w:color w:val="000000"/>
                <w:sz w:val="16"/>
                <w:szCs w:val="16"/>
              </w:rPr>
              <w:fldChar w:fldCharType="begin" w:fldLock="1"/>
            </w:r>
            <w:r>
              <w:rPr>
                <w:rFonts w:asciiTheme="minorBidi" w:hAnsiTheme="minorBidi"/>
                <w:color w:val="000000"/>
                <w:sz w:val="16"/>
                <w:szCs w:val="16"/>
                <w:lang w:val="de-CH"/>
              </w:rPr>
              <w:instrText>ADDIN CSL_CITATION {"citationItems":[{"id":"ITEM-1","itemData":{"DOI":"10.1109/MeMeA65319.2025.11068024","author":[{"dropping-particle":"","family":"Es Sebar","given":"L","non-dropping-particle":"","parse-names":false,"suffix":""},{"dropping-particle":"","family":"Sannino","given":"I","non-dropping-particle":"","parse-names":false,"suffix":""},{"dropping-particle":"","family":"Testa","given":"P","non-dropping-particle":"","parse-names":false,"suffix":""},{"dropping-particle":"","family":"Posadino","given":"M","non-dropping-particle":"","parse-names":false,"suffix":""},{"dropping-particle":"","family":"Scotti","given":"N","non-dropping-particle":"","parse-names":false,"suffix":""},{"dropping-particle":"","family":"Angelini","given":"E","non-dropping-particle":"","parse-names":false,"suffix":""},{"dropping-particle":"","family":"Grassini","given":"S","non-dropping-particle":"","parse-names":false,"suffix":""},{"dropping-particle":"","family":"Alovisi","given":"M","non-dropping-particle":"","parse-names":false,"suffix":""}],"container-title":"IEEE International Symposium on Medical Measurements and Applications, MeMeA","id":"ITEM-1","issue":"2025","issued":{"date-parts":[["2025"]]},"note":"Export Date: 18 March 2026","title":"Evaluation of In-Vivo Aging of 3D printed Orthodontic Aligners","type":"paper-conference"},"uris":["http://www.mendeley.com/documents/?uuid=a957b7ac-80f4-4ea1-b3ec-6ff82e2bdc91"]}],"mendeley":{"formattedCitation":"[105]","plainTextFormattedCitation":"[105]","previouslyFormattedCitation":"[106]"},"properties":{"noteIndex":0},"schema":"https://github.com/citation-style-language/schema/raw/master/csl-citation.json"}</w:instrText>
            </w:r>
            <w:r w:rsidRPr="00246712">
              <w:rPr>
                <w:rFonts w:asciiTheme="minorBidi" w:hAnsiTheme="minorBidi"/>
                <w:color w:val="000000"/>
                <w:sz w:val="16"/>
                <w:szCs w:val="16"/>
              </w:rPr>
              <w:fldChar w:fldCharType="separate"/>
            </w:r>
            <w:r w:rsidRPr="00C31535">
              <w:rPr>
                <w:rFonts w:asciiTheme="minorBidi" w:hAnsiTheme="minorBidi"/>
                <w:noProof/>
                <w:color w:val="000000"/>
                <w:sz w:val="16"/>
                <w:szCs w:val="16"/>
                <w:lang w:val="de-CH"/>
              </w:rPr>
              <w:t>[105]</w:t>
            </w:r>
            <w:r w:rsidRPr="00246712">
              <w:rPr>
                <w:rFonts w:asciiTheme="minorBidi" w:hAnsiTheme="minorBidi"/>
                <w:color w:val="000000"/>
                <w:sz w:val="16"/>
                <w:szCs w:val="16"/>
              </w:rPr>
              <w:fldChar w:fldCharType="end"/>
            </w:r>
          </w:p>
        </w:tc>
        <w:tc>
          <w:tcPr>
            <w:tcW w:w="1863" w:type="dxa"/>
            <w:tcBorders>
              <w:top w:val="nil"/>
              <w:left w:val="nil"/>
              <w:bottom w:val="nil"/>
              <w:right w:val="nil"/>
            </w:tcBorders>
            <w:shd w:val="clear" w:color="auto" w:fill="auto"/>
            <w:noWrap/>
          </w:tcPr>
          <w:p w14:paraId="48B6E14F"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2AEE6E70"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80F974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nil"/>
              <w:right w:val="nil"/>
            </w:tcBorders>
            <w:shd w:val="clear" w:color="auto" w:fill="auto"/>
            <w:noWrap/>
          </w:tcPr>
          <w:p w14:paraId="292A66E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531" w:type="dxa"/>
            <w:tcBorders>
              <w:top w:val="nil"/>
              <w:left w:val="nil"/>
              <w:bottom w:val="nil"/>
              <w:right w:val="nil"/>
            </w:tcBorders>
            <w:shd w:val="clear" w:color="auto" w:fill="auto"/>
            <w:noWrap/>
          </w:tcPr>
          <w:p w14:paraId="5ABAF1B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w:t>
            </w:r>
          </w:p>
        </w:tc>
        <w:tc>
          <w:tcPr>
            <w:tcW w:w="2815" w:type="dxa"/>
            <w:tcBorders>
              <w:top w:val="nil"/>
              <w:left w:val="nil"/>
              <w:bottom w:val="nil"/>
              <w:right w:val="nil"/>
            </w:tcBorders>
            <w:shd w:val="clear" w:color="auto" w:fill="auto"/>
            <w:noWrap/>
          </w:tcPr>
          <w:p w14:paraId="50D85AC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171FD8A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nil"/>
              <w:right w:val="nil"/>
            </w:tcBorders>
            <w:shd w:val="clear" w:color="auto" w:fill="auto"/>
            <w:noWrap/>
          </w:tcPr>
          <w:p w14:paraId="3BC6DC9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nil"/>
              <w:right w:val="nil"/>
            </w:tcBorders>
            <w:shd w:val="clear" w:color="auto" w:fill="auto"/>
            <w:noWrap/>
          </w:tcPr>
          <w:p w14:paraId="5708DACD"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nil"/>
              <w:right w:val="nil"/>
            </w:tcBorders>
            <w:shd w:val="clear" w:color="auto" w:fill="auto"/>
            <w:noWrap/>
          </w:tcPr>
          <w:p w14:paraId="09BEDDC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nil"/>
              <w:right w:val="nil"/>
            </w:tcBorders>
            <w:shd w:val="clear" w:color="auto" w:fill="auto"/>
            <w:noWrap/>
          </w:tcPr>
          <w:p w14:paraId="7A4F56C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99" w:type="dxa"/>
            <w:tcBorders>
              <w:top w:val="nil"/>
              <w:left w:val="nil"/>
              <w:bottom w:val="nil"/>
              <w:right w:val="nil"/>
            </w:tcBorders>
            <w:shd w:val="clear" w:color="auto" w:fill="auto"/>
            <w:noWrap/>
          </w:tcPr>
          <w:p w14:paraId="50C06283"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70</w:t>
            </w:r>
          </w:p>
        </w:tc>
      </w:tr>
      <w:tr w:rsidR="00EE34A2" w:rsidRPr="000B22C8" w14:paraId="5C94DFC1" w14:textId="77777777" w:rsidTr="00246712">
        <w:trPr>
          <w:gridAfter w:val="1"/>
          <w:wAfter w:w="17" w:type="dxa"/>
          <w:trHeight w:val="359"/>
        </w:trPr>
        <w:tc>
          <w:tcPr>
            <w:tcW w:w="4891" w:type="dxa"/>
            <w:tcBorders>
              <w:top w:val="nil"/>
              <w:left w:val="nil"/>
              <w:bottom w:val="single" w:sz="4" w:space="0" w:color="auto"/>
              <w:right w:val="nil"/>
            </w:tcBorders>
            <w:shd w:val="clear" w:color="auto" w:fill="auto"/>
            <w:noWrap/>
            <w:hideMark/>
          </w:tcPr>
          <w:p w14:paraId="55AFAD57" w14:textId="70D59CF6" w:rsidR="00EE34A2" w:rsidRPr="00246712" w:rsidRDefault="00EE34A2" w:rsidP="00EE34A2">
            <w:pPr>
              <w:spacing w:after="0" w:line="240" w:lineRule="auto"/>
              <w:rPr>
                <w:rFonts w:asciiTheme="minorBidi" w:eastAsia="Times New Roman" w:hAnsiTheme="minorBidi"/>
                <w:color w:val="000000"/>
                <w:kern w:val="0"/>
                <w:sz w:val="16"/>
                <w:szCs w:val="16"/>
                <w14:ligatures w14:val="none"/>
              </w:rPr>
            </w:pPr>
            <w:proofErr w:type="spellStart"/>
            <w:r w:rsidRPr="00246712">
              <w:rPr>
                <w:rFonts w:asciiTheme="minorBidi" w:eastAsia="Times New Roman" w:hAnsiTheme="minorBidi"/>
                <w:color w:val="000000"/>
                <w:kern w:val="0"/>
                <w:sz w:val="16"/>
                <w:szCs w:val="16"/>
                <w14:ligatures w14:val="none"/>
              </w:rPr>
              <w:t>Siotou</w:t>
            </w:r>
            <w:proofErr w:type="spellEnd"/>
            <w:r w:rsidRPr="00246712">
              <w:rPr>
                <w:rFonts w:asciiTheme="minorBidi" w:eastAsia="Times New Roman" w:hAnsiTheme="minorBidi"/>
                <w:color w:val="000000"/>
                <w:kern w:val="0"/>
                <w:sz w:val="16"/>
                <w:szCs w:val="16"/>
                <w14:ligatures w14:val="none"/>
              </w:rPr>
              <w:t xml:space="preserve"> et al., 2025 </w:t>
            </w:r>
            <w:r w:rsidRPr="00246712">
              <w:rPr>
                <w:rFonts w:asciiTheme="minorBidi" w:hAnsiTheme="minorBidi"/>
                <w:sz w:val="16"/>
                <w:szCs w:val="16"/>
              </w:rPr>
              <w:fldChar w:fldCharType="begin" w:fldLock="1"/>
            </w:r>
            <w:r>
              <w:rPr>
                <w:rFonts w:asciiTheme="minorBidi" w:hAnsiTheme="minorBidi"/>
                <w:sz w:val="16"/>
                <w:szCs w:val="16"/>
              </w:rPr>
              <w:instrText>ADDIN CSL_CITATION {"citationItems":[{"id":"ITEM-1","itemData":{"DOI":"10.1111/ocr.12867","ISSN":"1601-6335","author":[{"dropping-particle":"","family":"Siotou","given":"Kalliopi","non-dropping-particle":"","parse-names":false,"suffix":""},{"dropping-particle":"","family":"Chountalas","given":"Theofanis","non-dropping-particle":"","parse-names":false,"suffix":""},{"dropping-particle":"","family":"Katsavrias","given":"Athanasios","non-dropping-particle":"","parse-names":false,"suffix":""},{"dropping-particle":"","family":"Siotos","given":"Charalampos","non-dropping-particle":"","parse-names":false,"suffix":""},{"dropping-particle":"","family":"Mpalias","given":"Konstantinos","non-dropping-particle":"","parse-names":false,"suffix":""},{"dropping-particle":"","family":"Semitekolos","given":"Dionysios","non-dropping-particle":"","parse-names":false,"suffix":""},{"dropping-particle":"","family":"Charitidis","given":"Constantinos","non-dropping-particle":"","parse-names":false,"suffix":""},{"dropping-particle":"","family":"Tsolakis","given":"Apostolos I.","non-dropping-particle":"","parse-names":false,"suffix":""}],"container-title":"Orthodontics &amp; Craniofacial Research","id":"ITEM-1","issue":"2","issued":{"date-parts":[["2025","4","23"]]},"page":"253-260","title":"The Mechanical Properties of Orthodontic Aligners of Clear Aligner After Intraoral Use in Different Time Periods","type":"article-journal","volume":"28"},"uris":["http://www.mendeley.com/documents/?uuid=e88bb9a6-a916-47bb-bf0e-d5ad1ed93a4b"]}],"mendeley":{"formattedCitation":"[102]","plainTextFormattedCitation":"[102]","previouslyFormattedCitation":"[103]"},"properties":{"noteIndex":0},"schema":"https://github.com/citation-style-language/schema/raw/master/csl-citation.json"}</w:instrText>
            </w:r>
            <w:r w:rsidRPr="00246712">
              <w:rPr>
                <w:rFonts w:asciiTheme="minorBidi" w:hAnsiTheme="minorBidi"/>
                <w:sz w:val="16"/>
                <w:szCs w:val="16"/>
              </w:rPr>
              <w:fldChar w:fldCharType="separate"/>
            </w:r>
            <w:r w:rsidRPr="00C31535">
              <w:rPr>
                <w:rFonts w:asciiTheme="minorBidi" w:hAnsiTheme="minorBidi"/>
                <w:noProof/>
                <w:sz w:val="16"/>
                <w:szCs w:val="16"/>
              </w:rPr>
              <w:t>[102]</w:t>
            </w:r>
            <w:r w:rsidRPr="00246712">
              <w:rPr>
                <w:rFonts w:asciiTheme="minorBidi" w:hAnsiTheme="minorBidi"/>
                <w:sz w:val="16"/>
                <w:szCs w:val="16"/>
              </w:rPr>
              <w:fldChar w:fldCharType="end"/>
            </w:r>
          </w:p>
        </w:tc>
        <w:tc>
          <w:tcPr>
            <w:tcW w:w="1863" w:type="dxa"/>
            <w:tcBorders>
              <w:top w:val="nil"/>
              <w:left w:val="nil"/>
              <w:bottom w:val="single" w:sz="4" w:space="0" w:color="auto"/>
              <w:right w:val="nil"/>
            </w:tcBorders>
            <w:shd w:val="clear" w:color="auto" w:fill="auto"/>
            <w:noWrap/>
          </w:tcPr>
          <w:p w14:paraId="4F99B92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single" w:sz="4" w:space="0" w:color="auto"/>
              <w:right w:val="nil"/>
            </w:tcBorders>
            <w:shd w:val="clear" w:color="auto" w:fill="auto"/>
            <w:noWrap/>
          </w:tcPr>
          <w:p w14:paraId="5760B8C6"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single" w:sz="4" w:space="0" w:color="auto"/>
              <w:right w:val="nil"/>
            </w:tcBorders>
            <w:shd w:val="clear" w:color="auto" w:fill="auto"/>
            <w:noWrap/>
          </w:tcPr>
          <w:p w14:paraId="349D7932"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2151" w:type="dxa"/>
            <w:tcBorders>
              <w:top w:val="nil"/>
              <w:left w:val="nil"/>
              <w:bottom w:val="single" w:sz="4" w:space="0" w:color="auto"/>
              <w:right w:val="nil"/>
            </w:tcBorders>
            <w:shd w:val="clear" w:color="auto" w:fill="auto"/>
            <w:noWrap/>
          </w:tcPr>
          <w:p w14:paraId="183F30E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531" w:type="dxa"/>
            <w:tcBorders>
              <w:top w:val="nil"/>
              <w:left w:val="nil"/>
              <w:bottom w:val="single" w:sz="4" w:space="0" w:color="auto"/>
              <w:right w:val="nil"/>
            </w:tcBorders>
            <w:shd w:val="clear" w:color="auto" w:fill="auto"/>
            <w:noWrap/>
          </w:tcPr>
          <w:p w14:paraId="4B440188"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2815" w:type="dxa"/>
            <w:tcBorders>
              <w:top w:val="nil"/>
              <w:left w:val="nil"/>
              <w:bottom w:val="single" w:sz="4" w:space="0" w:color="auto"/>
              <w:right w:val="nil"/>
            </w:tcBorders>
            <w:shd w:val="clear" w:color="auto" w:fill="auto"/>
            <w:noWrap/>
          </w:tcPr>
          <w:p w14:paraId="0AFBA2AA"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single" w:sz="4" w:space="0" w:color="auto"/>
              <w:right w:val="nil"/>
            </w:tcBorders>
            <w:shd w:val="clear" w:color="auto" w:fill="auto"/>
            <w:noWrap/>
          </w:tcPr>
          <w:p w14:paraId="729C089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57" w:type="dxa"/>
            <w:tcBorders>
              <w:top w:val="nil"/>
              <w:left w:val="nil"/>
              <w:bottom w:val="single" w:sz="4" w:space="0" w:color="auto"/>
              <w:right w:val="nil"/>
            </w:tcBorders>
            <w:shd w:val="clear" w:color="auto" w:fill="auto"/>
            <w:noWrap/>
          </w:tcPr>
          <w:p w14:paraId="6702182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779" w:type="dxa"/>
            <w:tcBorders>
              <w:top w:val="nil"/>
              <w:left w:val="nil"/>
              <w:bottom w:val="single" w:sz="4" w:space="0" w:color="auto"/>
              <w:right w:val="nil"/>
            </w:tcBorders>
            <w:shd w:val="clear" w:color="auto" w:fill="auto"/>
            <w:noWrap/>
          </w:tcPr>
          <w:p w14:paraId="5664F90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Y</w:t>
            </w:r>
          </w:p>
        </w:tc>
        <w:tc>
          <w:tcPr>
            <w:tcW w:w="1922" w:type="dxa"/>
            <w:tcBorders>
              <w:top w:val="nil"/>
              <w:left w:val="nil"/>
              <w:bottom w:val="single" w:sz="4" w:space="0" w:color="auto"/>
              <w:right w:val="nil"/>
            </w:tcBorders>
            <w:shd w:val="clear" w:color="auto" w:fill="auto"/>
            <w:noWrap/>
          </w:tcPr>
          <w:p w14:paraId="7AB1E36B"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NA</w:t>
            </w:r>
          </w:p>
        </w:tc>
        <w:tc>
          <w:tcPr>
            <w:tcW w:w="1987" w:type="dxa"/>
            <w:tcBorders>
              <w:top w:val="nil"/>
              <w:left w:val="nil"/>
              <w:bottom w:val="single" w:sz="4" w:space="0" w:color="auto"/>
              <w:right w:val="nil"/>
            </w:tcBorders>
            <w:shd w:val="clear" w:color="auto" w:fill="auto"/>
            <w:noWrap/>
          </w:tcPr>
          <w:p w14:paraId="156E7F54"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UC</w:t>
            </w:r>
          </w:p>
        </w:tc>
        <w:tc>
          <w:tcPr>
            <w:tcW w:w="1999" w:type="dxa"/>
            <w:tcBorders>
              <w:top w:val="nil"/>
              <w:left w:val="nil"/>
              <w:bottom w:val="single" w:sz="4" w:space="0" w:color="auto"/>
              <w:right w:val="nil"/>
            </w:tcBorders>
            <w:shd w:val="clear" w:color="auto" w:fill="auto"/>
            <w:noWrap/>
          </w:tcPr>
          <w:p w14:paraId="4B176BF1" w14:textId="77777777" w:rsidR="00EE34A2" w:rsidRPr="000B22C8" w:rsidRDefault="00EE34A2" w:rsidP="00EE34A2">
            <w:pPr>
              <w:spacing w:after="0" w:line="240" w:lineRule="auto"/>
              <w:rPr>
                <w:rFonts w:asciiTheme="minorBidi" w:eastAsia="Times New Roman" w:hAnsiTheme="minorBidi"/>
                <w:color w:val="000000"/>
                <w:kern w:val="0"/>
                <w:sz w:val="16"/>
                <w:szCs w:val="16"/>
                <w14:ligatures w14:val="none"/>
              </w:rPr>
            </w:pPr>
            <w:r w:rsidRPr="000B22C8">
              <w:rPr>
                <w:rFonts w:asciiTheme="minorBidi" w:hAnsiTheme="minorBidi"/>
                <w:color w:val="000000"/>
                <w:sz w:val="16"/>
                <w:szCs w:val="16"/>
              </w:rPr>
              <w:t>80</w:t>
            </w:r>
          </w:p>
        </w:tc>
      </w:tr>
      <w:tr w:rsidR="00A033FD" w:rsidRPr="00FD4043" w14:paraId="29F669B9" w14:textId="77777777" w:rsidTr="00246712">
        <w:trPr>
          <w:trHeight w:val="359"/>
        </w:trPr>
        <w:tc>
          <w:tcPr>
            <w:tcW w:w="29148" w:type="dxa"/>
            <w:gridSpan w:val="14"/>
            <w:tcBorders>
              <w:top w:val="single" w:sz="4" w:space="0" w:color="auto"/>
              <w:left w:val="nil"/>
              <w:right w:val="nil"/>
            </w:tcBorders>
            <w:shd w:val="clear" w:color="auto" w:fill="auto"/>
            <w:noWrap/>
          </w:tcPr>
          <w:p w14:paraId="5658DBD5" w14:textId="77777777" w:rsidR="00A033FD" w:rsidRDefault="00A033FD" w:rsidP="00A033FD">
            <w:pPr>
              <w:spacing w:after="0" w:line="240" w:lineRule="auto"/>
              <w:rPr>
                <w:rFonts w:ascii="Calibri" w:hAnsi="Calibri" w:cs="Calibri"/>
                <w:color w:val="000000"/>
              </w:rPr>
            </w:pPr>
            <w:r w:rsidRPr="000B22C8">
              <w:rPr>
                <w:rFonts w:asciiTheme="minorBidi" w:eastAsia="Times New Roman" w:hAnsiTheme="minorBidi"/>
                <w:kern w:val="0"/>
                <w:sz w:val="16"/>
                <w:szCs w:val="16"/>
                <w14:ligatures w14:val="none"/>
              </w:rPr>
              <w:t>Abbreviations: N, No; NA, not applicable; UC, unclear; Y, yes.</w:t>
            </w:r>
          </w:p>
        </w:tc>
      </w:tr>
      <w:bookmarkEnd w:id="0"/>
    </w:tbl>
    <w:p w14:paraId="206D1FE2" w14:textId="5905C04A" w:rsidR="00246712" w:rsidRDefault="00246712" w:rsidP="00246712">
      <w:pPr>
        <w:spacing w:after="0"/>
      </w:pPr>
    </w:p>
    <w:p w14:paraId="210EF651" w14:textId="77777777" w:rsidR="00246712" w:rsidRDefault="00246712" w:rsidP="00246712">
      <w:pPr>
        <w:spacing w:after="0"/>
        <w:ind w:left="-13230"/>
      </w:pPr>
    </w:p>
    <w:p w14:paraId="7B24FE01" w14:textId="77777777" w:rsidR="005304A6" w:rsidRDefault="005304A6">
      <w:pPr>
        <w:rPr>
          <w:b/>
          <w:bCs/>
        </w:rPr>
      </w:pPr>
      <w:r>
        <w:rPr>
          <w:b/>
          <w:bCs/>
        </w:rPr>
        <w:br w:type="page"/>
      </w:r>
    </w:p>
    <w:p w14:paraId="5C362847" w14:textId="11B58110" w:rsidR="00246712" w:rsidRDefault="00246712" w:rsidP="00246712">
      <w:pPr>
        <w:spacing w:after="0"/>
        <w:ind w:left="-13230"/>
        <w:rPr>
          <w:rFonts w:asciiTheme="minorBidi" w:hAnsiTheme="minorBidi"/>
          <w:sz w:val="18"/>
          <w:szCs w:val="18"/>
        </w:rPr>
      </w:pPr>
      <w:r w:rsidRPr="005304A6">
        <w:rPr>
          <w:b/>
          <w:bCs/>
        </w:rPr>
        <w:lastRenderedPageBreak/>
        <w:t>Table S3.</w:t>
      </w:r>
      <w:r>
        <w:t xml:space="preserve"> </w:t>
      </w:r>
      <w:proofErr w:type="spellStart"/>
      <w:r>
        <w:rPr>
          <w:rFonts w:asciiTheme="minorBidi" w:hAnsiTheme="minorBidi"/>
          <w:sz w:val="18"/>
          <w:szCs w:val="18"/>
        </w:rPr>
        <w:t>RoB</w:t>
      </w:r>
      <w:proofErr w:type="spellEnd"/>
      <w:r w:rsidRPr="000B22C8">
        <w:rPr>
          <w:rFonts w:asciiTheme="minorBidi" w:hAnsiTheme="minorBidi"/>
          <w:sz w:val="18"/>
          <w:szCs w:val="18"/>
        </w:rPr>
        <w:t xml:space="preserve"> assessment of </w:t>
      </w:r>
      <w:proofErr w:type="spellStart"/>
      <w:r>
        <w:rPr>
          <w:rFonts w:asciiTheme="minorBidi" w:hAnsiTheme="minorBidi"/>
          <w:sz w:val="18"/>
          <w:szCs w:val="18"/>
        </w:rPr>
        <w:t>randomisied</w:t>
      </w:r>
      <w:proofErr w:type="spellEnd"/>
      <w:r>
        <w:rPr>
          <w:rFonts w:asciiTheme="minorBidi" w:hAnsiTheme="minorBidi"/>
          <w:sz w:val="18"/>
          <w:szCs w:val="18"/>
        </w:rPr>
        <w:t xml:space="preserve"> RCT</w:t>
      </w:r>
      <w:r w:rsidRPr="000B22C8">
        <w:rPr>
          <w:rFonts w:asciiTheme="minorBidi" w:hAnsiTheme="minorBidi"/>
          <w:sz w:val="18"/>
          <w:szCs w:val="18"/>
        </w:rPr>
        <w:t xml:space="preserve"> using the </w:t>
      </w:r>
      <w:r w:rsidRPr="00246712">
        <w:rPr>
          <w:rFonts w:asciiTheme="minorBidi" w:hAnsiTheme="minorBidi"/>
          <w:sz w:val="18"/>
          <w:szCs w:val="18"/>
        </w:rPr>
        <w:t xml:space="preserve">Cochrane </w:t>
      </w:r>
      <w:proofErr w:type="spellStart"/>
      <w:r w:rsidRPr="00246712">
        <w:rPr>
          <w:rFonts w:asciiTheme="minorBidi" w:hAnsiTheme="minorBidi"/>
          <w:sz w:val="18"/>
          <w:szCs w:val="18"/>
        </w:rPr>
        <w:t>RoB</w:t>
      </w:r>
      <w:proofErr w:type="spellEnd"/>
      <w:r w:rsidRPr="00246712">
        <w:rPr>
          <w:rFonts w:asciiTheme="minorBidi" w:hAnsiTheme="minorBidi"/>
          <w:sz w:val="18"/>
          <w:szCs w:val="18"/>
        </w:rPr>
        <w:t xml:space="preserve"> 2 tool</w:t>
      </w:r>
      <w:r>
        <w:rPr>
          <w:rFonts w:asciiTheme="minorBidi" w:hAnsiTheme="minorBidi"/>
          <w:sz w:val="18"/>
          <w:szCs w:val="18"/>
        </w:rPr>
        <w:t>.</w:t>
      </w:r>
    </w:p>
    <w:p w14:paraId="54E13FE8" w14:textId="77777777" w:rsidR="00246712" w:rsidRDefault="00246712" w:rsidP="00246712">
      <w:pPr>
        <w:spacing w:after="0"/>
        <w:rPr>
          <w:rFonts w:asciiTheme="minorBidi" w:hAnsiTheme="minorBidi"/>
          <w:sz w:val="18"/>
          <w:szCs w:val="18"/>
        </w:rPr>
      </w:pPr>
    </w:p>
    <w:tbl>
      <w:tblPr>
        <w:tblpPr w:leftFromText="180" w:rightFromText="180" w:vertAnchor="text" w:horzAnchor="page" w:tblpX="971" w:tblpY="51"/>
        <w:tblW w:w="29134" w:type="dxa"/>
        <w:tblLook w:val="04A0" w:firstRow="1" w:lastRow="0" w:firstColumn="1" w:lastColumn="0" w:noHBand="0" w:noVBand="1"/>
      </w:tblPr>
      <w:tblGrid>
        <w:gridCol w:w="1235"/>
        <w:gridCol w:w="563"/>
        <w:gridCol w:w="563"/>
        <w:gridCol w:w="563"/>
        <w:gridCol w:w="1228"/>
        <w:gridCol w:w="1344"/>
        <w:gridCol w:w="563"/>
        <w:gridCol w:w="563"/>
        <w:gridCol w:w="562"/>
        <w:gridCol w:w="562"/>
        <w:gridCol w:w="562"/>
        <w:gridCol w:w="562"/>
        <w:gridCol w:w="562"/>
        <w:gridCol w:w="1227"/>
        <w:gridCol w:w="1340"/>
        <w:gridCol w:w="562"/>
        <w:gridCol w:w="562"/>
        <w:gridCol w:w="562"/>
        <w:gridCol w:w="562"/>
        <w:gridCol w:w="1227"/>
        <w:gridCol w:w="1320"/>
        <w:gridCol w:w="562"/>
        <w:gridCol w:w="562"/>
        <w:gridCol w:w="562"/>
        <w:gridCol w:w="562"/>
        <w:gridCol w:w="562"/>
        <w:gridCol w:w="1227"/>
        <w:gridCol w:w="1340"/>
        <w:gridCol w:w="562"/>
        <w:gridCol w:w="562"/>
        <w:gridCol w:w="562"/>
        <w:gridCol w:w="1227"/>
        <w:gridCol w:w="1339"/>
        <w:gridCol w:w="1375"/>
        <w:gridCol w:w="1336"/>
      </w:tblGrid>
      <w:tr w:rsidR="005304A6" w:rsidRPr="00246712" w14:paraId="27848EBC" w14:textId="77777777" w:rsidTr="009834D7">
        <w:trPr>
          <w:trHeight w:val="300"/>
        </w:trPr>
        <w:tc>
          <w:tcPr>
            <w:tcW w:w="1235" w:type="dxa"/>
            <w:vMerge w:val="restart"/>
            <w:tcBorders>
              <w:top w:val="single" w:sz="4" w:space="0" w:color="auto"/>
              <w:left w:val="single" w:sz="4" w:space="0" w:color="auto"/>
              <w:bottom w:val="single" w:sz="4" w:space="0" w:color="auto"/>
              <w:right w:val="single" w:sz="4" w:space="0" w:color="auto"/>
            </w:tcBorders>
            <w:shd w:val="clear" w:color="000000" w:fill="000000"/>
            <w:vAlign w:val="center"/>
            <w:hideMark/>
          </w:tcPr>
          <w:p w14:paraId="681C2BFA" w14:textId="77777777" w:rsidR="005304A6" w:rsidRPr="00246712" w:rsidRDefault="005304A6" w:rsidP="005304A6">
            <w:pPr>
              <w:spacing w:after="0" w:line="240" w:lineRule="auto"/>
              <w:jc w:val="center"/>
              <w:rPr>
                <w:rFonts w:asciiTheme="minorBidi" w:eastAsia="Times New Roman" w:hAnsiTheme="minorBidi"/>
                <w:b/>
                <w:bCs/>
                <w:color w:val="FFFFFF"/>
                <w:kern w:val="0"/>
                <w:sz w:val="16"/>
                <w:szCs w:val="16"/>
                <w14:ligatures w14:val="none"/>
              </w:rPr>
            </w:pPr>
            <w:r w:rsidRPr="00246712">
              <w:rPr>
                <w:rFonts w:asciiTheme="minorBidi" w:eastAsia="Times New Roman" w:hAnsiTheme="minorBidi"/>
                <w:b/>
                <w:bCs/>
                <w:color w:val="FFFFFF"/>
                <w:kern w:val="0"/>
                <w:sz w:val="16"/>
                <w:szCs w:val="16"/>
                <w14:ligatures w14:val="none"/>
              </w:rPr>
              <w:t>Unique ID</w:t>
            </w:r>
          </w:p>
        </w:tc>
        <w:tc>
          <w:tcPr>
            <w:tcW w:w="4261"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1BCFF6EE" w14:textId="77777777" w:rsidR="005304A6" w:rsidRPr="00246712" w:rsidRDefault="005304A6" w:rsidP="005304A6">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1. Randomization process</w:t>
            </w:r>
          </w:p>
        </w:tc>
        <w:tc>
          <w:tcPr>
            <w:tcW w:w="6503" w:type="dxa"/>
            <w:gridSpan w:val="9"/>
            <w:tcBorders>
              <w:top w:val="single" w:sz="4" w:space="0" w:color="auto"/>
              <w:left w:val="nil"/>
              <w:bottom w:val="single" w:sz="4" w:space="0" w:color="auto"/>
              <w:right w:val="single" w:sz="4" w:space="0" w:color="auto"/>
            </w:tcBorders>
            <w:shd w:val="clear" w:color="000000" w:fill="DDEBF7"/>
            <w:noWrap/>
            <w:vAlign w:val="center"/>
            <w:hideMark/>
          </w:tcPr>
          <w:p w14:paraId="1440CB86" w14:textId="77777777" w:rsidR="005304A6" w:rsidRPr="00246712" w:rsidRDefault="005304A6" w:rsidP="005304A6">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2. Deviations from intended interventions</w:t>
            </w:r>
          </w:p>
        </w:tc>
        <w:tc>
          <w:tcPr>
            <w:tcW w:w="4795" w:type="dxa"/>
            <w:gridSpan w:val="6"/>
            <w:tcBorders>
              <w:top w:val="single" w:sz="4" w:space="0" w:color="auto"/>
              <w:left w:val="nil"/>
              <w:bottom w:val="single" w:sz="4" w:space="0" w:color="auto"/>
              <w:right w:val="single" w:sz="4" w:space="0" w:color="auto"/>
            </w:tcBorders>
            <w:shd w:val="clear" w:color="000000" w:fill="E2EFDA"/>
            <w:noWrap/>
            <w:vAlign w:val="center"/>
            <w:hideMark/>
          </w:tcPr>
          <w:p w14:paraId="14CC9CF6" w14:textId="77777777" w:rsidR="005304A6" w:rsidRPr="00246712" w:rsidRDefault="005304A6" w:rsidP="005304A6">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3. Mis</w:t>
            </w:r>
            <w:r>
              <w:rPr>
                <w:rFonts w:asciiTheme="minorBidi" w:eastAsia="Times New Roman" w:hAnsiTheme="minorBidi"/>
                <w:b/>
                <w:bCs/>
                <w:color w:val="000000"/>
                <w:kern w:val="0"/>
                <w:sz w:val="16"/>
                <w:szCs w:val="16"/>
                <w14:ligatures w14:val="none"/>
              </w:rPr>
              <w:t>s</w:t>
            </w:r>
            <w:r w:rsidRPr="00246712">
              <w:rPr>
                <w:rFonts w:asciiTheme="minorBidi" w:eastAsia="Times New Roman" w:hAnsiTheme="minorBidi"/>
                <w:b/>
                <w:bCs/>
                <w:color w:val="000000"/>
                <w:kern w:val="0"/>
                <w:sz w:val="16"/>
                <w:szCs w:val="16"/>
                <w14:ligatures w14:val="none"/>
              </w:rPr>
              <w:t>ing outcome data</w:t>
            </w:r>
          </w:p>
        </w:tc>
        <w:tc>
          <w:tcPr>
            <w:tcW w:w="5377" w:type="dxa"/>
            <w:gridSpan w:val="7"/>
            <w:tcBorders>
              <w:top w:val="single" w:sz="4" w:space="0" w:color="auto"/>
              <w:left w:val="nil"/>
              <w:bottom w:val="single" w:sz="4" w:space="0" w:color="auto"/>
              <w:right w:val="single" w:sz="4" w:space="0" w:color="auto"/>
            </w:tcBorders>
            <w:shd w:val="clear" w:color="000000" w:fill="F8CBAD"/>
            <w:noWrap/>
            <w:vAlign w:val="center"/>
            <w:hideMark/>
          </w:tcPr>
          <w:p w14:paraId="08AE5593" w14:textId="77777777" w:rsidR="005304A6" w:rsidRPr="00246712" w:rsidRDefault="005304A6" w:rsidP="005304A6">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4. Measurement of the outcome</w:t>
            </w:r>
          </w:p>
        </w:tc>
        <w:tc>
          <w:tcPr>
            <w:tcW w:w="4252" w:type="dxa"/>
            <w:gridSpan w:val="5"/>
            <w:tcBorders>
              <w:top w:val="single" w:sz="4" w:space="0" w:color="auto"/>
              <w:left w:val="nil"/>
              <w:bottom w:val="single" w:sz="4" w:space="0" w:color="auto"/>
              <w:right w:val="single" w:sz="4" w:space="0" w:color="auto"/>
            </w:tcBorders>
            <w:shd w:val="clear" w:color="000000" w:fill="FFE699"/>
            <w:noWrap/>
            <w:vAlign w:val="center"/>
            <w:hideMark/>
          </w:tcPr>
          <w:p w14:paraId="23159177" w14:textId="77777777" w:rsidR="005304A6" w:rsidRPr="00246712" w:rsidRDefault="005304A6" w:rsidP="005304A6">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5. Selection of the reported result</w:t>
            </w:r>
          </w:p>
        </w:tc>
        <w:tc>
          <w:tcPr>
            <w:tcW w:w="2711" w:type="dxa"/>
            <w:gridSpan w:val="2"/>
            <w:tcBorders>
              <w:top w:val="single" w:sz="4" w:space="0" w:color="auto"/>
              <w:left w:val="nil"/>
              <w:bottom w:val="single" w:sz="4" w:space="0" w:color="auto"/>
              <w:right w:val="single" w:sz="4" w:space="0" w:color="auto"/>
            </w:tcBorders>
            <w:shd w:val="clear" w:color="000000" w:fill="002060"/>
            <w:noWrap/>
            <w:vAlign w:val="center"/>
            <w:hideMark/>
          </w:tcPr>
          <w:p w14:paraId="0D7A4A64" w14:textId="77777777" w:rsidR="005304A6" w:rsidRPr="00246712" w:rsidRDefault="005304A6" w:rsidP="005304A6">
            <w:pPr>
              <w:spacing w:after="0" w:line="240" w:lineRule="auto"/>
              <w:jc w:val="center"/>
              <w:rPr>
                <w:rFonts w:asciiTheme="minorBidi" w:eastAsia="Times New Roman" w:hAnsiTheme="minorBidi"/>
                <w:b/>
                <w:bCs/>
                <w:color w:val="FFFFFF"/>
                <w:kern w:val="0"/>
                <w:sz w:val="16"/>
                <w:szCs w:val="16"/>
                <w14:ligatures w14:val="none"/>
              </w:rPr>
            </w:pPr>
            <w:r w:rsidRPr="00246712">
              <w:rPr>
                <w:rFonts w:asciiTheme="minorBidi" w:eastAsia="Times New Roman" w:hAnsiTheme="minorBidi"/>
                <w:b/>
                <w:bCs/>
                <w:color w:val="FFFFFF"/>
                <w:kern w:val="0"/>
                <w:sz w:val="16"/>
                <w:szCs w:val="16"/>
                <w14:ligatures w14:val="none"/>
              </w:rPr>
              <w:t>Domain 6. Overall Bias</w:t>
            </w:r>
          </w:p>
        </w:tc>
      </w:tr>
      <w:tr w:rsidR="007D5124" w:rsidRPr="00246712" w14:paraId="284E6AE2" w14:textId="77777777" w:rsidTr="009834D7">
        <w:trPr>
          <w:trHeight w:val="300"/>
        </w:trPr>
        <w:tc>
          <w:tcPr>
            <w:tcW w:w="1235" w:type="dxa"/>
            <w:vMerge/>
            <w:tcBorders>
              <w:top w:val="single" w:sz="4" w:space="0" w:color="auto"/>
              <w:left w:val="single" w:sz="4" w:space="0" w:color="auto"/>
              <w:bottom w:val="single" w:sz="4" w:space="0" w:color="auto"/>
              <w:right w:val="single" w:sz="4" w:space="0" w:color="auto"/>
            </w:tcBorders>
            <w:vAlign w:val="center"/>
            <w:hideMark/>
          </w:tcPr>
          <w:p w14:paraId="236482D0" w14:textId="77777777" w:rsidR="005304A6" w:rsidRPr="00246712" w:rsidRDefault="005304A6" w:rsidP="005304A6">
            <w:pPr>
              <w:spacing w:after="0" w:line="240" w:lineRule="auto"/>
              <w:rPr>
                <w:rFonts w:asciiTheme="minorBidi" w:eastAsia="Times New Roman" w:hAnsiTheme="minorBidi"/>
                <w:b/>
                <w:bCs/>
                <w:color w:val="FFFFFF"/>
                <w:kern w:val="0"/>
                <w:sz w:val="16"/>
                <w:szCs w:val="16"/>
                <w14:ligatures w14:val="none"/>
              </w:rPr>
            </w:pPr>
          </w:p>
        </w:tc>
        <w:tc>
          <w:tcPr>
            <w:tcW w:w="563" w:type="dxa"/>
            <w:tcBorders>
              <w:top w:val="nil"/>
              <w:left w:val="nil"/>
              <w:bottom w:val="single" w:sz="4" w:space="0" w:color="auto"/>
              <w:right w:val="single" w:sz="4" w:space="0" w:color="auto"/>
            </w:tcBorders>
            <w:shd w:val="clear" w:color="000000" w:fill="FFF2CC"/>
            <w:noWrap/>
            <w:hideMark/>
          </w:tcPr>
          <w:p w14:paraId="61FB2819"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1.1</w:t>
            </w:r>
          </w:p>
        </w:tc>
        <w:tc>
          <w:tcPr>
            <w:tcW w:w="563" w:type="dxa"/>
            <w:tcBorders>
              <w:top w:val="nil"/>
              <w:left w:val="nil"/>
              <w:bottom w:val="single" w:sz="4" w:space="0" w:color="auto"/>
              <w:right w:val="single" w:sz="4" w:space="0" w:color="auto"/>
            </w:tcBorders>
            <w:shd w:val="clear" w:color="000000" w:fill="FFF2CC"/>
            <w:noWrap/>
            <w:hideMark/>
          </w:tcPr>
          <w:p w14:paraId="7B3E2C4F"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1.2</w:t>
            </w:r>
          </w:p>
        </w:tc>
        <w:tc>
          <w:tcPr>
            <w:tcW w:w="563" w:type="dxa"/>
            <w:tcBorders>
              <w:top w:val="nil"/>
              <w:left w:val="nil"/>
              <w:bottom w:val="single" w:sz="4" w:space="0" w:color="auto"/>
              <w:right w:val="single" w:sz="4" w:space="0" w:color="auto"/>
            </w:tcBorders>
            <w:shd w:val="clear" w:color="000000" w:fill="FFF2CC"/>
            <w:noWrap/>
            <w:hideMark/>
          </w:tcPr>
          <w:p w14:paraId="1B36BBC0"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1.3</w:t>
            </w:r>
          </w:p>
        </w:tc>
        <w:tc>
          <w:tcPr>
            <w:tcW w:w="1228" w:type="dxa"/>
            <w:tcBorders>
              <w:top w:val="nil"/>
              <w:left w:val="nil"/>
              <w:bottom w:val="single" w:sz="4" w:space="0" w:color="auto"/>
              <w:right w:val="single" w:sz="4" w:space="0" w:color="auto"/>
            </w:tcBorders>
            <w:shd w:val="clear" w:color="000000" w:fill="FFF2CC"/>
            <w:noWrap/>
            <w:hideMark/>
          </w:tcPr>
          <w:p w14:paraId="1DCD81B4"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1.0 Algorithm result</w:t>
            </w:r>
          </w:p>
        </w:tc>
        <w:tc>
          <w:tcPr>
            <w:tcW w:w="1344" w:type="dxa"/>
            <w:tcBorders>
              <w:top w:val="nil"/>
              <w:left w:val="nil"/>
              <w:bottom w:val="single" w:sz="4" w:space="0" w:color="auto"/>
              <w:right w:val="single" w:sz="4" w:space="0" w:color="auto"/>
            </w:tcBorders>
            <w:shd w:val="clear" w:color="000000" w:fill="FFF2CC"/>
            <w:noWrap/>
            <w:hideMark/>
          </w:tcPr>
          <w:p w14:paraId="6FF59EC5"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1.0 Assessor's Judgement</w:t>
            </w:r>
          </w:p>
        </w:tc>
        <w:tc>
          <w:tcPr>
            <w:tcW w:w="563" w:type="dxa"/>
            <w:tcBorders>
              <w:top w:val="nil"/>
              <w:left w:val="nil"/>
              <w:bottom w:val="single" w:sz="4" w:space="0" w:color="auto"/>
              <w:right w:val="single" w:sz="4" w:space="0" w:color="auto"/>
            </w:tcBorders>
            <w:shd w:val="clear" w:color="000000" w:fill="DDEBF7"/>
            <w:noWrap/>
            <w:hideMark/>
          </w:tcPr>
          <w:p w14:paraId="3CD8D73D"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2.1</w:t>
            </w:r>
          </w:p>
        </w:tc>
        <w:tc>
          <w:tcPr>
            <w:tcW w:w="563" w:type="dxa"/>
            <w:tcBorders>
              <w:top w:val="nil"/>
              <w:left w:val="nil"/>
              <w:bottom w:val="single" w:sz="4" w:space="0" w:color="auto"/>
              <w:right w:val="single" w:sz="4" w:space="0" w:color="auto"/>
            </w:tcBorders>
            <w:shd w:val="clear" w:color="000000" w:fill="DDEBF7"/>
            <w:noWrap/>
            <w:hideMark/>
          </w:tcPr>
          <w:p w14:paraId="65C619BF"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2.2</w:t>
            </w:r>
          </w:p>
        </w:tc>
        <w:tc>
          <w:tcPr>
            <w:tcW w:w="562" w:type="dxa"/>
            <w:tcBorders>
              <w:top w:val="nil"/>
              <w:left w:val="nil"/>
              <w:bottom w:val="single" w:sz="4" w:space="0" w:color="auto"/>
              <w:right w:val="single" w:sz="4" w:space="0" w:color="auto"/>
            </w:tcBorders>
            <w:shd w:val="clear" w:color="000000" w:fill="DDEBF7"/>
            <w:noWrap/>
            <w:hideMark/>
          </w:tcPr>
          <w:p w14:paraId="7BD6A560"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2.3</w:t>
            </w:r>
          </w:p>
        </w:tc>
        <w:tc>
          <w:tcPr>
            <w:tcW w:w="562" w:type="dxa"/>
            <w:tcBorders>
              <w:top w:val="nil"/>
              <w:left w:val="nil"/>
              <w:bottom w:val="single" w:sz="4" w:space="0" w:color="auto"/>
              <w:right w:val="single" w:sz="4" w:space="0" w:color="auto"/>
            </w:tcBorders>
            <w:shd w:val="clear" w:color="000000" w:fill="DDEBF7"/>
            <w:noWrap/>
            <w:hideMark/>
          </w:tcPr>
          <w:p w14:paraId="749350C7"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2.4</w:t>
            </w:r>
          </w:p>
        </w:tc>
        <w:tc>
          <w:tcPr>
            <w:tcW w:w="562" w:type="dxa"/>
            <w:tcBorders>
              <w:top w:val="nil"/>
              <w:left w:val="nil"/>
              <w:bottom w:val="single" w:sz="4" w:space="0" w:color="auto"/>
              <w:right w:val="single" w:sz="4" w:space="0" w:color="auto"/>
            </w:tcBorders>
            <w:shd w:val="clear" w:color="000000" w:fill="DDEBF7"/>
            <w:noWrap/>
            <w:hideMark/>
          </w:tcPr>
          <w:p w14:paraId="528EDAB4"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2.5</w:t>
            </w:r>
          </w:p>
        </w:tc>
        <w:tc>
          <w:tcPr>
            <w:tcW w:w="562" w:type="dxa"/>
            <w:tcBorders>
              <w:top w:val="nil"/>
              <w:left w:val="nil"/>
              <w:bottom w:val="single" w:sz="4" w:space="0" w:color="auto"/>
              <w:right w:val="single" w:sz="4" w:space="0" w:color="auto"/>
            </w:tcBorders>
            <w:shd w:val="clear" w:color="000000" w:fill="DDEBF7"/>
            <w:noWrap/>
            <w:hideMark/>
          </w:tcPr>
          <w:p w14:paraId="4D690155"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2.6</w:t>
            </w:r>
          </w:p>
        </w:tc>
        <w:tc>
          <w:tcPr>
            <w:tcW w:w="562" w:type="dxa"/>
            <w:tcBorders>
              <w:top w:val="nil"/>
              <w:left w:val="nil"/>
              <w:bottom w:val="single" w:sz="4" w:space="0" w:color="auto"/>
              <w:right w:val="single" w:sz="4" w:space="0" w:color="auto"/>
            </w:tcBorders>
            <w:shd w:val="clear" w:color="000000" w:fill="DDEBF7"/>
            <w:noWrap/>
            <w:hideMark/>
          </w:tcPr>
          <w:p w14:paraId="506500D4"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2.7</w:t>
            </w:r>
          </w:p>
        </w:tc>
        <w:tc>
          <w:tcPr>
            <w:tcW w:w="1227" w:type="dxa"/>
            <w:tcBorders>
              <w:top w:val="nil"/>
              <w:left w:val="nil"/>
              <w:bottom w:val="single" w:sz="4" w:space="0" w:color="auto"/>
              <w:right w:val="single" w:sz="4" w:space="0" w:color="auto"/>
            </w:tcBorders>
            <w:shd w:val="clear" w:color="000000" w:fill="DDEBF7"/>
            <w:noWrap/>
            <w:hideMark/>
          </w:tcPr>
          <w:p w14:paraId="4DDDB4E2"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2.0 Algorithm result</w:t>
            </w:r>
          </w:p>
        </w:tc>
        <w:tc>
          <w:tcPr>
            <w:tcW w:w="1340" w:type="dxa"/>
            <w:tcBorders>
              <w:top w:val="nil"/>
              <w:left w:val="nil"/>
              <w:bottom w:val="single" w:sz="4" w:space="0" w:color="auto"/>
              <w:right w:val="single" w:sz="4" w:space="0" w:color="auto"/>
            </w:tcBorders>
            <w:shd w:val="clear" w:color="000000" w:fill="DDEBF7"/>
            <w:noWrap/>
            <w:hideMark/>
          </w:tcPr>
          <w:p w14:paraId="4D712335"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2.0 Assessor's Judgement</w:t>
            </w:r>
          </w:p>
        </w:tc>
        <w:tc>
          <w:tcPr>
            <w:tcW w:w="562" w:type="dxa"/>
            <w:tcBorders>
              <w:top w:val="nil"/>
              <w:left w:val="nil"/>
              <w:bottom w:val="single" w:sz="4" w:space="0" w:color="auto"/>
              <w:right w:val="single" w:sz="4" w:space="0" w:color="auto"/>
            </w:tcBorders>
            <w:shd w:val="clear" w:color="000000" w:fill="E2EFDA"/>
            <w:noWrap/>
            <w:hideMark/>
          </w:tcPr>
          <w:p w14:paraId="086091AF"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3.1</w:t>
            </w:r>
          </w:p>
        </w:tc>
        <w:tc>
          <w:tcPr>
            <w:tcW w:w="562" w:type="dxa"/>
            <w:tcBorders>
              <w:top w:val="nil"/>
              <w:left w:val="nil"/>
              <w:bottom w:val="single" w:sz="4" w:space="0" w:color="auto"/>
              <w:right w:val="single" w:sz="4" w:space="0" w:color="auto"/>
            </w:tcBorders>
            <w:shd w:val="clear" w:color="000000" w:fill="E2EFDA"/>
            <w:noWrap/>
            <w:hideMark/>
          </w:tcPr>
          <w:p w14:paraId="7BC1897D"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3.2</w:t>
            </w:r>
          </w:p>
        </w:tc>
        <w:tc>
          <w:tcPr>
            <w:tcW w:w="562" w:type="dxa"/>
            <w:tcBorders>
              <w:top w:val="nil"/>
              <w:left w:val="nil"/>
              <w:bottom w:val="single" w:sz="4" w:space="0" w:color="auto"/>
              <w:right w:val="single" w:sz="4" w:space="0" w:color="auto"/>
            </w:tcBorders>
            <w:shd w:val="clear" w:color="000000" w:fill="E2EFDA"/>
            <w:noWrap/>
            <w:hideMark/>
          </w:tcPr>
          <w:p w14:paraId="4AC472FA"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3.3</w:t>
            </w:r>
          </w:p>
        </w:tc>
        <w:tc>
          <w:tcPr>
            <w:tcW w:w="562" w:type="dxa"/>
            <w:tcBorders>
              <w:top w:val="nil"/>
              <w:left w:val="nil"/>
              <w:bottom w:val="single" w:sz="4" w:space="0" w:color="auto"/>
              <w:right w:val="single" w:sz="4" w:space="0" w:color="auto"/>
            </w:tcBorders>
            <w:shd w:val="clear" w:color="000000" w:fill="E2EFDA"/>
            <w:noWrap/>
            <w:hideMark/>
          </w:tcPr>
          <w:p w14:paraId="6D7BB051"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3.4</w:t>
            </w:r>
          </w:p>
        </w:tc>
        <w:tc>
          <w:tcPr>
            <w:tcW w:w="1227" w:type="dxa"/>
            <w:tcBorders>
              <w:top w:val="nil"/>
              <w:left w:val="nil"/>
              <w:bottom w:val="single" w:sz="4" w:space="0" w:color="auto"/>
              <w:right w:val="single" w:sz="4" w:space="0" w:color="auto"/>
            </w:tcBorders>
            <w:shd w:val="clear" w:color="000000" w:fill="E2EFDA"/>
            <w:noWrap/>
            <w:hideMark/>
          </w:tcPr>
          <w:p w14:paraId="3D2808EA"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3.0 Algorithm result</w:t>
            </w:r>
          </w:p>
        </w:tc>
        <w:tc>
          <w:tcPr>
            <w:tcW w:w="1320" w:type="dxa"/>
            <w:tcBorders>
              <w:top w:val="nil"/>
              <w:left w:val="nil"/>
              <w:bottom w:val="single" w:sz="4" w:space="0" w:color="auto"/>
              <w:right w:val="single" w:sz="4" w:space="0" w:color="auto"/>
            </w:tcBorders>
            <w:shd w:val="clear" w:color="000000" w:fill="E2EFDA"/>
            <w:noWrap/>
            <w:hideMark/>
          </w:tcPr>
          <w:p w14:paraId="43EACBA7"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3.0 Assessor's judgement</w:t>
            </w:r>
          </w:p>
        </w:tc>
        <w:tc>
          <w:tcPr>
            <w:tcW w:w="562" w:type="dxa"/>
            <w:tcBorders>
              <w:top w:val="nil"/>
              <w:left w:val="nil"/>
              <w:bottom w:val="single" w:sz="4" w:space="0" w:color="auto"/>
              <w:right w:val="single" w:sz="4" w:space="0" w:color="auto"/>
            </w:tcBorders>
            <w:shd w:val="clear" w:color="000000" w:fill="F8CBAD"/>
            <w:noWrap/>
            <w:hideMark/>
          </w:tcPr>
          <w:p w14:paraId="2193ACEC"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4.1</w:t>
            </w:r>
          </w:p>
        </w:tc>
        <w:tc>
          <w:tcPr>
            <w:tcW w:w="562" w:type="dxa"/>
            <w:tcBorders>
              <w:top w:val="nil"/>
              <w:left w:val="nil"/>
              <w:bottom w:val="single" w:sz="4" w:space="0" w:color="auto"/>
              <w:right w:val="single" w:sz="4" w:space="0" w:color="auto"/>
            </w:tcBorders>
            <w:shd w:val="clear" w:color="000000" w:fill="F8CBAD"/>
            <w:noWrap/>
            <w:hideMark/>
          </w:tcPr>
          <w:p w14:paraId="395D98C0"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4.2</w:t>
            </w:r>
          </w:p>
        </w:tc>
        <w:tc>
          <w:tcPr>
            <w:tcW w:w="562" w:type="dxa"/>
            <w:tcBorders>
              <w:top w:val="nil"/>
              <w:left w:val="nil"/>
              <w:bottom w:val="single" w:sz="4" w:space="0" w:color="auto"/>
              <w:right w:val="single" w:sz="4" w:space="0" w:color="auto"/>
            </w:tcBorders>
            <w:shd w:val="clear" w:color="000000" w:fill="F8CBAD"/>
            <w:noWrap/>
            <w:hideMark/>
          </w:tcPr>
          <w:p w14:paraId="56B9CE5F"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4.3</w:t>
            </w:r>
          </w:p>
        </w:tc>
        <w:tc>
          <w:tcPr>
            <w:tcW w:w="562" w:type="dxa"/>
            <w:tcBorders>
              <w:top w:val="nil"/>
              <w:left w:val="nil"/>
              <w:bottom w:val="single" w:sz="4" w:space="0" w:color="auto"/>
              <w:right w:val="single" w:sz="4" w:space="0" w:color="auto"/>
            </w:tcBorders>
            <w:shd w:val="clear" w:color="000000" w:fill="F8CBAD"/>
            <w:noWrap/>
            <w:hideMark/>
          </w:tcPr>
          <w:p w14:paraId="312EFD70"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4.4</w:t>
            </w:r>
          </w:p>
        </w:tc>
        <w:tc>
          <w:tcPr>
            <w:tcW w:w="562" w:type="dxa"/>
            <w:tcBorders>
              <w:top w:val="nil"/>
              <w:left w:val="nil"/>
              <w:bottom w:val="single" w:sz="4" w:space="0" w:color="auto"/>
              <w:right w:val="single" w:sz="4" w:space="0" w:color="auto"/>
            </w:tcBorders>
            <w:shd w:val="clear" w:color="000000" w:fill="F8CBAD"/>
            <w:noWrap/>
            <w:hideMark/>
          </w:tcPr>
          <w:p w14:paraId="72BD6CE1"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4.5</w:t>
            </w:r>
          </w:p>
        </w:tc>
        <w:tc>
          <w:tcPr>
            <w:tcW w:w="1227" w:type="dxa"/>
            <w:tcBorders>
              <w:top w:val="nil"/>
              <w:left w:val="nil"/>
              <w:bottom w:val="single" w:sz="4" w:space="0" w:color="auto"/>
              <w:right w:val="single" w:sz="4" w:space="0" w:color="auto"/>
            </w:tcBorders>
            <w:shd w:val="clear" w:color="000000" w:fill="F8CBAD"/>
            <w:noWrap/>
            <w:hideMark/>
          </w:tcPr>
          <w:p w14:paraId="6806E09B"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4.0 Algorithm result</w:t>
            </w:r>
          </w:p>
        </w:tc>
        <w:tc>
          <w:tcPr>
            <w:tcW w:w="1340" w:type="dxa"/>
            <w:tcBorders>
              <w:top w:val="nil"/>
              <w:left w:val="nil"/>
              <w:bottom w:val="single" w:sz="4" w:space="0" w:color="auto"/>
              <w:right w:val="single" w:sz="4" w:space="0" w:color="auto"/>
            </w:tcBorders>
            <w:shd w:val="clear" w:color="000000" w:fill="F8CBAD"/>
            <w:noWrap/>
            <w:hideMark/>
          </w:tcPr>
          <w:p w14:paraId="6AE397A9"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4.0 Assessor's Judgement</w:t>
            </w:r>
          </w:p>
        </w:tc>
        <w:tc>
          <w:tcPr>
            <w:tcW w:w="562" w:type="dxa"/>
            <w:tcBorders>
              <w:top w:val="nil"/>
              <w:left w:val="nil"/>
              <w:bottom w:val="single" w:sz="4" w:space="0" w:color="auto"/>
              <w:right w:val="single" w:sz="4" w:space="0" w:color="auto"/>
            </w:tcBorders>
            <w:shd w:val="clear" w:color="000000" w:fill="FFE699"/>
            <w:noWrap/>
            <w:hideMark/>
          </w:tcPr>
          <w:p w14:paraId="383E2A2D"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5.1</w:t>
            </w:r>
          </w:p>
        </w:tc>
        <w:tc>
          <w:tcPr>
            <w:tcW w:w="562" w:type="dxa"/>
            <w:tcBorders>
              <w:top w:val="nil"/>
              <w:left w:val="nil"/>
              <w:bottom w:val="single" w:sz="4" w:space="0" w:color="auto"/>
              <w:right w:val="single" w:sz="4" w:space="0" w:color="auto"/>
            </w:tcBorders>
            <w:shd w:val="clear" w:color="000000" w:fill="FFE699"/>
            <w:noWrap/>
            <w:hideMark/>
          </w:tcPr>
          <w:p w14:paraId="43E4DCE2"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5.2</w:t>
            </w:r>
          </w:p>
        </w:tc>
        <w:tc>
          <w:tcPr>
            <w:tcW w:w="562" w:type="dxa"/>
            <w:tcBorders>
              <w:top w:val="nil"/>
              <w:left w:val="nil"/>
              <w:bottom w:val="single" w:sz="4" w:space="0" w:color="auto"/>
              <w:right w:val="single" w:sz="4" w:space="0" w:color="auto"/>
            </w:tcBorders>
            <w:shd w:val="clear" w:color="000000" w:fill="FFE699"/>
            <w:noWrap/>
            <w:hideMark/>
          </w:tcPr>
          <w:p w14:paraId="3DFAB074"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5.3</w:t>
            </w:r>
          </w:p>
        </w:tc>
        <w:tc>
          <w:tcPr>
            <w:tcW w:w="1227" w:type="dxa"/>
            <w:tcBorders>
              <w:top w:val="nil"/>
              <w:left w:val="nil"/>
              <w:bottom w:val="single" w:sz="4" w:space="0" w:color="auto"/>
              <w:right w:val="single" w:sz="4" w:space="0" w:color="auto"/>
            </w:tcBorders>
            <w:shd w:val="clear" w:color="000000" w:fill="FFE699"/>
            <w:noWrap/>
            <w:hideMark/>
          </w:tcPr>
          <w:p w14:paraId="555030A0"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5.0 Algorithm result</w:t>
            </w:r>
          </w:p>
        </w:tc>
        <w:tc>
          <w:tcPr>
            <w:tcW w:w="1339" w:type="dxa"/>
            <w:tcBorders>
              <w:top w:val="nil"/>
              <w:left w:val="nil"/>
              <w:bottom w:val="single" w:sz="4" w:space="0" w:color="auto"/>
              <w:right w:val="single" w:sz="4" w:space="0" w:color="auto"/>
            </w:tcBorders>
            <w:shd w:val="clear" w:color="000000" w:fill="FFE699"/>
            <w:noWrap/>
            <w:hideMark/>
          </w:tcPr>
          <w:p w14:paraId="006645D7"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5.0 Assessor's Judgement</w:t>
            </w:r>
          </w:p>
        </w:tc>
        <w:tc>
          <w:tcPr>
            <w:tcW w:w="1375" w:type="dxa"/>
            <w:tcBorders>
              <w:top w:val="nil"/>
              <w:left w:val="nil"/>
              <w:bottom w:val="single" w:sz="4" w:space="0" w:color="auto"/>
              <w:right w:val="single" w:sz="4" w:space="0" w:color="auto"/>
            </w:tcBorders>
            <w:shd w:val="clear" w:color="000000" w:fill="002060"/>
            <w:noWrap/>
            <w:hideMark/>
          </w:tcPr>
          <w:p w14:paraId="6E92092B" w14:textId="77777777" w:rsidR="005304A6" w:rsidRPr="00246712" w:rsidRDefault="005304A6" w:rsidP="005304A6">
            <w:pPr>
              <w:spacing w:after="0" w:line="240" w:lineRule="auto"/>
              <w:rPr>
                <w:rFonts w:asciiTheme="minorBidi" w:eastAsia="Times New Roman" w:hAnsiTheme="minorBidi"/>
                <w:color w:val="FFFFFF"/>
                <w:kern w:val="0"/>
                <w:sz w:val="16"/>
                <w:szCs w:val="16"/>
                <w14:ligatures w14:val="none"/>
              </w:rPr>
            </w:pPr>
            <w:r w:rsidRPr="00246712">
              <w:rPr>
                <w:rFonts w:asciiTheme="minorBidi" w:eastAsia="Times New Roman" w:hAnsiTheme="minorBidi"/>
                <w:color w:val="FFFFFF"/>
                <w:kern w:val="0"/>
                <w:sz w:val="16"/>
                <w:szCs w:val="16"/>
                <w14:ligatures w14:val="none"/>
              </w:rPr>
              <w:t>Algorithm's overall Judgement</w:t>
            </w:r>
          </w:p>
        </w:tc>
        <w:tc>
          <w:tcPr>
            <w:tcW w:w="1336" w:type="dxa"/>
            <w:tcBorders>
              <w:top w:val="nil"/>
              <w:left w:val="nil"/>
              <w:bottom w:val="single" w:sz="4" w:space="0" w:color="auto"/>
              <w:right w:val="single" w:sz="4" w:space="0" w:color="auto"/>
            </w:tcBorders>
            <w:shd w:val="clear" w:color="000000" w:fill="002060"/>
            <w:noWrap/>
            <w:hideMark/>
          </w:tcPr>
          <w:p w14:paraId="73769C13" w14:textId="77777777" w:rsidR="005304A6" w:rsidRPr="00246712" w:rsidRDefault="005304A6" w:rsidP="005304A6">
            <w:pPr>
              <w:spacing w:after="0" w:line="240" w:lineRule="auto"/>
              <w:rPr>
                <w:rFonts w:asciiTheme="minorBidi" w:eastAsia="Times New Roman" w:hAnsiTheme="minorBidi"/>
                <w:color w:val="FFFFFF"/>
                <w:kern w:val="0"/>
                <w:sz w:val="16"/>
                <w:szCs w:val="16"/>
                <w14:ligatures w14:val="none"/>
              </w:rPr>
            </w:pPr>
            <w:r w:rsidRPr="00246712">
              <w:rPr>
                <w:rFonts w:asciiTheme="minorBidi" w:eastAsia="Times New Roman" w:hAnsiTheme="minorBidi"/>
                <w:color w:val="FFFFFF"/>
                <w:kern w:val="0"/>
                <w:sz w:val="16"/>
                <w:szCs w:val="16"/>
                <w14:ligatures w14:val="none"/>
              </w:rPr>
              <w:t>Assessor's overall Judgement</w:t>
            </w:r>
          </w:p>
        </w:tc>
      </w:tr>
      <w:tr w:rsidR="005304A6" w:rsidRPr="00246712" w14:paraId="3BE0A401" w14:textId="77777777" w:rsidTr="009834D7">
        <w:trPr>
          <w:trHeight w:val="300"/>
        </w:trPr>
        <w:tc>
          <w:tcPr>
            <w:tcW w:w="1235" w:type="dxa"/>
            <w:tcBorders>
              <w:top w:val="nil"/>
              <w:left w:val="single" w:sz="4" w:space="0" w:color="auto"/>
              <w:bottom w:val="single" w:sz="4" w:space="0" w:color="auto"/>
              <w:right w:val="single" w:sz="4" w:space="0" w:color="auto"/>
            </w:tcBorders>
            <w:shd w:val="clear" w:color="D9D9D9" w:fill="D9D9D9"/>
            <w:noWrap/>
            <w:hideMark/>
          </w:tcPr>
          <w:p w14:paraId="63671BD1" w14:textId="1717B30F" w:rsidR="005304A6" w:rsidRPr="00246712" w:rsidRDefault="000467EE" w:rsidP="005304A6">
            <w:pPr>
              <w:spacing w:after="0" w:line="240" w:lineRule="auto"/>
              <w:rPr>
                <w:rFonts w:asciiTheme="minorBidi" w:eastAsia="Times New Roman" w:hAnsiTheme="minorBidi"/>
                <w:kern w:val="0"/>
                <w:sz w:val="16"/>
                <w:szCs w:val="16"/>
                <w14:ligatures w14:val="none"/>
              </w:rPr>
            </w:pPr>
            <w:bookmarkStart w:id="2" w:name="_Hlk238133530"/>
            <w:proofErr w:type="spellStart"/>
            <w:r w:rsidRPr="000467EE">
              <w:rPr>
                <w:rFonts w:asciiTheme="minorBidi" w:eastAsia="Times New Roman" w:hAnsiTheme="minorBidi"/>
                <w:color w:val="000000"/>
                <w:kern w:val="0"/>
                <w:sz w:val="16"/>
                <w:szCs w:val="16"/>
                <w14:ligatures w14:val="none"/>
              </w:rPr>
              <w:t>Alwaneen</w:t>
            </w:r>
            <w:proofErr w:type="spellEnd"/>
            <w:r w:rsidRPr="000467EE">
              <w:rPr>
                <w:rFonts w:asciiTheme="minorBidi" w:eastAsia="Times New Roman" w:hAnsiTheme="minorBidi"/>
                <w:color w:val="000000"/>
                <w:kern w:val="0"/>
                <w:sz w:val="16"/>
                <w:szCs w:val="16"/>
                <w14:ligatures w14:val="none"/>
              </w:rPr>
              <w:t xml:space="preserve"> &amp; Alqahtani, 2025b</w:t>
            </w:r>
            <w:r w:rsidR="00D63436">
              <w:rPr>
                <w:rFonts w:asciiTheme="minorBidi" w:eastAsia="Times New Roman" w:hAnsiTheme="minorBidi"/>
                <w:color w:val="000000"/>
                <w:kern w:val="0"/>
                <w:sz w:val="16"/>
                <w:szCs w:val="16"/>
                <w14:ligatures w14:val="none"/>
              </w:rPr>
              <w:t xml:space="preserve"> </w:t>
            </w:r>
            <w:bookmarkEnd w:id="2"/>
            <w:r w:rsidR="00EE34A2" w:rsidRPr="000467EE">
              <w:rPr>
                <w:rFonts w:asciiTheme="minorBidi" w:hAnsiTheme="minorBidi"/>
                <w:sz w:val="16"/>
                <w:szCs w:val="16"/>
              </w:rPr>
              <w:fldChar w:fldCharType="begin" w:fldLock="1"/>
            </w:r>
            <w:r w:rsidR="00EE34A2">
              <w:rPr>
                <w:rFonts w:asciiTheme="minorBidi" w:hAnsiTheme="minorBidi"/>
                <w:sz w:val="16"/>
                <w:szCs w:val="16"/>
              </w:rPr>
              <w:instrText>ADDIN CSL_CITATION {"citationItems":[{"id":"ITEM-1","itemData":{"DOI":"10.3390/polym17121620","ISSN":"2073-4360","abstract":"Maintaining the cleanliness of orthodontic aligners is crucial for oral hygiene and preserving the optical properties of aligners. In this randomized clinical trial, we compared the effectiveness of different cleaning methods for the maintenance of Invisalign clear aligners. Twelve adult patients received five aligners, each worn for 10 days. The aligners were divided based on the cleaning method: tooth brushing with whitening toothpaste, vinegar, Fittydent Super Cleansing Tablets, Invisalign cleaning crystals, and only water. Scanning electron microscopy (SEM) was used to detect surface morphology changes; color changes (ΔE) were evaluated using a spectrophotometer. Fourier transform infrared spectroscopy (FTIR) with a diamond hemisphere was used to study the aligners’ chemical compositions. Nanoindentation testing was used to assess changes in the elastic modulus. SEM confirmed the effectiveness of Invisalign cleaning crystals in maintaining cleanliness, revealing a surface similar to that of the control group with no adverse effects. Color stability analysis revealed significant ΔE value differences; whitening toothpaste had significantly lower ΔE values than water and Invisalign cleaning crystals. The elastic modulus and FTIR analyses indicated no significant differences between the cleaning methods. Therefore, Invisalign cleaning crystals and whitening toothpaste are safe for aligner maintenance, showing successful and aesthetically pleasing results.","author":[{"dropping-particle":"","family":"Alweneen","given":"Athar","non-dropping-particle":"","parse-names":false,"suffix":""},{"dropping-particle":"","family":"Alqahtani","given":"Nasser","non-dropping-particle":"","parse-names":false,"suffix":""}],"container-title":"Polymers","id":"ITEM-1","issue":"12","issued":{"date-parts":[["2025","6","11"]]},"page":"1620","title":"The Effectiveness of Different Cleaning Methods for Clear Orthodontic Aligners: Impacts on Physical, Mechanical, and Chemical Properties—An In Vivo Study","type":"article-journal","volume":"17"},"uris":["http://www.mendeley.com/documents/?uuid=615e3789-59d6-4063-b79a-2eb1e8adb244"]}],"mendeley":{"formattedCitation":"[99]","plainTextFormattedCitation":"[99]","previouslyFormattedCitation":"[100]"},"properties":{"noteIndex":0},"schema":"https://github.com/citation-style-language/schema/raw/master/csl-citation.json"}</w:instrText>
            </w:r>
            <w:r w:rsidR="00EE34A2" w:rsidRPr="000467EE">
              <w:rPr>
                <w:rFonts w:asciiTheme="minorBidi" w:hAnsiTheme="minorBidi"/>
                <w:sz w:val="16"/>
                <w:szCs w:val="16"/>
              </w:rPr>
              <w:fldChar w:fldCharType="separate"/>
            </w:r>
            <w:r w:rsidR="00EE34A2" w:rsidRPr="004E7F95">
              <w:rPr>
                <w:rFonts w:asciiTheme="minorBidi" w:hAnsiTheme="minorBidi"/>
                <w:noProof/>
                <w:sz w:val="16"/>
                <w:szCs w:val="16"/>
              </w:rPr>
              <w:t>[99]</w:t>
            </w:r>
            <w:r w:rsidR="00EE34A2" w:rsidRPr="000467EE">
              <w:rPr>
                <w:rFonts w:asciiTheme="minorBidi" w:hAnsiTheme="minorBidi"/>
                <w:sz w:val="16"/>
                <w:szCs w:val="16"/>
              </w:rPr>
              <w:fldChar w:fldCharType="end"/>
            </w:r>
          </w:p>
        </w:tc>
        <w:tc>
          <w:tcPr>
            <w:tcW w:w="563" w:type="dxa"/>
            <w:tcBorders>
              <w:top w:val="nil"/>
              <w:left w:val="nil"/>
              <w:bottom w:val="single" w:sz="4" w:space="0" w:color="auto"/>
              <w:right w:val="single" w:sz="4" w:space="0" w:color="auto"/>
            </w:tcBorders>
            <w:shd w:val="clear" w:color="auto" w:fill="auto"/>
            <w:noWrap/>
            <w:hideMark/>
          </w:tcPr>
          <w:p w14:paraId="05A31837"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NI</w:t>
            </w:r>
          </w:p>
        </w:tc>
        <w:tc>
          <w:tcPr>
            <w:tcW w:w="563" w:type="dxa"/>
            <w:tcBorders>
              <w:top w:val="nil"/>
              <w:left w:val="nil"/>
              <w:bottom w:val="single" w:sz="4" w:space="0" w:color="auto"/>
              <w:right w:val="single" w:sz="4" w:space="0" w:color="auto"/>
            </w:tcBorders>
            <w:shd w:val="clear" w:color="auto" w:fill="auto"/>
            <w:noWrap/>
            <w:hideMark/>
          </w:tcPr>
          <w:p w14:paraId="5CE4B00C"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NI</w:t>
            </w:r>
          </w:p>
        </w:tc>
        <w:tc>
          <w:tcPr>
            <w:tcW w:w="563" w:type="dxa"/>
            <w:tcBorders>
              <w:top w:val="nil"/>
              <w:left w:val="nil"/>
              <w:bottom w:val="single" w:sz="4" w:space="0" w:color="auto"/>
              <w:right w:val="single" w:sz="4" w:space="0" w:color="auto"/>
            </w:tcBorders>
            <w:shd w:val="clear" w:color="auto" w:fill="auto"/>
            <w:noWrap/>
            <w:hideMark/>
          </w:tcPr>
          <w:p w14:paraId="4C42B3CB"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NI</w:t>
            </w:r>
          </w:p>
        </w:tc>
        <w:tc>
          <w:tcPr>
            <w:tcW w:w="1228" w:type="dxa"/>
            <w:tcBorders>
              <w:top w:val="nil"/>
              <w:left w:val="nil"/>
              <w:bottom w:val="single" w:sz="4" w:space="0" w:color="auto"/>
              <w:right w:val="single" w:sz="4" w:space="0" w:color="auto"/>
            </w:tcBorders>
            <w:shd w:val="clear" w:color="auto" w:fill="auto"/>
            <w:noWrap/>
            <w:hideMark/>
          </w:tcPr>
          <w:p w14:paraId="35F8611E"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1344" w:type="dxa"/>
            <w:tcBorders>
              <w:top w:val="nil"/>
              <w:left w:val="nil"/>
              <w:bottom w:val="single" w:sz="4" w:space="0" w:color="auto"/>
              <w:right w:val="single" w:sz="4" w:space="0" w:color="auto"/>
            </w:tcBorders>
            <w:shd w:val="clear" w:color="auto" w:fill="auto"/>
            <w:noWrap/>
            <w:hideMark/>
          </w:tcPr>
          <w:p w14:paraId="14B284BB"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563" w:type="dxa"/>
            <w:tcBorders>
              <w:top w:val="nil"/>
              <w:left w:val="nil"/>
              <w:bottom w:val="single" w:sz="4" w:space="0" w:color="auto"/>
              <w:right w:val="single" w:sz="4" w:space="0" w:color="auto"/>
            </w:tcBorders>
            <w:shd w:val="clear" w:color="auto" w:fill="auto"/>
            <w:noWrap/>
            <w:hideMark/>
          </w:tcPr>
          <w:p w14:paraId="1F9AC2B1"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563" w:type="dxa"/>
            <w:tcBorders>
              <w:top w:val="nil"/>
              <w:left w:val="nil"/>
              <w:bottom w:val="single" w:sz="4" w:space="0" w:color="auto"/>
              <w:right w:val="single" w:sz="4" w:space="0" w:color="auto"/>
            </w:tcBorders>
            <w:shd w:val="clear" w:color="auto" w:fill="auto"/>
            <w:noWrap/>
            <w:hideMark/>
          </w:tcPr>
          <w:p w14:paraId="0F2BC217"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562" w:type="dxa"/>
            <w:tcBorders>
              <w:top w:val="nil"/>
              <w:left w:val="nil"/>
              <w:bottom w:val="single" w:sz="4" w:space="0" w:color="auto"/>
              <w:right w:val="single" w:sz="4" w:space="0" w:color="auto"/>
            </w:tcBorders>
            <w:shd w:val="clear" w:color="auto" w:fill="auto"/>
            <w:noWrap/>
            <w:hideMark/>
          </w:tcPr>
          <w:p w14:paraId="1CC1B244"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NI</w:t>
            </w:r>
          </w:p>
        </w:tc>
        <w:tc>
          <w:tcPr>
            <w:tcW w:w="562" w:type="dxa"/>
            <w:tcBorders>
              <w:top w:val="nil"/>
              <w:left w:val="nil"/>
              <w:bottom w:val="single" w:sz="4" w:space="0" w:color="auto"/>
              <w:right w:val="single" w:sz="4" w:space="0" w:color="auto"/>
            </w:tcBorders>
            <w:shd w:val="clear" w:color="auto" w:fill="auto"/>
            <w:noWrap/>
            <w:hideMark/>
          </w:tcPr>
          <w:p w14:paraId="4DE0A03C"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562" w:type="dxa"/>
            <w:tcBorders>
              <w:top w:val="nil"/>
              <w:left w:val="nil"/>
              <w:bottom w:val="single" w:sz="4" w:space="0" w:color="auto"/>
              <w:right w:val="single" w:sz="4" w:space="0" w:color="auto"/>
            </w:tcBorders>
            <w:shd w:val="clear" w:color="auto" w:fill="auto"/>
            <w:noWrap/>
            <w:hideMark/>
          </w:tcPr>
          <w:p w14:paraId="3D700D37"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562" w:type="dxa"/>
            <w:tcBorders>
              <w:top w:val="nil"/>
              <w:left w:val="nil"/>
              <w:bottom w:val="single" w:sz="4" w:space="0" w:color="auto"/>
              <w:right w:val="single" w:sz="4" w:space="0" w:color="auto"/>
            </w:tcBorders>
            <w:shd w:val="clear" w:color="auto" w:fill="auto"/>
            <w:noWrap/>
            <w:hideMark/>
          </w:tcPr>
          <w:p w14:paraId="0EB7D4A5"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PY</w:t>
            </w:r>
          </w:p>
        </w:tc>
        <w:tc>
          <w:tcPr>
            <w:tcW w:w="562" w:type="dxa"/>
            <w:tcBorders>
              <w:top w:val="nil"/>
              <w:left w:val="nil"/>
              <w:bottom w:val="single" w:sz="4" w:space="0" w:color="auto"/>
              <w:right w:val="single" w:sz="4" w:space="0" w:color="auto"/>
            </w:tcBorders>
            <w:shd w:val="clear" w:color="auto" w:fill="auto"/>
            <w:noWrap/>
            <w:hideMark/>
          </w:tcPr>
          <w:p w14:paraId="3D65735E"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1227" w:type="dxa"/>
            <w:tcBorders>
              <w:top w:val="nil"/>
              <w:left w:val="nil"/>
              <w:bottom w:val="single" w:sz="4" w:space="0" w:color="auto"/>
              <w:right w:val="single" w:sz="4" w:space="0" w:color="auto"/>
            </w:tcBorders>
            <w:shd w:val="clear" w:color="auto" w:fill="auto"/>
            <w:noWrap/>
            <w:hideMark/>
          </w:tcPr>
          <w:p w14:paraId="7807A42D"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1340" w:type="dxa"/>
            <w:tcBorders>
              <w:top w:val="nil"/>
              <w:left w:val="nil"/>
              <w:bottom w:val="single" w:sz="4" w:space="0" w:color="auto"/>
              <w:right w:val="single" w:sz="4" w:space="0" w:color="auto"/>
            </w:tcBorders>
            <w:shd w:val="clear" w:color="auto" w:fill="auto"/>
            <w:noWrap/>
            <w:hideMark/>
          </w:tcPr>
          <w:p w14:paraId="58325A0B"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562" w:type="dxa"/>
            <w:tcBorders>
              <w:top w:val="nil"/>
              <w:left w:val="nil"/>
              <w:bottom w:val="single" w:sz="4" w:space="0" w:color="auto"/>
              <w:right w:val="single" w:sz="4" w:space="0" w:color="auto"/>
            </w:tcBorders>
            <w:shd w:val="clear" w:color="auto" w:fill="auto"/>
            <w:noWrap/>
            <w:hideMark/>
          </w:tcPr>
          <w:p w14:paraId="1EB5300A"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PY</w:t>
            </w:r>
          </w:p>
        </w:tc>
        <w:tc>
          <w:tcPr>
            <w:tcW w:w="562" w:type="dxa"/>
            <w:tcBorders>
              <w:top w:val="nil"/>
              <w:left w:val="nil"/>
              <w:bottom w:val="single" w:sz="4" w:space="0" w:color="auto"/>
              <w:right w:val="single" w:sz="4" w:space="0" w:color="auto"/>
            </w:tcBorders>
            <w:shd w:val="clear" w:color="auto" w:fill="auto"/>
            <w:noWrap/>
            <w:hideMark/>
          </w:tcPr>
          <w:p w14:paraId="2800B385"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562" w:type="dxa"/>
            <w:tcBorders>
              <w:top w:val="nil"/>
              <w:left w:val="nil"/>
              <w:bottom w:val="single" w:sz="4" w:space="0" w:color="auto"/>
              <w:right w:val="single" w:sz="4" w:space="0" w:color="auto"/>
            </w:tcBorders>
            <w:shd w:val="clear" w:color="auto" w:fill="auto"/>
            <w:noWrap/>
            <w:hideMark/>
          </w:tcPr>
          <w:p w14:paraId="3DF3BE86"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562" w:type="dxa"/>
            <w:tcBorders>
              <w:top w:val="nil"/>
              <w:left w:val="nil"/>
              <w:bottom w:val="single" w:sz="4" w:space="0" w:color="auto"/>
              <w:right w:val="single" w:sz="4" w:space="0" w:color="auto"/>
            </w:tcBorders>
            <w:shd w:val="clear" w:color="auto" w:fill="auto"/>
            <w:noWrap/>
            <w:hideMark/>
          </w:tcPr>
          <w:p w14:paraId="4AE0DFEA"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1227" w:type="dxa"/>
            <w:tcBorders>
              <w:top w:val="nil"/>
              <w:left w:val="nil"/>
              <w:bottom w:val="single" w:sz="4" w:space="0" w:color="auto"/>
              <w:right w:val="single" w:sz="4" w:space="0" w:color="auto"/>
            </w:tcBorders>
            <w:shd w:val="clear" w:color="auto" w:fill="auto"/>
            <w:noWrap/>
            <w:hideMark/>
          </w:tcPr>
          <w:p w14:paraId="2FFAE78E"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Low</w:t>
            </w:r>
          </w:p>
        </w:tc>
        <w:tc>
          <w:tcPr>
            <w:tcW w:w="1320" w:type="dxa"/>
            <w:tcBorders>
              <w:top w:val="nil"/>
              <w:left w:val="nil"/>
              <w:bottom w:val="single" w:sz="4" w:space="0" w:color="auto"/>
              <w:right w:val="single" w:sz="4" w:space="0" w:color="auto"/>
            </w:tcBorders>
            <w:shd w:val="clear" w:color="auto" w:fill="auto"/>
            <w:noWrap/>
            <w:hideMark/>
          </w:tcPr>
          <w:p w14:paraId="4791FA5E"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Low</w:t>
            </w:r>
          </w:p>
        </w:tc>
        <w:tc>
          <w:tcPr>
            <w:tcW w:w="562" w:type="dxa"/>
            <w:tcBorders>
              <w:top w:val="nil"/>
              <w:left w:val="nil"/>
              <w:bottom w:val="single" w:sz="4" w:space="0" w:color="auto"/>
              <w:right w:val="single" w:sz="4" w:space="0" w:color="auto"/>
            </w:tcBorders>
            <w:shd w:val="clear" w:color="auto" w:fill="auto"/>
            <w:noWrap/>
            <w:hideMark/>
          </w:tcPr>
          <w:p w14:paraId="463EC270"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w:t>
            </w:r>
          </w:p>
        </w:tc>
        <w:tc>
          <w:tcPr>
            <w:tcW w:w="562" w:type="dxa"/>
            <w:tcBorders>
              <w:top w:val="nil"/>
              <w:left w:val="nil"/>
              <w:bottom w:val="single" w:sz="4" w:space="0" w:color="auto"/>
              <w:right w:val="single" w:sz="4" w:space="0" w:color="auto"/>
            </w:tcBorders>
            <w:shd w:val="clear" w:color="auto" w:fill="auto"/>
            <w:noWrap/>
            <w:hideMark/>
          </w:tcPr>
          <w:p w14:paraId="70B617CE"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PN</w:t>
            </w:r>
          </w:p>
        </w:tc>
        <w:tc>
          <w:tcPr>
            <w:tcW w:w="562" w:type="dxa"/>
            <w:tcBorders>
              <w:top w:val="nil"/>
              <w:left w:val="nil"/>
              <w:bottom w:val="single" w:sz="4" w:space="0" w:color="auto"/>
              <w:right w:val="single" w:sz="4" w:space="0" w:color="auto"/>
            </w:tcBorders>
            <w:shd w:val="clear" w:color="auto" w:fill="auto"/>
            <w:noWrap/>
            <w:hideMark/>
          </w:tcPr>
          <w:p w14:paraId="14BC20DE"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562" w:type="dxa"/>
            <w:tcBorders>
              <w:top w:val="nil"/>
              <w:left w:val="nil"/>
              <w:bottom w:val="single" w:sz="4" w:space="0" w:color="auto"/>
              <w:right w:val="single" w:sz="4" w:space="0" w:color="auto"/>
            </w:tcBorders>
            <w:shd w:val="clear" w:color="auto" w:fill="auto"/>
            <w:noWrap/>
            <w:hideMark/>
          </w:tcPr>
          <w:p w14:paraId="10458ED6"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PY</w:t>
            </w:r>
          </w:p>
        </w:tc>
        <w:tc>
          <w:tcPr>
            <w:tcW w:w="562" w:type="dxa"/>
            <w:tcBorders>
              <w:top w:val="nil"/>
              <w:left w:val="nil"/>
              <w:bottom w:val="single" w:sz="4" w:space="0" w:color="auto"/>
              <w:right w:val="single" w:sz="4" w:space="0" w:color="auto"/>
            </w:tcBorders>
            <w:shd w:val="clear" w:color="auto" w:fill="auto"/>
            <w:noWrap/>
            <w:hideMark/>
          </w:tcPr>
          <w:p w14:paraId="57856555"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PY</w:t>
            </w:r>
          </w:p>
        </w:tc>
        <w:tc>
          <w:tcPr>
            <w:tcW w:w="1227" w:type="dxa"/>
            <w:tcBorders>
              <w:top w:val="nil"/>
              <w:left w:val="nil"/>
              <w:bottom w:val="single" w:sz="4" w:space="0" w:color="auto"/>
              <w:right w:val="single" w:sz="4" w:space="0" w:color="auto"/>
            </w:tcBorders>
            <w:shd w:val="clear" w:color="auto" w:fill="auto"/>
            <w:noWrap/>
            <w:hideMark/>
          </w:tcPr>
          <w:p w14:paraId="338D538F"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1340" w:type="dxa"/>
            <w:tcBorders>
              <w:top w:val="nil"/>
              <w:left w:val="nil"/>
              <w:bottom w:val="single" w:sz="4" w:space="0" w:color="auto"/>
              <w:right w:val="single" w:sz="4" w:space="0" w:color="auto"/>
            </w:tcBorders>
            <w:shd w:val="clear" w:color="auto" w:fill="auto"/>
            <w:noWrap/>
            <w:hideMark/>
          </w:tcPr>
          <w:p w14:paraId="4FCB5B15"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562" w:type="dxa"/>
            <w:tcBorders>
              <w:top w:val="nil"/>
              <w:left w:val="nil"/>
              <w:bottom w:val="single" w:sz="4" w:space="0" w:color="auto"/>
              <w:right w:val="single" w:sz="4" w:space="0" w:color="auto"/>
            </w:tcBorders>
            <w:shd w:val="clear" w:color="auto" w:fill="auto"/>
            <w:noWrap/>
            <w:hideMark/>
          </w:tcPr>
          <w:p w14:paraId="47720F11"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NI</w:t>
            </w:r>
          </w:p>
        </w:tc>
        <w:tc>
          <w:tcPr>
            <w:tcW w:w="562" w:type="dxa"/>
            <w:tcBorders>
              <w:top w:val="nil"/>
              <w:left w:val="nil"/>
              <w:bottom w:val="single" w:sz="4" w:space="0" w:color="auto"/>
              <w:right w:val="single" w:sz="4" w:space="0" w:color="auto"/>
            </w:tcBorders>
            <w:shd w:val="clear" w:color="auto" w:fill="auto"/>
            <w:noWrap/>
            <w:hideMark/>
          </w:tcPr>
          <w:p w14:paraId="7DB8E23A"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PN</w:t>
            </w:r>
          </w:p>
        </w:tc>
        <w:tc>
          <w:tcPr>
            <w:tcW w:w="562" w:type="dxa"/>
            <w:tcBorders>
              <w:top w:val="nil"/>
              <w:left w:val="nil"/>
              <w:bottom w:val="single" w:sz="4" w:space="0" w:color="auto"/>
              <w:right w:val="single" w:sz="4" w:space="0" w:color="auto"/>
            </w:tcBorders>
            <w:shd w:val="clear" w:color="auto" w:fill="auto"/>
            <w:noWrap/>
            <w:hideMark/>
          </w:tcPr>
          <w:p w14:paraId="38CBD038"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PN</w:t>
            </w:r>
          </w:p>
        </w:tc>
        <w:tc>
          <w:tcPr>
            <w:tcW w:w="1227" w:type="dxa"/>
            <w:tcBorders>
              <w:top w:val="nil"/>
              <w:left w:val="nil"/>
              <w:bottom w:val="single" w:sz="4" w:space="0" w:color="auto"/>
              <w:right w:val="single" w:sz="4" w:space="0" w:color="auto"/>
            </w:tcBorders>
            <w:shd w:val="clear" w:color="auto" w:fill="auto"/>
            <w:noWrap/>
            <w:hideMark/>
          </w:tcPr>
          <w:p w14:paraId="7DFFC5A3"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1339" w:type="dxa"/>
            <w:tcBorders>
              <w:top w:val="nil"/>
              <w:left w:val="nil"/>
              <w:bottom w:val="single" w:sz="4" w:space="0" w:color="auto"/>
              <w:right w:val="single" w:sz="4" w:space="0" w:color="auto"/>
            </w:tcBorders>
            <w:shd w:val="clear" w:color="auto" w:fill="auto"/>
            <w:noWrap/>
            <w:hideMark/>
          </w:tcPr>
          <w:p w14:paraId="584E017D"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1375" w:type="dxa"/>
            <w:tcBorders>
              <w:top w:val="nil"/>
              <w:left w:val="nil"/>
              <w:bottom w:val="single" w:sz="4" w:space="0" w:color="auto"/>
              <w:right w:val="single" w:sz="4" w:space="0" w:color="auto"/>
            </w:tcBorders>
            <w:shd w:val="clear" w:color="auto" w:fill="auto"/>
            <w:noWrap/>
            <w:hideMark/>
          </w:tcPr>
          <w:p w14:paraId="439BFB3E"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c>
          <w:tcPr>
            <w:tcW w:w="1336" w:type="dxa"/>
            <w:tcBorders>
              <w:top w:val="nil"/>
              <w:left w:val="nil"/>
              <w:bottom w:val="single" w:sz="4" w:space="0" w:color="auto"/>
              <w:right w:val="single" w:sz="4" w:space="0" w:color="auto"/>
            </w:tcBorders>
            <w:shd w:val="clear" w:color="auto" w:fill="auto"/>
            <w:noWrap/>
            <w:hideMark/>
          </w:tcPr>
          <w:p w14:paraId="52024367"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Some concerns</w:t>
            </w:r>
          </w:p>
        </w:tc>
      </w:tr>
      <w:tr w:rsidR="005304A6" w:rsidRPr="00246712" w14:paraId="1481C93B" w14:textId="77777777" w:rsidTr="009834D7">
        <w:trPr>
          <w:trHeight w:val="300"/>
        </w:trPr>
        <w:tc>
          <w:tcPr>
            <w:tcW w:w="29134" w:type="dxa"/>
            <w:gridSpan w:val="35"/>
            <w:tcBorders>
              <w:top w:val="single" w:sz="4" w:space="0" w:color="auto"/>
            </w:tcBorders>
            <w:shd w:val="clear" w:color="auto" w:fill="auto"/>
            <w:noWrap/>
          </w:tcPr>
          <w:p w14:paraId="34008F2F" w14:textId="77777777" w:rsidR="005304A6" w:rsidRPr="00246712" w:rsidRDefault="005304A6" w:rsidP="005304A6">
            <w:pPr>
              <w:spacing w:after="0" w:line="240" w:lineRule="auto"/>
              <w:rPr>
                <w:rFonts w:asciiTheme="minorBidi" w:eastAsia="Times New Roman" w:hAnsiTheme="minorBidi"/>
                <w:kern w:val="0"/>
                <w:sz w:val="16"/>
                <w:szCs w:val="16"/>
                <w14:ligatures w14:val="none"/>
              </w:rPr>
            </w:pPr>
            <w:r w:rsidRPr="000B22C8">
              <w:rPr>
                <w:rFonts w:asciiTheme="minorBidi" w:eastAsia="Times New Roman" w:hAnsiTheme="minorBidi"/>
                <w:kern w:val="0"/>
                <w:sz w:val="16"/>
                <w:szCs w:val="16"/>
                <w14:ligatures w14:val="none"/>
              </w:rPr>
              <w:t xml:space="preserve">Abbreviations: N, No; NA, not applicable; </w:t>
            </w:r>
            <w:r>
              <w:rPr>
                <w:rFonts w:asciiTheme="minorBidi" w:eastAsia="Times New Roman" w:hAnsiTheme="minorBidi"/>
                <w:kern w:val="0"/>
                <w:sz w:val="16"/>
                <w:szCs w:val="16"/>
                <w14:ligatures w14:val="none"/>
              </w:rPr>
              <w:t>NI, no information; PN</w:t>
            </w:r>
            <w:r w:rsidRPr="000B22C8">
              <w:rPr>
                <w:rFonts w:asciiTheme="minorBidi" w:eastAsia="Times New Roman" w:hAnsiTheme="minorBidi"/>
                <w:kern w:val="0"/>
                <w:sz w:val="16"/>
                <w:szCs w:val="16"/>
                <w14:ligatures w14:val="none"/>
              </w:rPr>
              <w:t xml:space="preserve">, </w:t>
            </w:r>
            <w:r>
              <w:rPr>
                <w:rFonts w:asciiTheme="minorBidi" w:eastAsia="Times New Roman" w:hAnsiTheme="minorBidi"/>
                <w:kern w:val="0"/>
                <w:sz w:val="16"/>
                <w:szCs w:val="16"/>
                <w14:ligatures w14:val="none"/>
              </w:rPr>
              <w:t>probably no</w:t>
            </w:r>
            <w:r w:rsidRPr="000B22C8">
              <w:rPr>
                <w:rFonts w:asciiTheme="minorBidi" w:eastAsia="Times New Roman" w:hAnsiTheme="minorBidi"/>
                <w:kern w:val="0"/>
                <w:sz w:val="16"/>
                <w:szCs w:val="16"/>
                <w14:ligatures w14:val="none"/>
              </w:rPr>
              <w:t xml:space="preserve">; </w:t>
            </w:r>
            <w:r>
              <w:rPr>
                <w:rFonts w:asciiTheme="minorBidi" w:eastAsia="Times New Roman" w:hAnsiTheme="minorBidi"/>
                <w:kern w:val="0"/>
                <w:sz w:val="16"/>
                <w:szCs w:val="16"/>
                <w14:ligatures w14:val="none"/>
              </w:rPr>
              <w:t xml:space="preserve">PY, probably yes; </w:t>
            </w:r>
            <w:r w:rsidRPr="000B22C8">
              <w:rPr>
                <w:rFonts w:asciiTheme="minorBidi" w:eastAsia="Times New Roman" w:hAnsiTheme="minorBidi"/>
                <w:kern w:val="0"/>
                <w:sz w:val="16"/>
                <w:szCs w:val="16"/>
                <w14:ligatures w14:val="none"/>
              </w:rPr>
              <w:t>Y, yes.</w:t>
            </w:r>
          </w:p>
        </w:tc>
      </w:tr>
    </w:tbl>
    <w:p w14:paraId="7EDEAC0B" w14:textId="77777777" w:rsidR="00246712" w:rsidRDefault="00246712" w:rsidP="00246712">
      <w:pPr>
        <w:spacing w:after="0"/>
        <w:rPr>
          <w:rFonts w:asciiTheme="minorBidi" w:hAnsiTheme="minorBidi"/>
          <w:sz w:val="18"/>
          <w:szCs w:val="18"/>
        </w:rPr>
      </w:pPr>
    </w:p>
    <w:p w14:paraId="6E9D15B9" w14:textId="77777777" w:rsidR="00246712" w:rsidRDefault="00246712" w:rsidP="00246712">
      <w:pPr>
        <w:spacing w:after="0"/>
        <w:rPr>
          <w:rFonts w:asciiTheme="minorBidi" w:hAnsiTheme="minorBidi"/>
          <w:sz w:val="18"/>
          <w:szCs w:val="18"/>
        </w:rPr>
      </w:pPr>
    </w:p>
    <w:p w14:paraId="5B82B4C6" w14:textId="77777777" w:rsidR="00246712" w:rsidRDefault="00246712" w:rsidP="00246712">
      <w:pPr>
        <w:spacing w:after="0"/>
      </w:pPr>
    </w:p>
    <w:p w14:paraId="7286E691" w14:textId="77777777" w:rsidR="00246712" w:rsidRDefault="00246712" w:rsidP="00246712">
      <w:pPr>
        <w:spacing w:after="0"/>
      </w:pPr>
    </w:p>
    <w:p w14:paraId="38B9B899" w14:textId="77777777" w:rsidR="00246712" w:rsidRDefault="00246712" w:rsidP="00246712">
      <w:pPr>
        <w:spacing w:after="0"/>
      </w:pPr>
    </w:p>
    <w:p w14:paraId="32A6828F" w14:textId="77777777" w:rsidR="00246712" w:rsidRDefault="00246712" w:rsidP="00246712">
      <w:pPr>
        <w:spacing w:after="0"/>
      </w:pPr>
    </w:p>
    <w:p w14:paraId="3AB178A8" w14:textId="77777777" w:rsidR="00246712" w:rsidRDefault="00246712" w:rsidP="00246712">
      <w:pPr>
        <w:spacing w:after="0"/>
      </w:pPr>
    </w:p>
    <w:p w14:paraId="3C4DEB2A" w14:textId="77777777" w:rsidR="00246712" w:rsidRDefault="00246712" w:rsidP="00246712">
      <w:pPr>
        <w:spacing w:after="0"/>
      </w:pPr>
    </w:p>
    <w:p w14:paraId="520AD8FC" w14:textId="639442FB" w:rsidR="00246712" w:rsidRDefault="00246712" w:rsidP="00246712">
      <w:pPr>
        <w:spacing w:after="0"/>
        <w:ind w:left="-13230"/>
        <w:rPr>
          <w:rFonts w:asciiTheme="minorBidi" w:hAnsiTheme="minorBidi"/>
          <w:sz w:val="18"/>
          <w:szCs w:val="18"/>
        </w:rPr>
      </w:pPr>
      <w:r w:rsidRPr="005304A6">
        <w:rPr>
          <w:b/>
          <w:bCs/>
        </w:rPr>
        <w:t>Table S4.</w:t>
      </w:r>
      <w:r>
        <w:t xml:space="preserve"> </w:t>
      </w:r>
      <w:proofErr w:type="spellStart"/>
      <w:r>
        <w:rPr>
          <w:rFonts w:asciiTheme="minorBidi" w:hAnsiTheme="minorBidi"/>
          <w:sz w:val="18"/>
          <w:szCs w:val="18"/>
        </w:rPr>
        <w:t>RoB</w:t>
      </w:r>
      <w:proofErr w:type="spellEnd"/>
      <w:r w:rsidRPr="000B22C8">
        <w:rPr>
          <w:rFonts w:asciiTheme="minorBidi" w:hAnsiTheme="minorBidi"/>
          <w:sz w:val="18"/>
          <w:szCs w:val="18"/>
        </w:rPr>
        <w:t xml:space="preserve"> assessment of </w:t>
      </w:r>
      <w:r>
        <w:rPr>
          <w:rFonts w:asciiTheme="minorBidi" w:hAnsiTheme="minorBidi"/>
          <w:sz w:val="18"/>
          <w:szCs w:val="18"/>
        </w:rPr>
        <w:t>crossover RCT</w:t>
      </w:r>
      <w:r w:rsidRPr="000B22C8">
        <w:rPr>
          <w:rFonts w:asciiTheme="minorBidi" w:hAnsiTheme="minorBidi"/>
          <w:sz w:val="18"/>
          <w:szCs w:val="18"/>
        </w:rPr>
        <w:t xml:space="preserve"> using the </w:t>
      </w:r>
      <w:r>
        <w:rPr>
          <w:rFonts w:asciiTheme="minorBidi" w:hAnsiTheme="minorBidi"/>
          <w:sz w:val="18"/>
          <w:szCs w:val="18"/>
        </w:rPr>
        <w:t xml:space="preserve">crossover trial variant of the </w:t>
      </w:r>
      <w:r w:rsidRPr="00246712">
        <w:rPr>
          <w:rFonts w:asciiTheme="minorBidi" w:hAnsiTheme="minorBidi"/>
          <w:sz w:val="18"/>
          <w:szCs w:val="18"/>
        </w:rPr>
        <w:t xml:space="preserve">Cochrane </w:t>
      </w:r>
      <w:proofErr w:type="spellStart"/>
      <w:r w:rsidRPr="00246712">
        <w:rPr>
          <w:rFonts w:asciiTheme="minorBidi" w:hAnsiTheme="minorBidi"/>
          <w:sz w:val="18"/>
          <w:szCs w:val="18"/>
        </w:rPr>
        <w:t>RoB</w:t>
      </w:r>
      <w:proofErr w:type="spellEnd"/>
      <w:r w:rsidRPr="00246712">
        <w:rPr>
          <w:rFonts w:asciiTheme="minorBidi" w:hAnsiTheme="minorBidi"/>
          <w:sz w:val="18"/>
          <w:szCs w:val="18"/>
        </w:rPr>
        <w:t xml:space="preserve"> 2 tool</w:t>
      </w:r>
      <w:r>
        <w:rPr>
          <w:rFonts w:asciiTheme="minorBidi" w:hAnsiTheme="minorBidi"/>
          <w:sz w:val="18"/>
          <w:szCs w:val="18"/>
        </w:rPr>
        <w:t>.</w:t>
      </w:r>
    </w:p>
    <w:p w14:paraId="6BEC6DB2" w14:textId="77777777" w:rsidR="00246712" w:rsidRDefault="00246712" w:rsidP="00246712">
      <w:pPr>
        <w:spacing w:after="0"/>
        <w:rPr>
          <w:rFonts w:asciiTheme="minorBidi" w:hAnsiTheme="minorBidi"/>
          <w:sz w:val="18"/>
          <w:szCs w:val="18"/>
        </w:rPr>
      </w:pPr>
    </w:p>
    <w:tbl>
      <w:tblPr>
        <w:tblW w:w="28899" w:type="dxa"/>
        <w:tblInd w:w="-13122" w:type="dxa"/>
        <w:tblLook w:val="04A0" w:firstRow="1" w:lastRow="0" w:firstColumn="1" w:lastColumn="0" w:noHBand="0" w:noVBand="1"/>
      </w:tblPr>
      <w:tblGrid>
        <w:gridCol w:w="822"/>
        <w:gridCol w:w="475"/>
        <w:gridCol w:w="475"/>
        <w:gridCol w:w="475"/>
        <w:gridCol w:w="1052"/>
        <w:gridCol w:w="1160"/>
        <w:gridCol w:w="494"/>
        <w:gridCol w:w="494"/>
        <w:gridCol w:w="494"/>
        <w:gridCol w:w="1052"/>
        <w:gridCol w:w="1162"/>
        <w:gridCol w:w="475"/>
        <w:gridCol w:w="475"/>
        <w:gridCol w:w="475"/>
        <w:gridCol w:w="475"/>
        <w:gridCol w:w="475"/>
        <w:gridCol w:w="475"/>
        <w:gridCol w:w="475"/>
        <w:gridCol w:w="1052"/>
        <w:gridCol w:w="1158"/>
        <w:gridCol w:w="475"/>
        <w:gridCol w:w="475"/>
        <w:gridCol w:w="475"/>
        <w:gridCol w:w="475"/>
        <w:gridCol w:w="1052"/>
        <w:gridCol w:w="1152"/>
        <w:gridCol w:w="475"/>
        <w:gridCol w:w="475"/>
        <w:gridCol w:w="475"/>
        <w:gridCol w:w="475"/>
        <w:gridCol w:w="475"/>
        <w:gridCol w:w="1052"/>
        <w:gridCol w:w="1256"/>
        <w:gridCol w:w="439"/>
        <w:gridCol w:w="475"/>
        <w:gridCol w:w="475"/>
        <w:gridCol w:w="475"/>
        <w:gridCol w:w="1052"/>
        <w:gridCol w:w="1158"/>
        <w:gridCol w:w="1190"/>
        <w:gridCol w:w="1158"/>
      </w:tblGrid>
      <w:tr w:rsidR="00246712" w:rsidRPr="00246712" w14:paraId="4B746007" w14:textId="77777777" w:rsidTr="009834D7">
        <w:trPr>
          <w:trHeight w:val="303"/>
        </w:trPr>
        <w:tc>
          <w:tcPr>
            <w:tcW w:w="822" w:type="dxa"/>
            <w:vMerge w:val="restart"/>
            <w:tcBorders>
              <w:top w:val="single" w:sz="4" w:space="0" w:color="auto"/>
              <w:left w:val="single" w:sz="4" w:space="0" w:color="auto"/>
              <w:bottom w:val="single" w:sz="4" w:space="0" w:color="auto"/>
              <w:right w:val="single" w:sz="4" w:space="0" w:color="auto"/>
            </w:tcBorders>
            <w:shd w:val="clear" w:color="000000" w:fill="000000"/>
            <w:vAlign w:val="center"/>
            <w:hideMark/>
          </w:tcPr>
          <w:p w14:paraId="3EDB3457" w14:textId="77777777" w:rsidR="00246712" w:rsidRPr="00246712" w:rsidRDefault="00246712" w:rsidP="009A3A22">
            <w:pPr>
              <w:spacing w:after="0" w:line="240" w:lineRule="auto"/>
              <w:jc w:val="center"/>
              <w:rPr>
                <w:rFonts w:asciiTheme="minorBidi" w:eastAsia="Times New Roman" w:hAnsiTheme="minorBidi"/>
                <w:b/>
                <w:bCs/>
                <w:color w:val="FFFFFF"/>
                <w:kern w:val="0"/>
                <w:sz w:val="16"/>
                <w:szCs w:val="16"/>
                <w14:ligatures w14:val="none"/>
              </w:rPr>
            </w:pPr>
            <w:r w:rsidRPr="00246712">
              <w:rPr>
                <w:rFonts w:asciiTheme="minorBidi" w:eastAsia="Times New Roman" w:hAnsiTheme="minorBidi"/>
                <w:b/>
                <w:bCs/>
                <w:color w:val="FFFFFF"/>
                <w:kern w:val="0"/>
                <w:sz w:val="16"/>
                <w:szCs w:val="16"/>
                <w14:ligatures w14:val="none"/>
              </w:rPr>
              <w:t>Unique ID</w:t>
            </w:r>
          </w:p>
        </w:tc>
        <w:tc>
          <w:tcPr>
            <w:tcW w:w="3637" w:type="dxa"/>
            <w:gridSpan w:val="5"/>
            <w:tcBorders>
              <w:top w:val="single" w:sz="4" w:space="0" w:color="auto"/>
              <w:left w:val="nil"/>
              <w:bottom w:val="single" w:sz="4" w:space="0" w:color="auto"/>
              <w:right w:val="single" w:sz="4" w:space="0" w:color="auto"/>
            </w:tcBorders>
            <w:shd w:val="clear" w:color="000000" w:fill="FFF2CC"/>
            <w:noWrap/>
            <w:vAlign w:val="center"/>
            <w:hideMark/>
          </w:tcPr>
          <w:p w14:paraId="7A73BD40" w14:textId="77777777" w:rsidR="00246712" w:rsidRPr="00246712" w:rsidRDefault="00246712" w:rsidP="009A3A22">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1. Randomization process</w:t>
            </w:r>
          </w:p>
        </w:tc>
        <w:tc>
          <w:tcPr>
            <w:tcW w:w="3696" w:type="dxa"/>
            <w:gridSpan w:val="5"/>
            <w:tcBorders>
              <w:top w:val="single" w:sz="4" w:space="0" w:color="auto"/>
              <w:left w:val="nil"/>
              <w:bottom w:val="single" w:sz="4" w:space="0" w:color="auto"/>
              <w:right w:val="single" w:sz="4" w:space="0" w:color="auto"/>
            </w:tcBorders>
            <w:shd w:val="clear" w:color="000000" w:fill="F1CDFF"/>
            <w:noWrap/>
            <w:vAlign w:val="center"/>
            <w:hideMark/>
          </w:tcPr>
          <w:p w14:paraId="453043AD" w14:textId="77777777" w:rsidR="00246712" w:rsidRPr="00246712" w:rsidRDefault="00246712" w:rsidP="009A3A22">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S. Risk of bias arising from period and carryover effects</w:t>
            </w:r>
          </w:p>
        </w:tc>
        <w:tc>
          <w:tcPr>
            <w:tcW w:w="5535" w:type="dxa"/>
            <w:gridSpan w:val="9"/>
            <w:tcBorders>
              <w:top w:val="single" w:sz="4" w:space="0" w:color="auto"/>
              <w:left w:val="nil"/>
              <w:bottom w:val="single" w:sz="4" w:space="0" w:color="auto"/>
              <w:right w:val="single" w:sz="4" w:space="0" w:color="auto"/>
            </w:tcBorders>
            <w:shd w:val="clear" w:color="000000" w:fill="DDEBF7"/>
            <w:noWrap/>
            <w:vAlign w:val="center"/>
            <w:hideMark/>
          </w:tcPr>
          <w:p w14:paraId="67A10E66" w14:textId="77777777" w:rsidR="00246712" w:rsidRPr="00246712" w:rsidRDefault="00246712" w:rsidP="009A3A22">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2. Deviations from intended interventions</w:t>
            </w:r>
          </w:p>
        </w:tc>
        <w:tc>
          <w:tcPr>
            <w:tcW w:w="4104" w:type="dxa"/>
            <w:gridSpan w:val="6"/>
            <w:tcBorders>
              <w:top w:val="single" w:sz="4" w:space="0" w:color="auto"/>
              <w:left w:val="nil"/>
              <w:bottom w:val="single" w:sz="4" w:space="0" w:color="auto"/>
              <w:right w:val="single" w:sz="4" w:space="0" w:color="auto"/>
            </w:tcBorders>
            <w:shd w:val="clear" w:color="000000" w:fill="E2EFDA"/>
            <w:noWrap/>
            <w:vAlign w:val="center"/>
            <w:hideMark/>
          </w:tcPr>
          <w:p w14:paraId="28B254FE" w14:textId="3DBB6D4C" w:rsidR="00246712" w:rsidRPr="00246712" w:rsidRDefault="00246712" w:rsidP="009A3A22">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3. Mi</w:t>
            </w:r>
            <w:r w:rsidR="009834D7">
              <w:rPr>
                <w:rFonts w:asciiTheme="minorBidi" w:eastAsia="Times New Roman" w:hAnsiTheme="minorBidi"/>
                <w:b/>
                <w:bCs/>
                <w:color w:val="000000"/>
                <w:kern w:val="0"/>
                <w:sz w:val="16"/>
                <w:szCs w:val="16"/>
                <w14:ligatures w14:val="none"/>
              </w:rPr>
              <w:t>s</w:t>
            </w:r>
            <w:r w:rsidRPr="00246712">
              <w:rPr>
                <w:rFonts w:asciiTheme="minorBidi" w:eastAsia="Times New Roman" w:hAnsiTheme="minorBidi"/>
                <w:b/>
                <w:bCs/>
                <w:color w:val="000000"/>
                <w:kern w:val="0"/>
                <w:sz w:val="16"/>
                <w:szCs w:val="16"/>
                <w14:ligatures w14:val="none"/>
              </w:rPr>
              <w:t>sing outcome data</w:t>
            </w:r>
          </w:p>
        </w:tc>
        <w:tc>
          <w:tcPr>
            <w:tcW w:w="4683" w:type="dxa"/>
            <w:gridSpan w:val="7"/>
            <w:tcBorders>
              <w:top w:val="single" w:sz="4" w:space="0" w:color="auto"/>
              <w:left w:val="nil"/>
              <w:bottom w:val="single" w:sz="4" w:space="0" w:color="auto"/>
              <w:right w:val="single" w:sz="4" w:space="0" w:color="auto"/>
            </w:tcBorders>
            <w:shd w:val="clear" w:color="000000" w:fill="F8CBAD"/>
            <w:noWrap/>
            <w:vAlign w:val="center"/>
            <w:hideMark/>
          </w:tcPr>
          <w:p w14:paraId="5C736A5D" w14:textId="77777777" w:rsidR="00246712" w:rsidRPr="00246712" w:rsidRDefault="00246712" w:rsidP="009A3A22">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4. Measurement of the outcome</w:t>
            </w:r>
          </w:p>
        </w:tc>
        <w:tc>
          <w:tcPr>
            <w:tcW w:w="4074" w:type="dxa"/>
            <w:gridSpan w:val="6"/>
            <w:tcBorders>
              <w:top w:val="single" w:sz="4" w:space="0" w:color="auto"/>
              <w:left w:val="nil"/>
              <w:bottom w:val="single" w:sz="4" w:space="0" w:color="auto"/>
              <w:right w:val="single" w:sz="4" w:space="0" w:color="auto"/>
            </w:tcBorders>
            <w:shd w:val="clear" w:color="000000" w:fill="FFE699"/>
            <w:noWrap/>
            <w:vAlign w:val="center"/>
            <w:hideMark/>
          </w:tcPr>
          <w:p w14:paraId="52C466AC" w14:textId="77777777" w:rsidR="00246712" w:rsidRPr="00246712" w:rsidRDefault="00246712" w:rsidP="009A3A22">
            <w:pPr>
              <w:spacing w:after="0" w:line="240" w:lineRule="auto"/>
              <w:jc w:val="center"/>
              <w:rPr>
                <w:rFonts w:asciiTheme="minorBidi" w:eastAsia="Times New Roman" w:hAnsiTheme="minorBidi"/>
                <w:b/>
                <w:bCs/>
                <w:color w:val="000000"/>
                <w:kern w:val="0"/>
                <w:sz w:val="16"/>
                <w:szCs w:val="16"/>
                <w14:ligatures w14:val="none"/>
              </w:rPr>
            </w:pPr>
            <w:r w:rsidRPr="00246712">
              <w:rPr>
                <w:rFonts w:asciiTheme="minorBidi" w:eastAsia="Times New Roman" w:hAnsiTheme="minorBidi"/>
                <w:b/>
                <w:bCs/>
                <w:color w:val="000000"/>
                <w:kern w:val="0"/>
                <w:sz w:val="16"/>
                <w:szCs w:val="16"/>
                <w14:ligatures w14:val="none"/>
              </w:rPr>
              <w:t>Domain 5. Selection of the reported result</w:t>
            </w:r>
          </w:p>
        </w:tc>
        <w:tc>
          <w:tcPr>
            <w:tcW w:w="2348" w:type="dxa"/>
            <w:gridSpan w:val="2"/>
            <w:tcBorders>
              <w:top w:val="single" w:sz="4" w:space="0" w:color="auto"/>
              <w:left w:val="nil"/>
              <w:bottom w:val="single" w:sz="4" w:space="0" w:color="auto"/>
              <w:right w:val="single" w:sz="4" w:space="0" w:color="auto"/>
            </w:tcBorders>
            <w:shd w:val="clear" w:color="000000" w:fill="002060"/>
            <w:noWrap/>
            <w:vAlign w:val="center"/>
            <w:hideMark/>
          </w:tcPr>
          <w:p w14:paraId="53A3BC1C" w14:textId="77777777" w:rsidR="00246712" w:rsidRPr="00246712" w:rsidRDefault="00246712" w:rsidP="009A3A22">
            <w:pPr>
              <w:spacing w:after="0" w:line="240" w:lineRule="auto"/>
              <w:jc w:val="center"/>
              <w:rPr>
                <w:rFonts w:asciiTheme="minorBidi" w:eastAsia="Times New Roman" w:hAnsiTheme="minorBidi"/>
                <w:b/>
                <w:bCs/>
                <w:color w:val="FFFFFF"/>
                <w:kern w:val="0"/>
                <w:sz w:val="16"/>
                <w:szCs w:val="16"/>
                <w14:ligatures w14:val="none"/>
              </w:rPr>
            </w:pPr>
            <w:r w:rsidRPr="00246712">
              <w:rPr>
                <w:rFonts w:asciiTheme="minorBidi" w:eastAsia="Times New Roman" w:hAnsiTheme="minorBidi"/>
                <w:b/>
                <w:bCs/>
                <w:color w:val="FFFFFF"/>
                <w:kern w:val="0"/>
                <w:sz w:val="16"/>
                <w:szCs w:val="16"/>
                <w14:ligatures w14:val="none"/>
              </w:rPr>
              <w:t>Domain 6. Overall Bias</w:t>
            </w:r>
          </w:p>
        </w:tc>
      </w:tr>
      <w:tr w:rsidR="007D5124" w:rsidRPr="00246712" w14:paraId="04EBA2C1" w14:textId="77777777" w:rsidTr="009834D7">
        <w:trPr>
          <w:trHeight w:val="303"/>
        </w:trPr>
        <w:tc>
          <w:tcPr>
            <w:tcW w:w="822" w:type="dxa"/>
            <w:vMerge/>
            <w:tcBorders>
              <w:top w:val="single" w:sz="4" w:space="0" w:color="auto"/>
              <w:left w:val="single" w:sz="4" w:space="0" w:color="auto"/>
              <w:bottom w:val="single" w:sz="4" w:space="0" w:color="auto"/>
              <w:right w:val="single" w:sz="4" w:space="0" w:color="auto"/>
            </w:tcBorders>
            <w:vAlign w:val="center"/>
            <w:hideMark/>
          </w:tcPr>
          <w:p w14:paraId="4A94CEEC" w14:textId="77777777" w:rsidR="00246712" w:rsidRPr="00246712" w:rsidRDefault="00246712" w:rsidP="009A3A22">
            <w:pPr>
              <w:spacing w:after="0" w:line="240" w:lineRule="auto"/>
              <w:rPr>
                <w:rFonts w:asciiTheme="minorBidi" w:eastAsia="Times New Roman" w:hAnsiTheme="minorBidi"/>
                <w:b/>
                <w:bCs/>
                <w:color w:val="FFFFFF"/>
                <w:kern w:val="0"/>
                <w:sz w:val="16"/>
                <w:szCs w:val="16"/>
                <w14:ligatures w14:val="none"/>
              </w:rPr>
            </w:pPr>
          </w:p>
        </w:tc>
        <w:tc>
          <w:tcPr>
            <w:tcW w:w="475" w:type="dxa"/>
            <w:tcBorders>
              <w:top w:val="single" w:sz="4" w:space="0" w:color="auto"/>
              <w:left w:val="single" w:sz="4" w:space="0" w:color="auto"/>
              <w:bottom w:val="single" w:sz="4" w:space="0" w:color="auto"/>
              <w:right w:val="single" w:sz="4" w:space="0" w:color="auto"/>
            </w:tcBorders>
            <w:shd w:val="clear" w:color="000000" w:fill="FFF2CC"/>
            <w:noWrap/>
            <w:hideMark/>
          </w:tcPr>
          <w:p w14:paraId="49D32088"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1.1</w:t>
            </w:r>
          </w:p>
        </w:tc>
        <w:tc>
          <w:tcPr>
            <w:tcW w:w="475" w:type="dxa"/>
            <w:tcBorders>
              <w:top w:val="single" w:sz="4" w:space="0" w:color="auto"/>
              <w:left w:val="single" w:sz="4" w:space="0" w:color="auto"/>
              <w:bottom w:val="single" w:sz="4" w:space="0" w:color="auto"/>
              <w:right w:val="single" w:sz="4" w:space="0" w:color="auto"/>
            </w:tcBorders>
            <w:shd w:val="clear" w:color="000000" w:fill="FFF2CC"/>
            <w:noWrap/>
            <w:hideMark/>
          </w:tcPr>
          <w:p w14:paraId="4393D15B"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1.2</w:t>
            </w:r>
          </w:p>
        </w:tc>
        <w:tc>
          <w:tcPr>
            <w:tcW w:w="475" w:type="dxa"/>
            <w:tcBorders>
              <w:top w:val="single" w:sz="4" w:space="0" w:color="auto"/>
              <w:left w:val="single" w:sz="4" w:space="0" w:color="auto"/>
              <w:bottom w:val="single" w:sz="4" w:space="0" w:color="auto"/>
              <w:right w:val="single" w:sz="4" w:space="0" w:color="auto"/>
            </w:tcBorders>
            <w:shd w:val="clear" w:color="000000" w:fill="FFF2CC"/>
            <w:noWrap/>
            <w:hideMark/>
          </w:tcPr>
          <w:p w14:paraId="18D362A2"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1.3</w:t>
            </w:r>
          </w:p>
        </w:tc>
        <w:tc>
          <w:tcPr>
            <w:tcW w:w="1052" w:type="dxa"/>
            <w:tcBorders>
              <w:top w:val="single" w:sz="4" w:space="0" w:color="auto"/>
              <w:left w:val="single" w:sz="4" w:space="0" w:color="auto"/>
              <w:bottom w:val="single" w:sz="4" w:space="0" w:color="auto"/>
              <w:right w:val="single" w:sz="4" w:space="0" w:color="auto"/>
            </w:tcBorders>
            <w:shd w:val="clear" w:color="000000" w:fill="FFF2CC"/>
            <w:noWrap/>
            <w:hideMark/>
          </w:tcPr>
          <w:p w14:paraId="007B9AC6"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1.0 Algorithm result</w:t>
            </w:r>
          </w:p>
        </w:tc>
        <w:tc>
          <w:tcPr>
            <w:tcW w:w="1160" w:type="dxa"/>
            <w:tcBorders>
              <w:top w:val="single" w:sz="4" w:space="0" w:color="auto"/>
              <w:left w:val="single" w:sz="4" w:space="0" w:color="auto"/>
              <w:bottom w:val="single" w:sz="4" w:space="0" w:color="auto"/>
              <w:right w:val="single" w:sz="4" w:space="0" w:color="auto"/>
            </w:tcBorders>
            <w:shd w:val="clear" w:color="000000" w:fill="FFF2CC"/>
            <w:noWrap/>
            <w:hideMark/>
          </w:tcPr>
          <w:p w14:paraId="20ED6111"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1.0 Assessor's Judgement</w:t>
            </w:r>
          </w:p>
        </w:tc>
        <w:tc>
          <w:tcPr>
            <w:tcW w:w="494" w:type="dxa"/>
            <w:tcBorders>
              <w:top w:val="single" w:sz="4" w:space="0" w:color="auto"/>
              <w:left w:val="single" w:sz="4" w:space="0" w:color="auto"/>
              <w:bottom w:val="single" w:sz="4" w:space="0" w:color="auto"/>
              <w:right w:val="single" w:sz="4" w:space="0" w:color="auto"/>
            </w:tcBorders>
            <w:shd w:val="clear" w:color="000000" w:fill="F1CDFF"/>
            <w:noWrap/>
            <w:hideMark/>
          </w:tcPr>
          <w:p w14:paraId="4DB1996D"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S.1</w:t>
            </w:r>
          </w:p>
        </w:tc>
        <w:tc>
          <w:tcPr>
            <w:tcW w:w="494" w:type="dxa"/>
            <w:tcBorders>
              <w:top w:val="single" w:sz="4" w:space="0" w:color="auto"/>
              <w:left w:val="single" w:sz="4" w:space="0" w:color="auto"/>
              <w:bottom w:val="single" w:sz="4" w:space="0" w:color="auto"/>
              <w:right w:val="single" w:sz="4" w:space="0" w:color="auto"/>
            </w:tcBorders>
            <w:shd w:val="clear" w:color="000000" w:fill="F1CDFF"/>
            <w:noWrap/>
            <w:hideMark/>
          </w:tcPr>
          <w:p w14:paraId="3157BE2E"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S.2</w:t>
            </w:r>
          </w:p>
        </w:tc>
        <w:tc>
          <w:tcPr>
            <w:tcW w:w="494" w:type="dxa"/>
            <w:tcBorders>
              <w:top w:val="single" w:sz="4" w:space="0" w:color="auto"/>
              <w:left w:val="single" w:sz="4" w:space="0" w:color="auto"/>
              <w:bottom w:val="single" w:sz="4" w:space="0" w:color="auto"/>
              <w:right w:val="single" w:sz="4" w:space="0" w:color="auto"/>
            </w:tcBorders>
            <w:shd w:val="clear" w:color="000000" w:fill="F1CDFF"/>
            <w:noWrap/>
            <w:hideMark/>
          </w:tcPr>
          <w:p w14:paraId="0E27C920"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S.3</w:t>
            </w:r>
          </w:p>
        </w:tc>
        <w:tc>
          <w:tcPr>
            <w:tcW w:w="1052" w:type="dxa"/>
            <w:tcBorders>
              <w:top w:val="single" w:sz="4" w:space="0" w:color="auto"/>
              <w:left w:val="single" w:sz="4" w:space="0" w:color="auto"/>
              <w:bottom w:val="single" w:sz="4" w:space="0" w:color="auto"/>
              <w:right w:val="single" w:sz="4" w:space="0" w:color="auto"/>
            </w:tcBorders>
            <w:shd w:val="clear" w:color="000000" w:fill="F1CDFF"/>
            <w:noWrap/>
            <w:hideMark/>
          </w:tcPr>
          <w:p w14:paraId="275B7F02"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S Algorithm result</w:t>
            </w:r>
          </w:p>
        </w:tc>
        <w:tc>
          <w:tcPr>
            <w:tcW w:w="1162" w:type="dxa"/>
            <w:tcBorders>
              <w:top w:val="single" w:sz="4" w:space="0" w:color="auto"/>
              <w:left w:val="single" w:sz="4" w:space="0" w:color="auto"/>
              <w:bottom w:val="single" w:sz="4" w:space="0" w:color="auto"/>
              <w:right w:val="single" w:sz="4" w:space="0" w:color="auto"/>
            </w:tcBorders>
            <w:shd w:val="clear" w:color="000000" w:fill="F1CDFF"/>
            <w:noWrap/>
            <w:hideMark/>
          </w:tcPr>
          <w:p w14:paraId="7C2433E8"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S Assessor's Judgement</w:t>
            </w:r>
          </w:p>
        </w:tc>
        <w:tc>
          <w:tcPr>
            <w:tcW w:w="475" w:type="dxa"/>
            <w:tcBorders>
              <w:top w:val="single" w:sz="4" w:space="0" w:color="auto"/>
              <w:left w:val="single" w:sz="4" w:space="0" w:color="auto"/>
              <w:bottom w:val="single" w:sz="4" w:space="0" w:color="auto"/>
              <w:right w:val="single" w:sz="4" w:space="0" w:color="auto"/>
            </w:tcBorders>
            <w:shd w:val="clear" w:color="000000" w:fill="DDEBF7"/>
            <w:noWrap/>
            <w:hideMark/>
          </w:tcPr>
          <w:p w14:paraId="13E856BA"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2.1</w:t>
            </w:r>
          </w:p>
        </w:tc>
        <w:tc>
          <w:tcPr>
            <w:tcW w:w="475" w:type="dxa"/>
            <w:tcBorders>
              <w:top w:val="single" w:sz="4" w:space="0" w:color="auto"/>
              <w:left w:val="single" w:sz="4" w:space="0" w:color="auto"/>
              <w:bottom w:val="single" w:sz="4" w:space="0" w:color="auto"/>
              <w:right w:val="single" w:sz="4" w:space="0" w:color="auto"/>
            </w:tcBorders>
            <w:shd w:val="clear" w:color="000000" w:fill="DDEBF7"/>
            <w:noWrap/>
            <w:hideMark/>
          </w:tcPr>
          <w:p w14:paraId="5353D265"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2.2</w:t>
            </w:r>
          </w:p>
        </w:tc>
        <w:tc>
          <w:tcPr>
            <w:tcW w:w="475" w:type="dxa"/>
            <w:tcBorders>
              <w:top w:val="single" w:sz="4" w:space="0" w:color="auto"/>
              <w:left w:val="single" w:sz="4" w:space="0" w:color="auto"/>
              <w:bottom w:val="single" w:sz="4" w:space="0" w:color="auto"/>
              <w:right w:val="single" w:sz="4" w:space="0" w:color="auto"/>
            </w:tcBorders>
            <w:shd w:val="clear" w:color="000000" w:fill="DDEBF7"/>
            <w:noWrap/>
            <w:hideMark/>
          </w:tcPr>
          <w:p w14:paraId="51BB48B4"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2.3</w:t>
            </w:r>
          </w:p>
        </w:tc>
        <w:tc>
          <w:tcPr>
            <w:tcW w:w="475" w:type="dxa"/>
            <w:tcBorders>
              <w:top w:val="single" w:sz="4" w:space="0" w:color="auto"/>
              <w:left w:val="single" w:sz="4" w:space="0" w:color="auto"/>
              <w:bottom w:val="single" w:sz="4" w:space="0" w:color="auto"/>
              <w:right w:val="single" w:sz="4" w:space="0" w:color="auto"/>
            </w:tcBorders>
            <w:shd w:val="clear" w:color="000000" w:fill="DDEBF7"/>
            <w:noWrap/>
            <w:hideMark/>
          </w:tcPr>
          <w:p w14:paraId="18E0FD55"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2.4</w:t>
            </w:r>
          </w:p>
        </w:tc>
        <w:tc>
          <w:tcPr>
            <w:tcW w:w="475" w:type="dxa"/>
            <w:tcBorders>
              <w:top w:val="single" w:sz="4" w:space="0" w:color="auto"/>
              <w:left w:val="single" w:sz="4" w:space="0" w:color="auto"/>
              <w:bottom w:val="single" w:sz="4" w:space="0" w:color="auto"/>
              <w:right w:val="single" w:sz="4" w:space="0" w:color="auto"/>
            </w:tcBorders>
            <w:shd w:val="clear" w:color="000000" w:fill="DDEBF7"/>
            <w:noWrap/>
            <w:hideMark/>
          </w:tcPr>
          <w:p w14:paraId="0A63547D"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2.5</w:t>
            </w:r>
          </w:p>
        </w:tc>
        <w:tc>
          <w:tcPr>
            <w:tcW w:w="475" w:type="dxa"/>
            <w:tcBorders>
              <w:top w:val="single" w:sz="4" w:space="0" w:color="auto"/>
              <w:left w:val="single" w:sz="4" w:space="0" w:color="auto"/>
              <w:bottom w:val="single" w:sz="4" w:space="0" w:color="auto"/>
              <w:right w:val="single" w:sz="4" w:space="0" w:color="auto"/>
            </w:tcBorders>
            <w:shd w:val="clear" w:color="000000" w:fill="DDEBF7"/>
            <w:noWrap/>
            <w:hideMark/>
          </w:tcPr>
          <w:p w14:paraId="1FACF224"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2.6</w:t>
            </w:r>
          </w:p>
        </w:tc>
        <w:tc>
          <w:tcPr>
            <w:tcW w:w="475" w:type="dxa"/>
            <w:tcBorders>
              <w:top w:val="single" w:sz="4" w:space="0" w:color="auto"/>
              <w:left w:val="single" w:sz="4" w:space="0" w:color="auto"/>
              <w:bottom w:val="single" w:sz="4" w:space="0" w:color="auto"/>
              <w:right w:val="single" w:sz="4" w:space="0" w:color="auto"/>
            </w:tcBorders>
            <w:shd w:val="clear" w:color="000000" w:fill="DDEBF7"/>
            <w:noWrap/>
            <w:hideMark/>
          </w:tcPr>
          <w:p w14:paraId="48D2016E"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2.7</w:t>
            </w:r>
          </w:p>
        </w:tc>
        <w:tc>
          <w:tcPr>
            <w:tcW w:w="1052" w:type="dxa"/>
            <w:tcBorders>
              <w:top w:val="single" w:sz="4" w:space="0" w:color="auto"/>
              <w:left w:val="single" w:sz="4" w:space="0" w:color="auto"/>
              <w:bottom w:val="single" w:sz="4" w:space="0" w:color="auto"/>
              <w:right w:val="single" w:sz="4" w:space="0" w:color="auto"/>
            </w:tcBorders>
            <w:shd w:val="clear" w:color="000000" w:fill="DDEBF7"/>
            <w:noWrap/>
            <w:hideMark/>
          </w:tcPr>
          <w:p w14:paraId="3B8DB533"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2.0 Algorithm result</w:t>
            </w:r>
          </w:p>
        </w:tc>
        <w:tc>
          <w:tcPr>
            <w:tcW w:w="1158" w:type="dxa"/>
            <w:tcBorders>
              <w:top w:val="single" w:sz="4" w:space="0" w:color="auto"/>
              <w:left w:val="single" w:sz="4" w:space="0" w:color="auto"/>
              <w:bottom w:val="single" w:sz="4" w:space="0" w:color="auto"/>
              <w:right w:val="single" w:sz="4" w:space="0" w:color="auto"/>
            </w:tcBorders>
            <w:shd w:val="clear" w:color="000000" w:fill="DDEBF7"/>
            <w:noWrap/>
            <w:hideMark/>
          </w:tcPr>
          <w:p w14:paraId="466D3002"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2.0 Assessor's Judgement</w:t>
            </w:r>
          </w:p>
        </w:tc>
        <w:tc>
          <w:tcPr>
            <w:tcW w:w="475" w:type="dxa"/>
            <w:tcBorders>
              <w:top w:val="single" w:sz="4" w:space="0" w:color="auto"/>
              <w:left w:val="single" w:sz="4" w:space="0" w:color="auto"/>
              <w:bottom w:val="single" w:sz="4" w:space="0" w:color="auto"/>
              <w:right w:val="single" w:sz="4" w:space="0" w:color="auto"/>
            </w:tcBorders>
            <w:shd w:val="clear" w:color="000000" w:fill="E2EFDA"/>
            <w:noWrap/>
            <w:hideMark/>
          </w:tcPr>
          <w:p w14:paraId="65D78555"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3.1</w:t>
            </w:r>
          </w:p>
        </w:tc>
        <w:tc>
          <w:tcPr>
            <w:tcW w:w="475" w:type="dxa"/>
            <w:tcBorders>
              <w:top w:val="single" w:sz="4" w:space="0" w:color="auto"/>
              <w:left w:val="single" w:sz="4" w:space="0" w:color="auto"/>
              <w:bottom w:val="single" w:sz="4" w:space="0" w:color="auto"/>
              <w:right w:val="single" w:sz="4" w:space="0" w:color="auto"/>
            </w:tcBorders>
            <w:shd w:val="clear" w:color="000000" w:fill="E2EFDA"/>
            <w:noWrap/>
            <w:hideMark/>
          </w:tcPr>
          <w:p w14:paraId="1822E818"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3.2</w:t>
            </w:r>
          </w:p>
        </w:tc>
        <w:tc>
          <w:tcPr>
            <w:tcW w:w="475" w:type="dxa"/>
            <w:tcBorders>
              <w:top w:val="single" w:sz="4" w:space="0" w:color="auto"/>
              <w:left w:val="single" w:sz="4" w:space="0" w:color="auto"/>
              <w:bottom w:val="single" w:sz="4" w:space="0" w:color="auto"/>
              <w:right w:val="single" w:sz="4" w:space="0" w:color="auto"/>
            </w:tcBorders>
            <w:shd w:val="clear" w:color="000000" w:fill="E2EFDA"/>
            <w:noWrap/>
            <w:hideMark/>
          </w:tcPr>
          <w:p w14:paraId="0E2EAEDF"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3.3</w:t>
            </w:r>
          </w:p>
        </w:tc>
        <w:tc>
          <w:tcPr>
            <w:tcW w:w="475" w:type="dxa"/>
            <w:tcBorders>
              <w:top w:val="single" w:sz="4" w:space="0" w:color="auto"/>
              <w:left w:val="single" w:sz="4" w:space="0" w:color="auto"/>
              <w:bottom w:val="single" w:sz="4" w:space="0" w:color="auto"/>
              <w:right w:val="single" w:sz="4" w:space="0" w:color="auto"/>
            </w:tcBorders>
            <w:shd w:val="clear" w:color="000000" w:fill="E2EFDA"/>
            <w:noWrap/>
            <w:hideMark/>
          </w:tcPr>
          <w:p w14:paraId="2FF765CC"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3.4</w:t>
            </w:r>
          </w:p>
        </w:tc>
        <w:tc>
          <w:tcPr>
            <w:tcW w:w="1052" w:type="dxa"/>
            <w:tcBorders>
              <w:top w:val="single" w:sz="4" w:space="0" w:color="auto"/>
              <w:left w:val="single" w:sz="4" w:space="0" w:color="auto"/>
              <w:bottom w:val="single" w:sz="4" w:space="0" w:color="auto"/>
              <w:right w:val="single" w:sz="4" w:space="0" w:color="auto"/>
            </w:tcBorders>
            <w:shd w:val="clear" w:color="000000" w:fill="E2EFDA"/>
            <w:noWrap/>
            <w:hideMark/>
          </w:tcPr>
          <w:p w14:paraId="41091335"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3.0 Algorithm result</w:t>
            </w:r>
          </w:p>
        </w:tc>
        <w:tc>
          <w:tcPr>
            <w:tcW w:w="1152" w:type="dxa"/>
            <w:tcBorders>
              <w:top w:val="single" w:sz="4" w:space="0" w:color="auto"/>
              <w:left w:val="single" w:sz="4" w:space="0" w:color="auto"/>
              <w:bottom w:val="single" w:sz="4" w:space="0" w:color="auto"/>
              <w:right w:val="single" w:sz="4" w:space="0" w:color="auto"/>
            </w:tcBorders>
            <w:shd w:val="clear" w:color="000000" w:fill="E2EFDA"/>
            <w:noWrap/>
            <w:hideMark/>
          </w:tcPr>
          <w:p w14:paraId="1432B8C4"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3.0 Assessor's judgement</w:t>
            </w:r>
          </w:p>
        </w:tc>
        <w:tc>
          <w:tcPr>
            <w:tcW w:w="475" w:type="dxa"/>
            <w:tcBorders>
              <w:top w:val="single" w:sz="4" w:space="0" w:color="auto"/>
              <w:left w:val="single" w:sz="4" w:space="0" w:color="auto"/>
              <w:bottom w:val="single" w:sz="4" w:space="0" w:color="auto"/>
              <w:right w:val="single" w:sz="4" w:space="0" w:color="auto"/>
            </w:tcBorders>
            <w:shd w:val="clear" w:color="000000" w:fill="F8CBAD"/>
            <w:noWrap/>
            <w:hideMark/>
          </w:tcPr>
          <w:p w14:paraId="78E6E8E1"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4.1</w:t>
            </w:r>
          </w:p>
        </w:tc>
        <w:tc>
          <w:tcPr>
            <w:tcW w:w="475" w:type="dxa"/>
            <w:tcBorders>
              <w:top w:val="single" w:sz="4" w:space="0" w:color="auto"/>
              <w:left w:val="single" w:sz="4" w:space="0" w:color="auto"/>
              <w:bottom w:val="single" w:sz="4" w:space="0" w:color="auto"/>
              <w:right w:val="single" w:sz="4" w:space="0" w:color="auto"/>
            </w:tcBorders>
            <w:shd w:val="clear" w:color="000000" w:fill="F8CBAD"/>
            <w:noWrap/>
            <w:hideMark/>
          </w:tcPr>
          <w:p w14:paraId="4D80E9FC"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4.2</w:t>
            </w:r>
          </w:p>
        </w:tc>
        <w:tc>
          <w:tcPr>
            <w:tcW w:w="475" w:type="dxa"/>
            <w:tcBorders>
              <w:top w:val="single" w:sz="4" w:space="0" w:color="auto"/>
              <w:left w:val="single" w:sz="4" w:space="0" w:color="auto"/>
              <w:bottom w:val="single" w:sz="4" w:space="0" w:color="auto"/>
              <w:right w:val="single" w:sz="4" w:space="0" w:color="auto"/>
            </w:tcBorders>
            <w:shd w:val="clear" w:color="000000" w:fill="F8CBAD"/>
            <w:noWrap/>
            <w:hideMark/>
          </w:tcPr>
          <w:p w14:paraId="659D5843"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4.3</w:t>
            </w:r>
          </w:p>
        </w:tc>
        <w:tc>
          <w:tcPr>
            <w:tcW w:w="475" w:type="dxa"/>
            <w:tcBorders>
              <w:top w:val="single" w:sz="4" w:space="0" w:color="auto"/>
              <w:left w:val="single" w:sz="4" w:space="0" w:color="auto"/>
              <w:bottom w:val="single" w:sz="4" w:space="0" w:color="auto"/>
              <w:right w:val="single" w:sz="4" w:space="0" w:color="auto"/>
            </w:tcBorders>
            <w:shd w:val="clear" w:color="000000" w:fill="F8CBAD"/>
            <w:noWrap/>
            <w:hideMark/>
          </w:tcPr>
          <w:p w14:paraId="604FFBDF"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4.4</w:t>
            </w:r>
          </w:p>
        </w:tc>
        <w:tc>
          <w:tcPr>
            <w:tcW w:w="475" w:type="dxa"/>
            <w:tcBorders>
              <w:top w:val="single" w:sz="4" w:space="0" w:color="auto"/>
              <w:left w:val="single" w:sz="4" w:space="0" w:color="auto"/>
              <w:bottom w:val="single" w:sz="4" w:space="0" w:color="auto"/>
              <w:right w:val="single" w:sz="4" w:space="0" w:color="auto"/>
            </w:tcBorders>
            <w:shd w:val="clear" w:color="000000" w:fill="F8CBAD"/>
            <w:noWrap/>
            <w:hideMark/>
          </w:tcPr>
          <w:p w14:paraId="777E8BAD"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4.5</w:t>
            </w:r>
          </w:p>
        </w:tc>
        <w:tc>
          <w:tcPr>
            <w:tcW w:w="1052" w:type="dxa"/>
            <w:tcBorders>
              <w:top w:val="single" w:sz="4" w:space="0" w:color="auto"/>
              <w:left w:val="single" w:sz="4" w:space="0" w:color="auto"/>
              <w:bottom w:val="single" w:sz="4" w:space="0" w:color="auto"/>
              <w:right w:val="single" w:sz="4" w:space="0" w:color="auto"/>
            </w:tcBorders>
            <w:shd w:val="clear" w:color="000000" w:fill="F8CBAD"/>
            <w:noWrap/>
            <w:hideMark/>
          </w:tcPr>
          <w:p w14:paraId="4CC15ABE"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4.0 Algorithm result</w:t>
            </w:r>
          </w:p>
        </w:tc>
        <w:tc>
          <w:tcPr>
            <w:tcW w:w="1256" w:type="dxa"/>
            <w:tcBorders>
              <w:top w:val="single" w:sz="4" w:space="0" w:color="auto"/>
              <w:left w:val="single" w:sz="4" w:space="0" w:color="auto"/>
              <w:bottom w:val="single" w:sz="4" w:space="0" w:color="auto"/>
              <w:right w:val="single" w:sz="4" w:space="0" w:color="auto"/>
            </w:tcBorders>
            <w:shd w:val="clear" w:color="000000" w:fill="F8CBAD"/>
            <w:noWrap/>
            <w:hideMark/>
          </w:tcPr>
          <w:p w14:paraId="30C2FE45"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4.0 Assessor's Judgement</w:t>
            </w:r>
          </w:p>
        </w:tc>
        <w:tc>
          <w:tcPr>
            <w:tcW w:w="439" w:type="dxa"/>
            <w:tcBorders>
              <w:top w:val="single" w:sz="4" w:space="0" w:color="auto"/>
              <w:left w:val="single" w:sz="4" w:space="0" w:color="auto"/>
              <w:bottom w:val="single" w:sz="4" w:space="0" w:color="auto"/>
              <w:right w:val="single" w:sz="4" w:space="0" w:color="auto"/>
            </w:tcBorders>
            <w:shd w:val="clear" w:color="000000" w:fill="FFE699"/>
            <w:noWrap/>
            <w:hideMark/>
          </w:tcPr>
          <w:p w14:paraId="43A16F56"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5.1</w:t>
            </w:r>
          </w:p>
        </w:tc>
        <w:tc>
          <w:tcPr>
            <w:tcW w:w="475" w:type="dxa"/>
            <w:tcBorders>
              <w:top w:val="single" w:sz="4" w:space="0" w:color="auto"/>
              <w:left w:val="single" w:sz="4" w:space="0" w:color="auto"/>
              <w:bottom w:val="single" w:sz="4" w:space="0" w:color="auto"/>
              <w:right w:val="single" w:sz="4" w:space="0" w:color="auto"/>
            </w:tcBorders>
            <w:shd w:val="clear" w:color="000000" w:fill="FFE699"/>
            <w:noWrap/>
            <w:hideMark/>
          </w:tcPr>
          <w:p w14:paraId="23392104"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5.2</w:t>
            </w:r>
          </w:p>
        </w:tc>
        <w:tc>
          <w:tcPr>
            <w:tcW w:w="475" w:type="dxa"/>
            <w:tcBorders>
              <w:top w:val="single" w:sz="4" w:space="0" w:color="auto"/>
              <w:left w:val="single" w:sz="4" w:space="0" w:color="auto"/>
              <w:bottom w:val="single" w:sz="4" w:space="0" w:color="auto"/>
              <w:right w:val="single" w:sz="4" w:space="0" w:color="auto"/>
            </w:tcBorders>
            <w:shd w:val="clear" w:color="000000" w:fill="FFE699"/>
            <w:noWrap/>
            <w:hideMark/>
          </w:tcPr>
          <w:p w14:paraId="61B46A12"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5.3</w:t>
            </w:r>
          </w:p>
        </w:tc>
        <w:tc>
          <w:tcPr>
            <w:tcW w:w="475" w:type="dxa"/>
            <w:tcBorders>
              <w:top w:val="single" w:sz="4" w:space="0" w:color="auto"/>
              <w:left w:val="single" w:sz="4" w:space="0" w:color="auto"/>
              <w:bottom w:val="single" w:sz="4" w:space="0" w:color="auto"/>
              <w:right w:val="single" w:sz="4" w:space="0" w:color="auto"/>
            </w:tcBorders>
            <w:shd w:val="clear" w:color="000000" w:fill="FFE699"/>
            <w:noWrap/>
            <w:hideMark/>
          </w:tcPr>
          <w:p w14:paraId="615629A6"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5.4</w:t>
            </w:r>
          </w:p>
        </w:tc>
        <w:tc>
          <w:tcPr>
            <w:tcW w:w="1052" w:type="dxa"/>
            <w:tcBorders>
              <w:top w:val="single" w:sz="4" w:space="0" w:color="auto"/>
              <w:left w:val="single" w:sz="4" w:space="0" w:color="auto"/>
              <w:bottom w:val="single" w:sz="4" w:space="0" w:color="auto"/>
              <w:right w:val="single" w:sz="4" w:space="0" w:color="auto"/>
            </w:tcBorders>
            <w:shd w:val="clear" w:color="000000" w:fill="FFE699"/>
            <w:noWrap/>
            <w:hideMark/>
          </w:tcPr>
          <w:p w14:paraId="4188C1D6"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5.0 Algorithm result</w:t>
            </w:r>
          </w:p>
        </w:tc>
        <w:tc>
          <w:tcPr>
            <w:tcW w:w="1158" w:type="dxa"/>
            <w:tcBorders>
              <w:top w:val="single" w:sz="4" w:space="0" w:color="auto"/>
              <w:left w:val="single" w:sz="4" w:space="0" w:color="auto"/>
              <w:bottom w:val="single" w:sz="4" w:space="0" w:color="auto"/>
              <w:right w:val="single" w:sz="4" w:space="0" w:color="auto"/>
            </w:tcBorders>
            <w:shd w:val="clear" w:color="000000" w:fill="FFE699"/>
            <w:noWrap/>
            <w:hideMark/>
          </w:tcPr>
          <w:p w14:paraId="3681043C" w14:textId="77777777" w:rsidR="00246712" w:rsidRPr="00246712" w:rsidRDefault="00246712" w:rsidP="009A3A22">
            <w:pPr>
              <w:spacing w:after="0" w:line="240" w:lineRule="auto"/>
              <w:rPr>
                <w:rFonts w:asciiTheme="minorBidi" w:eastAsia="Times New Roman" w:hAnsiTheme="minorBidi"/>
                <w:b/>
                <w:bCs/>
                <w:kern w:val="0"/>
                <w:sz w:val="16"/>
                <w:szCs w:val="16"/>
                <w14:ligatures w14:val="none"/>
              </w:rPr>
            </w:pPr>
            <w:r w:rsidRPr="00246712">
              <w:rPr>
                <w:rFonts w:asciiTheme="minorBidi" w:eastAsia="Times New Roman" w:hAnsiTheme="minorBidi"/>
                <w:b/>
                <w:bCs/>
                <w:kern w:val="0"/>
                <w:sz w:val="16"/>
                <w:szCs w:val="16"/>
                <w14:ligatures w14:val="none"/>
              </w:rPr>
              <w:t>5.0 Assessor's Judgement</w:t>
            </w:r>
          </w:p>
        </w:tc>
        <w:tc>
          <w:tcPr>
            <w:tcW w:w="1190" w:type="dxa"/>
            <w:tcBorders>
              <w:top w:val="single" w:sz="4" w:space="0" w:color="auto"/>
              <w:left w:val="single" w:sz="4" w:space="0" w:color="auto"/>
              <w:bottom w:val="single" w:sz="4" w:space="0" w:color="auto"/>
              <w:right w:val="single" w:sz="4" w:space="0" w:color="auto"/>
            </w:tcBorders>
            <w:shd w:val="clear" w:color="000000" w:fill="002060"/>
            <w:noWrap/>
            <w:hideMark/>
          </w:tcPr>
          <w:p w14:paraId="0E8C554E" w14:textId="77777777" w:rsidR="00246712" w:rsidRPr="00246712" w:rsidRDefault="00246712" w:rsidP="009A3A22">
            <w:pPr>
              <w:spacing w:after="0" w:line="240" w:lineRule="auto"/>
              <w:rPr>
                <w:rFonts w:asciiTheme="minorBidi" w:eastAsia="Times New Roman" w:hAnsiTheme="minorBidi"/>
                <w:b/>
                <w:bCs/>
                <w:color w:val="FFFFFF"/>
                <w:kern w:val="0"/>
                <w:sz w:val="16"/>
                <w:szCs w:val="16"/>
                <w14:ligatures w14:val="none"/>
              </w:rPr>
            </w:pPr>
            <w:r w:rsidRPr="00246712">
              <w:rPr>
                <w:rFonts w:asciiTheme="minorBidi" w:eastAsia="Times New Roman" w:hAnsiTheme="minorBidi"/>
                <w:b/>
                <w:bCs/>
                <w:color w:val="FFFFFF"/>
                <w:kern w:val="0"/>
                <w:sz w:val="16"/>
                <w:szCs w:val="16"/>
                <w14:ligatures w14:val="none"/>
              </w:rPr>
              <w:t>Algorithm's overall Judgement</w:t>
            </w:r>
          </w:p>
        </w:tc>
        <w:tc>
          <w:tcPr>
            <w:tcW w:w="1158" w:type="dxa"/>
            <w:tcBorders>
              <w:top w:val="single" w:sz="4" w:space="0" w:color="auto"/>
              <w:left w:val="single" w:sz="4" w:space="0" w:color="auto"/>
              <w:bottom w:val="single" w:sz="4" w:space="0" w:color="auto"/>
              <w:right w:val="single" w:sz="4" w:space="0" w:color="auto"/>
            </w:tcBorders>
            <w:shd w:val="clear" w:color="000000" w:fill="002060"/>
            <w:noWrap/>
            <w:hideMark/>
          </w:tcPr>
          <w:p w14:paraId="38B14D34" w14:textId="77777777" w:rsidR="00246712" w:rsidRPr="00246712" w:rsidRDefault="00246712" w:rsidP="009A3A22">
            <w:pPr>
              <w:spacing w:after="0" w:line="240" w:lineRule="auto"/>
              <w:rPr>
                <w:rFonts w:asciiTheme="minorBidi" w:eastAsia="Times New Roman" w:hAnsiTheme="minorBidi"/>
                <w:b/>
                <w:bCs/>
                <w:color w:val="FFFFFF"/>
                <w:kern w:val="0"/>
                <w:sz w:val="16"/>
                <w:szCs w:val="16"/>
                <w14:ligatures w14:val="none"/>
              </w:rPr>
            </w:pPr>
            <w:r w:rsidRPr="00246712">
              <w:rPr>
                <w:rFonts w:asciiTheme="minorBidi" w:eastAsia="Times New Roman" w:hAnsiTheme="minorBidi"/>
                <w:b/>
                <w:bCs/>
                <w:color w:val="FFFFFF"/>
                <w:kern w:val="0"/>
                <w:sz w:val="16"/>
                <w:szCs w:val="16"/>
                <w14:ligatures w14:val="none"/>
              </w:rPr>
              <w:t>Assessor's overall Judgement</w:t>
            </w:r>
          </w:p>
        </w:tc>
      </w:tr>
      <w:tr w:rsidR="00246712" w:rsidRPr="00246712" w14:paraId="2FD39504" w14:textId="77777777" w:rsidTr="009834D7">
        <w:trPr>
          <w:trHeight w:val="303"/>
        </w:trPr>
        <w:tc>
          <w:tcPr>
            <w:tcW w:w="822" w:type="dxa"/>
            <w:tcBorders>
              <w:top w:val="nil"/>
              <w:left w:val="single" w:sz="4" w:space="0" w:color="auto"/>
              <w:bottom w:val="single" w:sz="4" w:space="0" w:color="auto"/>
              <w:right w:val="single" w:sz="4" w:space="0" w:color="auto"/>
            </w:tcBorders>
            <w:shd w:val="clear" w:color="D9D9D9" w:fill="D9D9D9"/>
            <w:noWrap/>
            <w:hideMark/>
          </w:tcPr>
          <w:p w14:paraId="5ECF77F0" w14:textId="2E39974B" w:rsidR="00246712" w:rsidRPr="00246712" w:rsidRDefault="000467EE" w:rsidP="009A3A22">
            <w:pPr>
              <w:spacing w:after="0" w:line="240" w:lineRule="auto"/>
              <w:rPr>
                <w:rFonts w:asciiTheme="minorBidi" w:eastAsia="Times New Roman" w:hAnsiTheme="minorBidi"/>
                <w:kern w:val="0"/>
                <w:sz w:val="16"/>
                <w:szCs w:val="16"/>
                <w14:ligatures w14:val="none"/>
              </w:rPr>
            </w:pPr>
            <w:r w:rsidRPr="000467EE">
              <w:rPr>
                <w:rFonts w:asciiTheme="minorBidi" w:eastAsia="Times New Roman" w:hAnsiTheme="minorBidi"/>
                <w:color w:val="000000"/>
                <w:kern w:val="0"/>
                <w:sz w:val="16"/>
                <w:szCs w:val="16"/>
                <w14:ligatures w14:val="none"/>
              </w:rPr>
              <w:t xml:space="preserve">Kılıç et al., 2025 </w:t>
            </w:r>
            <w:bookmarkStart w:id="3" w:name="_Hlk238133571"/>
            <w:r w:rsidR="00EE34A2" w:rsidRPr="000467EE">
              <w:rPr>
                <w:rFonts w:asciiTheme="minorBidi" w:eastAsia="Times New Roman" w:hAnsiTheme="minorBidi"/>
                <w:kern w:val="0"/>
                <w:sz w:val="16"/>
                <w:szCs w:val="16"/>
                <w14:ligatures w14:val="none"/>
              </w:rPr>
              <w:fldChar w:fldCharType="begin" w:fldLock="1"/>
            </w:r>
            <w:r w:rsidR="00EE34A2">
              <w:rPr>
                <w:rFonts w:asciiTheme="minorBidi" w:eastAsia="Times New Roman" w:hAnsiTheme="minorBidi"/>
                <w:kern w:val="0"/>
                <w:sz w:val="16"/>
                <w:szCs w:val="16"/>
                <w14:ligatures w14:val="none"/>
              </w:rPr>
              <w:instrText>ADDIN CSL_CITATION {"citationItems":[{"id":"ITEM-1","itemData":{"DOI":"10.1186/s12903-025-06928-w WE  - Science Citation Index Expanded (SCI-EXPANDED)","ISSN":"1472-6831 J9  - BMC ORAL HEALTH JI  - BMC Oral Health","abstract":"Background Recent advancements in orthodontics have led to the widespread use of clear aligners, appreciated for their aesthetic and comfort advantages. However, standardized cleaning instructions remain undefined, and maintaining the surface integrity of aligners is critical for treatment efficacy and patient satisfaction. Although several studies have evaluated the effects of cleaning agents, comprehensive clinical evidence regarding their impact on the colour stability and surface roughness of Invisalign aligners is still lacking. This study aims to address this gap by comparing the effects of five commonly used cleaning agents on these key properties. Objectives To assess the influence of various cleaning agents on both the colour and surface roughness of clear aligners. Materials and methods This randomized crossover clinical trial included 23 participants with good oral hygiene, each requiring more than 12 aligners. Participants were randomly assigned to use two different cleaning agents in two consecutive treatment phases. The agents tested were: (1) Invisalign Cleaning Crystals (Align Technology, USA), (2) Efferdent Anti-Bacterial Denture Cleanser (Prestige Brands, USA), (3) Sensodyne Rapid Relief toothpaste (GlaxoSmithKline, UK), (4) Signal White Now Whitening Toothpaste (Unilever, USA), and (5) colourant-free clear soap (La Petit Marseillaise, France). Colour measurements (Delta E) were obtained using a spectrophotometer based on the CIE Lab* system, and surface roughness was evaluated with an optical profilometer. Bonferroni-corrected post hoc pairwise comparisons were conducted using Jamovi version 2.6.26. Results Colourant-free clear soap caused the least colour change, while the Cleaning Crystals and Whitening Toothpaste showed the highest. Control (unused) aligners had greater surface roughness than cleaned aligners. Among cleaning agents, the Cleaning Crystals group exhibited significantly higher roughness than most others (p &lt; 0.05). Conclusions Cleaning agents influence the aesthetic and physical properties of aligners to varying degrees. Colourant-free clear soap demonstrated minimal impact on both colour and surface integrity and may be recommended as a safe and inexpensive option for daily aligner care.","author":[{"dropping-particle":"","family":"Kiliç","given":"B","non-dropping-particle":"","parse-names":false,"suffix":""},{"dropping-particle":"","family":"Canpolat","given":"S","non-dropping-particle":"","parse-names":false,"suffix":""},{"dropping-particle":"","family":"Öztürk","given":"M","non-dropping-particle":"","parse-names":false,"suffix":""}],"container-title":"BMC ORAL HEALTH","id":"ITEM-1","issue":"1","issued":{"date-parts":[["2025"]]},"language":"English","note":"Times Cited in Web of Science Core Collection: 1\nTotal Times Cited: 1\nCited Reference Count: 40","publisher-place":"Bezmialem Vakif Univ, Fac Dent, Dept Orthodont, Istanbul, Turkiye","title":"Comparative evaluation of the effect of different cleaning agents on colour and surface roughness of Invisalign clear aligners: a cross-over randomized controlled trial","type":"article-journal","volume":"25"},"uris":["http://www.mendeley.com/documents/?uuid=aca78cba-398a-4b8e-8e39-16572f748aaa"]}],"mendeley":{"formattedCitation":"[106]","plainTextFormattedCitation":"[106]","previouslyFormattedCitation":"[107]"},"properties":{"noteIndex":0},"schema":"https://github.com/citation-style-language/schema/raw/master/csl-citation.json"}</w:instrText>
            </w:r>
            <w:r w:rsidR="00EE34A2" w:rsidRPr="000467EE">
              <w:rPr>
                <w:rFonts w:asciiTheme="minorBidi" w:eastAsia="Times New Roman" w:hAnsiTheme="minorBidi"/>
                <w:kern w:val="0"/>
                <w:sz w:val="16"/>
                <w:szCs w:val="16"/>
                <w14:ligatures w14:val="none"/>
              </w:rPr>
              <w:fldChar w:fldCharType="separate"/>
            </w:r>
            <w:r w:rsidR="00EE34A2" w:rsidRPr="004E7F95">
              <w:rPr>
                <w:rFonts w:asciiTheme="minorBidi" w:eastAsia="Times New Roman" w:hAnsiTheme="minorBidi"/>
                <w:noProof/>
                <w:kern w:val="0"/>
                <w:sz w:val="16"/>
                <w:szCs w:val="16"/>
                <w14:ligatures w14:val="none"/>
              </w:rPr>
              <w:t>[106]</w:t>
            </w:r>
            <w:r w:rsidR="00EE34A2" w:rsidRPr="000467EE">
              <w:rPr>
                <w:rFonts w:asciiTheme="minorBidi" w:eastAsia="Times New Roman" w:hAnsiTheme="minorBidi"/>
                <w:kern w:val="0"/>
                <w:sz w:val="16"/>
                <w:szCs w:val="16"/>
                <w14:ligatures w14:val="none"/>
              </w:rPr>
              <w:fldChar w:fldCharType="end"/>
            </w:r>
            <w:bookmarkEnd w:id="3"/>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92A5F"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B65D7"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NI</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EAF17"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FD1DC"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2A9DB"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B1497"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1E37C"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PY</w:t>
            </w:r>
          </w:p>
        </w:tc>
        <w:tc>
          <w:tcPr>
            <w:tcW w:w="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0E4FD"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D88B1"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1AC6A"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04E99"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43999"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25948"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7E98F"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7FAF3"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PN</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31A9D"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PN</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0C6CF"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7E1DF"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11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0E66E"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4C932"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Y</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78F0E"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7EAB8"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47E7E"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5861D"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Low</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6ADF3"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Low</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C0B94"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537D5"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BC504"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1EDBE"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A49D8"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NA</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FC9AD"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Low</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89C08"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Low</w:t>
            </w:r>
          </w:p>
        </w:tc>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6C2DD"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PN</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6E579A"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PN</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37514"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PY</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F5AB4"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N</w:t>
            </w:r>
          </w:p>
        </w:tc>
        <w:tc>
          <w:tcPr>
            <w:tcW w:w="1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78E71"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11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08A32"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297D3"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c>
          <w:tcPr>
            <w:tcW w:w="11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756A4" w14:textId="77777777" w:rsidR="00246712" w:rsidRPr="00246712" w:rsidRDefault="00246712" w:rsidP="00246712">
            <w:pPr>
              <w:spacing w:after="0" w:line="240" w:lineRule="auto"/>
              <w:jc w:val="center"/>
              <w:rPr>
                <w:rFonts w:asciiTheme="minorBidi" w:eastAsia="Times New Roman" w:hAnsiTheme="minorBidi"/>
                <w:kern w:val="0"/>
                <w:sz w:val="16"/>
                <w:szCs w:val="16"/>
                <w14:ligatures w14:val="none"/>
              </w:rPr>
            </w:pPr>
            <w:r w:rsidRPr="00246712">
              <w:rPr>
                <w:rFonts w:asciiTheme="minorBidi" w:eastAsia="Times New Roman" w:hAnsiTheme="minorBidi"/>
                <w:kern w:val="0"/>
                <w:sz w:val="16"/>
                <w:szCs w:val="16"/>
                <w14:ligatures w14:val="none"/>
              </w:rPr>
              <w:t>High</w:t>
            </w:r>
          </w:p>
        </w:tc>
      </w:tr>
      <w:tr w:rsidR="005304A6" w:rsidRPr="00246712" w14:paraId="047C3424" w14:textId="77777777" w:rsidTr="009834D7">
        <w:trPr>
          <w:trHeight w:val="303"/>
        </w:trPr>
        <w:tc>
          <w:tcPr>
            <w:tcW w:w="28899" w:type="dxa"/>
            <w:gridSpan w:val="41"/>
            <w:tcBorders>
              <w:top w:val="single" w:sz="4" w:space="0" w:color="auto"/>
            </w:tcBorders>
            <w:shd w:val="clear" w:color="auto" w:fill="auto"/>
            <w:noWrap/>
          </w:tcPr>
          <w:p w14:paraId="68AE5EEA" w14:textId="2AA2F052" w:rsidR="005304A6" w:rsidRPr="00246712" w:rsidRDefault="005304A6" w:rsidP="005304A6">
            <w:pPr>
              <w:spacing w:after="0" w:line="240" w:lineRule="auto"/>
              <w:rPr>
                <w:rFonts w:asciiTheme="minorBidi" w:eastAsia="Times New Roman" w:hAnsiTheme="minorBidi"/>
                <w:kern w:val="0"/>
                <w:sz w:val="16"/>
                <w:szCs w:val="16"/>
                <w14:ligatures w14:val="none"/>
              </w:rPr>
            </w:pPr>
            <w:r w:rsidRPr="000B22C8">
              <w:rPr>
                <w:rFonts w:asciiTheme="minorBidi" w:eastAsia="Times New Roman" w:hAnsiTheme="minorBidi"/>
                <w:kern w:val="0"/>
                <w:sz w:val="16"/>
                <w:szCs w:val="16"/>
                <w14:ligatures w14:val="none"/>
              </w:rPr>
              <w:t xml:space="preserve">Abbreviations: N, No; NA, not applicable; </w:t>
            </w:r>
            <w:r>
              <w:rPr>
                <w:rFonts w:asciiTheme="minorBidi" w:eastAsia="Times New Roman" w:hAnsiTheme="minorBidi"/>
                <w:kern w:val="0"/>
                <w:sz w:val="16"/>
                <w:szCs w:val="16"/>
                <w14:ligatures w14:val="none"/>
              </w:rPr>
              <w:t>NI, no information; PN</w:t>
            </w:r>
            <w:r w:rsidRPr="000B22C8">
              <w:rPr>
                <w:rFonts w:asciiTheme="minorBidi" w:eastAsia="Times New Roman" w:hAnsiTheme="minorBidi"/>
                <w:kern w:val="0"/>
                <w:sz w:val="16"/>
                <w:szCs w:val="16"/>
                <w14:ligatures w14:val="none"/>
              </w:rPr>
              <w:t xml:space="preserve">, </w:t>
            </w:r>
            <w:r>
              <w:rPr>
                <w:rFonts w:asciiTheme="minorBidi" w:eastAsia="Times New Roman" w:hAnsiTheme="minorBidi"/>
                <w:kern w:val="0"/>
                <w:sz w:val="16"/>
                <w:szCs w:val="16"/>
                <w14:ligatures w14:val="none"/>
              </w:rPr>
              <w:t>probably no</w:t>
            </w:r>
            <w:r w:rsidRPr="000B22C8">
              <w:rPr>
                <w:rFonts w:asciiTheme="minorBidi" w:eastAsia="Times New Roman" w:hAnsiTheme="minorBidi"/>
                <w:kern w:val="0"/>
                <w:sz w:val="16"/>
                <w:szCs w:val="16"/>
                <w14:ligatures w14:val="none"/>
              </w:rPr>
              <w:t xml:space="preserve">; </w:t>
            </w:r>
            <w:r>
              <w:rPr>
                <w:rFonts w:asciiTheme="minorBidi" w:eastAsia="Times New Roman" w:hAnsiTheme="minorBidi"/>
                <w:kern w:val="0"/>
                <w:sz w:val="16"/>
                <w:szCs w:val="16"/>
                <w14:ligatures w14:val="none"/>
              </w:rPr>
              <w:t xml:space="preserve">PY, probably yes; </w:t>
            </w:r>
            <w:r w:rsidRPr="000B22C8">
              <w:rPr>
                <w:rFonts w:asciiTheme="minorBidi" w:eastAsia="Times New Roman" w:hAnsiTheme="minorBidi"/>
                <w:kern w:val="0"/>
                <w:sz w:val="16"/>
                <w:szCs w:val="16"/>
                <w14:ligatures w14:val="none"/>
              </w:rPr>
              <w:t>Y, yes.</w:t>
            </w:r>
          </w:p>
        </w:tc>
      </w:tr>
    </w:tbl>
    <w:p w14:paraId="775CD16D" w14:textId="77777777" w:rsidR="00246712" w:rsidRDefault="00246712" w:rsidP="00246712">
      <w:pPr>
        <w:spacing w:after="0"/>
        <w:rPr>
          <w:rFonts w:asciiTheme="minorBidi" w:hAnsiTheme="minorBidi"/>
          <w:sz w:val="18"/>
          <w:szCs w:val="18"/>
        </w:rPr>
      </w:pPr>
    </w:p>
    <w:p w14:paraId="734246F5" w14:textId="77777777" w:rsidR="00246712" w:rsidRPr="00246712" w:rsidRDefault="00246712" w:rsidP="00246712">
      <w:pPr>
        <w:spacing w:after="0"/>
        <w:rPr>
          <w:rFonts w:asciiTheme="minorBidi" w:hAnsiTheme="minorBidi"/>
          <w:sz w:val="18"/>
          <w:szCs w:val="18"/>
        </w:rPr>
      </w:pPr>
    </w:p>
    <w:p w14:paraId="7DBC07ED" w14:textId="1D03DB27" w:rsidR="00246712" w:rsidRDefault="00246712" w:rsidP="00246712">
      <w:pPr>
        <w:spacing w:after="0"/>
      </w:pPr>
    </w:p>
    <w:sectPr w:rsidR="00246712" w:rsidSect="00246712">
      <w:pgSz w:w="30240" w:h="12240" w:orient="landscape"/>
      <w:pgMar w:top="1800" w:right="1440" w:bottom="1800" w:left="13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Light">
    <w:panose1 w:val="020B0603030403020204"/>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B7A88"/>
    <w:multiLevelType w:val="hybridMultilevel"/>
    <w:tmpl w:val="B240B34C"/>
    <w:lvl w:ilvl="0" w:tplc="BC2C69E8">
      <w:start w:val="6"/>
      <w:numFmt w:val="bullet"/>
      <w:lvlText w:val="-"/>
      <w:lvlJc w:val="left"/>
      <w:pPr>
        <w:ind w:left="720" w:hanging="360"/>
      </w:pPr>
      <w:rPr>
        <w:rFonts w:ascii="Times New Roman" w:eastAsia="Times New Roman" w:hAnsi="Times New Roman" w:cs="Times New Roman" w:hint="default"/>
      </w:rPr>
    </w:lvl>
    <w:lvl w:ilvl="1" w:tplc="64F8F1D0" w:tentative="1">
      <w:start w:val="1"/>
      <w:numFmt w:val="bullet"/>
      <w:lvlText w:val="o"/>
      <w:lvlJc w:val="left"/>
      <w:pPr>
        <w:ind w:left="1440" w:hanging="360"/>
      </w:pPr>
      <w:rPr>
        <w:rFonts w:ascii="Courier New" w:hAnsi="Courier New" w:cs="Courier New" w:hint="default"/>
      </w:rPr>
    </w:lvl>
    <w:lvl w:ilvl="2" w:tplc="6E1EE9F4" w:tentative="1">
      <w:start w:val="1"/>
      <w:numFmt w:val="bullet"/>
      <w:lvlText w:val=""/>
      <w:lvlJc w:val="left"/>
      <w:pPr>
        <w:ind w:left="2160" w:hanging="360"/>
      </w:pPr>
      <w:rPr>
        <w:rFonts w:ascii="Wingdings" w:hAnsi="Wingdings" w:hint="default"/>
      </w:rPr>
    </w:lvl>
    <w:lvl w:ilvl="3" w:tplc="B3707378" w:tentative="1">
      <w:start w:val="1"/>
      <w:numFmt w:val="bullet"/>
      <w:lvlText w:val=""/>
      <w:lvlJc w:val="left"/>
      <w:pPr>
        <w:ind w:left="2880" w:hanging="360"/>
      </w:pPr>
      <w:rPr>
        <w:rFonts w:ascii="Symbol" w:hAnsi="Symbol" w:hint="default"/>
      </w:rPr>
    </w:lvl>
    <w:lvl w:ilvl="4" w:tplc="36FE2E44" w:tentative="1">
      <w:start w:val="1"/>
      <w:numFmt w:val="bullet"/>
      <w:lvlText w:val="o"/>
      <w:lvlJc w:val="left"/>
      <w:pPr>
        <w:ind w:left="3600" w:hanging="360"/>
      </w:pPr>
      <w:rPr>
        <w:rFonts w:ascii="Courier New" w:hAnsi="Courier New" w:cs="Courier New" w:hint="default"/>
      </w:rPr>
    </w:lvl>
    <w:lvl w:ilvl="5" w:tplc="42507E20" w:tentative="1">
      <w:start w:val="1"/>
      <w:numFmt w:val="bullet"/>
      <w:lvlText w:val=""/>
      <w:lvlJc w:val="left"/>
      <w:pPr>
        <w:ind w:left="4320" w:hanging="360"/>
      </w:pPr>
      <w:rPr>
        <w:rFonts w:ascii="Wingdings" w:hAnsi="Wingdings" w:hint="default"/>
      </w:rPr>
    </w:lvl>
    <w:lvl w:ilvl="6" w:tplc="FA96F412" w:tentative="1">
      <w:start w:val="1"/>
      <w:numFmt w:val="bullet"/>
      <w:lvlText w:val=""/>
      <w:lvlJc w:val="left"/>
      <w:pPr>
        <w:ind w:left="5040" w:hanging="360"/>
      </w:pPr>
      <w:rPr>
        <w:rFonts w:ascii="Symbol" w:hAnsi="Symbol" w:hint="default"/>
      </w:rPr>
    </w:lvl>
    <w:lvl w:ilvl="7" w:tplc="D5F231DE" w:tentative="1">
      <w:start w:val="1"/>
      <w:numFmt w:val="bullet"/>
      <w:lvlText w:val="o"/>
      <w:lvlJc w:val="left"/>
      <w:pPr>
        <w:ind w:left="5760" w:hanging="360"/>
      </w:pPr>
      <w:rPr>
        <w:rFonts w:ascii="Courier New" w:hAnsi="Courier New" w:cs="Courier New" w:hint="default"/>
      </w:rPr>
    </w:lvl>
    <w:lvl w:ilvl="8" w:tplc="661259B0" w:tentative="1">
      <w:start w:val="1"/>
      <w:numFmt w:val="bullet"/>
      <w:lvlText w:val=""/>
      <w:lvlJc w:val="left"/>
      <w:pPr>
        <w:ind w:left="6480" w:hanging="360"/>
      </w:pPr>
      <w:rPr>
        <w:rFonts w:ascii="Wingdings" w:hAnsi="Wingdings" w:hint="default"/>
      </w:rPr>
    </w:lvl>
  </w:abstractNum>
  <w:abstractNum w:abstractNumId="1" w15:restartNumberingAfterBreak="0">
    <w:nsid w:val="50C27324"/>
    <w:multiLevelType w:val="multilevel"/>
    <w:tmpl w:val="46B4FB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asciiTheme="minorBidi" w:hAnsiTheme="minorBidi" w:cstheme="minorBidi" w:hint="default"/>
        <w:b w:val="0"/>
        <w:bCs w:val="0"/>
        <w:i/>
        <w:iCs/>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F822F43"/>
    <w:multiLevelType w:val="multilevel"/>
    <w:tmpl w:val="AAB09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6234B2"/>
    <w:multiLevelType w:val="multilevel"/>
    <w:tmpl w:val="B28E7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5A622F"/>
    <w:multiLevelType w:val="hybridMultilevel"/>
    <w:tmpl w:val="5D88814E"/>
    <w:lvl w:ilvl="0" w:tplc="E6BC5446">
      <w:start w:val="6"/>
      <w:numFmt w:val="bullet"/>
      <w:lvlText w:val="-"/>
      <w:lvlJc w:val="left"/>
      <w:pPr>
        <w:ind w:left="720" w:hanging="360"/>
      </w:pPr>
      <w:rPr>
        <w:rFonts w:ascii="Times New Roman" w:eastAsia="Times New Roman" w:hAnsi="Times New Roman" w:cs="Times New Roman" w:hint="default"/>
      </w:rPr>
    </w:lvl>
    <w:lvl w:ilvl="1" w:tplc="7A5473E4" w:tentative="1">
      <w:start w:val="1"/>
      <w:numFmt w:val="bullet"/>
      <w:lvlText w:val="o"/>
      <w:lvlJc w:val="left"/>
      <w:pPr>
        <w:ind w:left="1440" w:hanging="360"/>
      </w:pPr>
      <w:rPr>
        <w:rFonts w:ascii="Courier New" w:hAnsi="Courier New" w:cs="Courier New" w:hint="default"/>
      </w:rPr>
    </w:lvl>
    <w:lvl w:ilvl="2" w:tplc="95FA42CA" w:tentative="1">
      <w:start w:val="1"/>
      <w:numFmt w:val="bullet"/>
      <w:lvlText w:val=""/>
      <w:lvlJc w:val="left"/>
      <w:pPr>
        <w:ind w:left="2160" w:hanging="360"/>
      </w:pPr>
      <w:rPr>
        <w:rFonts w:ascii="Wingdings" w:hAnsi="Wingdings" w:hint="default"/>
      </w:rPr>
    </w:lvl>
    <w:lvl w:ilvl="3" w:tplc="91643B30" w:tentative="1">
      <w:start w:val="1"/>
      <w:numFmt w:val="bullet"/>
      <w:lvlText w:val=""/>
      <w:lvlJc w:val="left"/>
      <w:pPr>
        <w:ind w:left="2880" w:hanging="360"/>
      </w:pPr>
      <w:rPr>
        <w:rFonts w:ascii="Symbol" w:hAnsi="Symbol" w:hint="default"/>
      </w:rPr>
    </w:lvl>
    <w:lvl w:ilvl="4" w:tplc="1368DD58" w:tentative="1">
      <w:start w:val="1"/>
      <w:numFmt w:val="bullet"/>
      <w:lvlText w:val="o"/>
      <w:lvlJc w:val="left"/>
      <w:pPr>
        <w:ind w:left="3600" w:hanging="360"/>
      </w:pPr>
      <w:rPr>
        <w:rFonts w:ascii="Courier New" w:hAnsi="Courier New" w:cs="Courier New" w:hint="default"/>
      </w:rPr>
    </w:lvl>
    <w:lvl w:ilvl="5" w:tplc="2FCE65DE" w:tentative="1">
      <w:start w:val="1"/>
      <w:numFmt w:val="bullet"/>
      <w:lvlText w:val=""/>
      <w:lvlJc w:val="left"/>
      <w:pPr>
        <w:ind w:left="4320" w:hanging="360"/>
      </w:pPr>
      <w:rPr>
        <w:rFonts w:ascii="Wingdings" w:hAnsi="Wingdings" w:hint="default"/>
      </w:rPr>
    </w:lvl>
    <w:lvl w:ilvl="6" w:tplc="8D1CEABE" w:tentative="1">
      <w:start w:val="1"/>
      <w:numFmt w:val="bullet"/>
      <w:lvlText w:val=""/>
      <w:lvlJc w:val="left"/>
      <w:pPr>
        <w:ind w:left="5040" w:hanging="360"/>
      </w:pPr>
      <w:rPr>
        <w:rFonts w:ascii="Symbol" w:hAnsi="Symbol" w:hint="default"/>
      </w:rPr>
    </w:lvl>
    <w:lvl w:ilvl="7" w:tplc="35F436E8" w:tentative="1">
      <w:start w:val="1"/>
      <w:numFmt w:val="bullet"/>
      <w:lvlText w:val="o"/>
      <w:lvlJc w:val="left"/>
      <w:pPr>
        <w:ind w:left="5760" w:hanging="360"/>
      </w:pPr>
      <w:rPr>
        <w:rFonts w:ascii="Courier New" w:hAnsi="Courier New" w:cs="Courier New" w:hint="default"/>
      </w:rPr>
    </w:lvl>
    <w:lvl w:ilvl="8" w:tplc="E946A220" w:tentative="1">
      <w:start w:val="1"/>
      <w:numFmt w:val="bullet"/>
      <w:lvlText w:val=""/>
      <w:lvlJc w:val="left"/>
      <w:pPr>
        <w:ind w:left="6480" w:hanging="360"/>
      </w:pPr>
      <w:rPr>
        <w:rFonts w:ascii="Wingdings" w:hAnsi="Wingdings" w:hint="default"/>
      </w:rPr>
    </w:lvl>
  </w:abstractNum>
  <w:abstractNum w:abstractNumId="5" w15:restartNumberingAfterBreak="0">
    <w:nsid w:val="7A6306D3"/>
    <w:multiLevelType w:val="hybridMultilevel"/>
    <w:tmpl w:val="EFE0F6E4"/>
    <w:lvl w:ilvl="0" w:tplc="41748940">
      <w:start w:val="6"/>
      <w:numFmt w:val="bullet"/>
      <w:lvlText w:val="-"/>
      <w:lvlJc w:val="left"/>
      <w:pPr>
        <w:ind w:left="720" w:hanging="360"/>
      </w:pPr>
      <w:rPr>
        <w:rFonts w:ascii="Times New Roman" w:eastAsia="Times New Roman" w:hAnsi="Times New Roman" w:cs="Times New Roman" w:hint="default"/>
      </w:rPr>
    </w:lvl>
    <w:lvl w:ilvl="1" w:tplc="CF404C50" w:tentative="1">
      <w:start w:val="1"/>
      <w:numFmt w:val="bullet"/>
      <w:lvlText w:val="o"/>
      <w:lvlJc w:val="left"/>
      <w:pPr>
        <w:ind w:left="1440" w:hanging="360"/>
      </w:pPr>
      <w:rPr>
        <w:rFonts w:ascii="Courier New" w:hAnsi="Courier New" w:cs="Courier New" w:hint="default"/>
      </w:rPr>
    </w:lvl>
    <w:lvl w:ilvl="2" w:tplc="30A2221A" w:tentative="1">
      <w:start w:val="1"/>
      <w:numFmt w:val="bullet"/>
      <w:lvlText w:val=""/>
      <w:lvlJc w:val="left"/>
      <w:pPr>
        <w:ind w:left="2160" w:hanging="360"/>
      </w:pPr>
      <w:rPr>
        <w:rFonts w:ascii="Wingdings" w:hAnsi="Wingdings" w:hint="default"/>
      </w:rPr>
    </w:lvl>
    <w:lvl w:ilvl="3" w:tplc="81065BBE" w:tentative="1">
      <w:start w:val="1"/>
      <w:numFmt w:val="bullet"/>
      <w:lvlText w:val=""/>
      <w:lvlJc w:val="left"/>
      <w:pPr>
        <w:ind w:left="2880" w:hanging="360"/>
      </w:pPr>
      <w:rPr>
        <w:rFonts w:ascii="Symbol" w:hAnsi="Symbol" w:hint="default"/>
      </w:rPr>
    </w:lvl>
    <w:lvl w:ilvl="4" w:tplc="03FEA608" w:tentative="1">
      <w:start w:val="1"/>
      <w:numFmt w:val="bullet"/>
      <w:lvlText w:val="o"/>
      <w:lvlJc w:val="left"/>
      <w:pPr>
        <w:ind w:left="3600" w:hanging="360"/>
      </w:pPr>
      <w:rPr>
        <w:rFonts w:ascii="Courier New" w:hAnsi="Courier New" w:cs="Courier New" w:hint="default"/>
      </w:rPr>
    </w:lvl>
    <w:lvl w:ilvl="5" w:tplc="0F685182" w:tentative="1">
      <w:start w:val="1"/>
      <w:numFmt w:val="bullet"/>
      <w:lvlText w:val=""/>
      <w:lvlJc w:val="left"/>
      <w:pPr>
        <w:ind w:left="4320" w:hanging="360"/>
      </w:pPr>
      <w:rPr>
        <w:rFonts w:ascii="Wingdings" w:hAnsi="Wingdings" w:hint="default"/>
      </w:rPr>
    </w:lvl>
    <w:lvl w:ilvl="6" w:tplc="764CA696" w:tentative="1">
      <w:start w:val="1"/>
      <w:numFmt w:val="bullet"/>
      <w:lvlText w:val=""/>
      <w:lvlJc w:val="left"/>
      <w:pPr>
        <w:ind w:left="5040" w:hanging="360"/>
      </w:pPr>
      <w:rPr>
        <w:rFonts w:ascii="Symbol" w:hAnsi="Symbol" w:hint="default"/>
      </w:rPr>
    </w:lvl>
    <w:lvl w:ilvl="7" w:tplc="5CA6D10A" w:tentative="1">
      <w:start w:val="1"/>
      <w:numFmt w:val="bullet"/>
      <w:lvlText w:val="o"/>
      <w:lvlJc w:val="left"/>
      <w:pPr>
        <w:ind w:left="5760" w:hanging="360"/>
      </w:pPr>
      <w:rPr>
        <w:rFonts w:ascii="Courier New" w:hAnsi="Courier New" w:cs="Courier New" w:hint="default"/>
      </w:rPr>
    </w:lvl>
    <w:lvl w:ilvl="8" w:tplc="2604D85E" w:tentative="1">
      <w:start w:val="1"/>
      <w:numFmt w:val="bullet"/>
      <w:lvlText w:val=""/>
      <w:lvlJc w:val="left"/>
      <w:pPr>
        <w:ind w:left="6480" w:hanging="360"/>
      </w:pPr>
      <w:rPr>
        <w:rFonts w:ascii="Wingdings" w:hAnsi="Wingdings" w:hint="default"/>
      </w:rPr>
    </w:lvl>
  </w:abstractNum>
  <w:num w:numId="1" w16cid:durableId="1832989474">
    <w:abstractNumId w:val="4"/>
  </w:num>
  <w:num w:numId="2" w16cid:durableId="1451052962">
    <w:abstractNumId w:val="0"/>
  </w:num>
  <w:num w:numId="3" w16cid:durableId="1022707369">
    <w:abstractNumId w:val="5"/>
  </w:num>
  <w:num w:numId="4" w16cid:durableId="162859170">
    <w:abstractNumId w:val="2"/>
  </w:num>
  <w:num w:numId="5" w16cid:durableId="1631084653">
    <w:abstractNumId w:val="3"/>
  </w:num>
  <w:num w:numId="6" w16cid:durableId="1852184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12"/>
    <w:rsid w:val="000467EE"/>
    <w:rsid w:val="00203684"/>
    <w:rsid w:val="00246712"/>
    <w:rsid w:val="00342981"/>
    <w:rsid w:val="003D3167"/>
    <w:rsid w:val="004A5C66"/>
    <w:rsid w:val="00506899"/>
    <w:rsid w:val="005304A6"/>
    <w:rsid w:val="006C5C0D"/>
    <w:rsid w:val="007D5124"/>
    <w:rsid w:val="00836B5B"/>
    <w:rsid w:val="008F75B5"/>
    <w:rsid w:val="00973DF8"/>
    <w:rsid w:val="009752D4"/>
    <w:rsid w:val="009834D7"/>
    <w:rsid w:val="00995770"/>
    <w:rsid w:val="00A033FD"/>
    <w:rsid w:val="00A370CD"/>
    <w:rsid w:val="00B51F99"/>
    <w:rsid w:val="00D63436"/>
    <w:rsid w:val="00E33A9F"/>
    <w:rsid w:val="00EC21C3"/>
    <w:rsid w:val="00EE34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4032F"/>
  <w15:chartTrackingRefBased/>
  <w15:docId w15:val="{87732564-1317-4B19-A7F0-F3EC5AE6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46712"/>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next w:val="Normal"/>
    <w:link w:val="Heading3Char"/>
    <w:uiPriority w:val="9"/>
    <w:semiHidden/>
    <w:unhideWhenUsed/>
    <w:qFormat/>
    <w:rsid w:val="0024671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6712"/>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semiHidden/>
    <w:rsid w:val="00246712"/>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246712"/>
    <w:rPr>
      <w:color w:val="0563C1"/>
      <w:u w:val="single"/>
    </w:rPr>
  </w:style>
  <w:style w:type="character" w:styleId="FollowedHyperlink">
    <w:name w:val="FollowedHyperlink"/>
    <w:basedOn w:val="DefaultParagraphFont"/>
    <w:uiPriority w:val="99"/>
    <w:semiHidden/>
    <w:unhideWhenUsed/>
    <w:rsid w:val="00246712"/>
    <w:rPr>
      <w:color w:val="954F72"/>
      <w:u w:val="single"/>
    </w:rPr>
  </w:style>
  <w:style w:type="paragraph" w:customStyle="1" w:styleId="msonormal0">
    <w:name w:val="msonormal"/>
    <w:basedOn w:val="Normal"/>
    <w:rsid w:val="00246712"/>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246712"/>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246712"/>
    <w:pPr>
      <w:ind w:left="720"/>
      <w:contextualSpacing/>
    </w:pPr>
  </w:style>
  <w:style w:type="character" w:styleId="Strong">
    <w:name w:val="Strong"/>
    <w:basedOn w:val="DefaultParagraphFont"/>
    <w:uiPriority w:val="22"/>
    <w:qFormat/>
    <w:rsid w:val="00246712"/>
    <w:rPr>
      <w:b/>
      <w:bCs/>
    </w:rPr>
  </w:style>
  <w:style w:type="paragraph" w:customStyle="1" w:styleId="MdParagraph">
    <w:name w:val="MdParagraph"/>
    <w:qFormat/>
    <w:rsid w:val="00246712"/>
    <w:pPr>
      <w:spacing w:before="120" w:after="120" w:line="240" w:lineRule="auto"/>
    </w:pPr>
    <w:rPr>
      <w:rFonts w:ascii="Times New Roman" w:eastAsia="Times New Roman" w:hAnsi="Times New Roman" w:cs="Times New Roman"/>
      <w:kern w:val="0"/>
      <w:sz w:val="24"/>
      <w:szCs w:val="24"/>
    </w:rPr>
  </w:style>
  <w:style w:type="character" w:customStyle="1" w:styleId="MdStrong">
    <w:name w:val="MdStrong"/>
    <w:uiPriority w:val="99"/>
    <w:unhideWhenUsed/>
    <w:qFormat/>
    <w:rsid w:val="00246712"/>
    <w:rPr>
      <w:b/>
      <w:bCs/>
    </w:rPr>
  </w:style>
  <w:style w:type="paragraph" w:customStyle="1" w:styleId="MdSpace">
    <w:name w:val="MdSpace"/>
    <w:qFormat/>
    <w:rsid w:val="00246712"/>
    <w:pPr>
      <w:spacing w:after="0" w:line="240" w:lineRule="auto"/>
    </w:pPr>
    <w:rPr>
      <w:rFonts w:ascii="Times New Roman" w:eastAsia="Times New Roman" w:hAnsi="Times New Roman" w:cs="Times New Roman"/>
      <w:kern w:val="0"/>
      <w:sz w:val="12"/>
      <w:szCs w:val="12"/>
    </w:rPr>
  </w:style>
  <w:style w:type="character" w:customStyle="1" w:styleId="prosperocitation-author">
    <w:name w:val="prosperocitation-author"/>
    <w:basedOn w:val="DefaultParagraphFont"/>
    <w:rsid w:val="00246712"/>
  </w:style>
  <w:style w:type="character" w:customStyle="1" w:styleId="prosperocitation-comma">
    <w:name w:val="prosperocitation-comma"/>
    <w:basedOn w:val="DefaultParagraphFont"/>
    <w:rsid w:val="00246712"/>
  </w:style>
  <w:style w:type="paragraph" w:customStyle="1" w:styleId="font5">
    <w:name w:val="font5"/>
    <w:basedOn w:val="Normal"/>
    <w:rsid w:val="00246712"/>
    <w:pPr>
      <w:spacing w:before="100" w:beforeAutospacing="1" w:after="100" w:afterAutospacing="1" w:line="240" w:lineRule="auto"/>
    </w:pPr>
    <w:rPr>
      <w:rFonts w:ascii="Calibri" w:eastAsia="Times New Roman" w:hAnsi="Calibri" w:cs="Calibri"/>
      <w:kern w:val="0"/>
    </w:rPr>
  </w:style>
  <w:style w:type="paragraph" w:customStyle="1" w:styleId="font6">
    <w:name w:val="font6"/>
    <w:basedOn w:val="Normal"/>
    <w:rsid w:val="00246712"/>
    <w:pPr>
      <w:spacing w:before="100" w:beforeAutospacing="1" w:after="100" w:afterAutospacing="1" w:line="240" w:lineRule="auto"/>
    </w:pPr>
    <w:rPr>
      <w:rFonts w:ascii="Calibri" w:eastAsia="Times New Roman" w:hAnsi="Calibri" w:cs="Calibri"/>
      <w:color w:val="FF0000"/>
      <w:kern w:val="0"/>
    </w:rPr>
  </w:style>
  <w:style w:type="paragraph" w:customStyle="1" w:styleId="xl65">
    <w:name w:val="xl65"/>
    <w:basedOn w:val="Normal"/>
    <w:rsid w:val="00246712"/>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textAlignment w:val="top"/>
    </w:pPr>
    <w:rPr>
      <w:rFonts w:ascii="Times New Roman" w:eastAsia="Times New Roman" w:hAnsi="Times New Roman" w:cs="Times New Roman"/>
      <w:b/>
      <w:bCs/>
      <w:color w:val="FFFFFF"/>
      <w:kern w:val="0"/>
      <w:sz w:val="24"/>
      <w:szCs w:val="24"/>
    </w:rPr>
  </w:style>
  <w:style w:type="paragraph" w:customStyle="1" w:styleId="xl66">
    <w:name w:val="xl66"/>
    <w:basedOn w:val="Normal"/>
    <w:rsid w:val="00246712"/>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textAlignment w:val="top"/>
    </w:pPr>
    <w:rPr>
      <w:rFonts w:ascii="Times New Roman" w:eastAsia="Times New Roman" w:hAnsi="Times New Roman" w:cs="Times New Roman"/>
      <w:b/>
      <w:bCs/>
      <w:kern w:val="0"/>
      <w:sz w:val="24"/>
      <w:szCs w:val="24"/>
    </w:rPr>
  </w:style>
  <w:style w:type="paragraph" w:customStyle="1" w:styleId="xl67">
    <w:name w:val="xl67"/>
    <w:basedOn w:val="Normal"/>
    <w:rsid w:val="002467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68">
    <w:name w:val="xl68"/>
    <w:basedOn w:val="Normal"/>
    <w:rsid w:val="0024671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69">
    <w:name w:val="xl69"/>
    <w:basedOn w:val="Normal"/>
    <w:rsid w:val="0024671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70">
    <w:name w:val="xl70"/>
    <w:basedOn w:val="Normal"/>
    <w:rsid w:val="002467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71">
    <w:name w:val="xl71"/>
    <w:basedOn w:val="Normal"/>
    <w:rsid w:val="00246712"/>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72">
    <w:name w:val="xl72"/>
    <w:basedOn w:val="Normal"/>
    <w:rsid w:val="0024671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73">
    <w:name w:val="xl73"/>
    <w:basedOn w:val="Normal"/>
    <w:rsid w:val="00246712"/>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74">
    <w:name w:val="xl74"/>
    <w:basedOn w:val="Normal"/>
    <w:rsid w:val="002467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kern w:val="0"/>
      <w:sz w:val="24"/>
      <w:szCs w:val="24"/>
    </w:rPr>
  </w:style>
  <w:style w:type="paragraph" w:customStyle="1" w:styleId="xl75">
    <w:name w:val="xl75"/>
    <w:basedOn w:val="Normal"/>
    <w:rsid w:val="00246712"/>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customStyle="1" w:styleId="xl76">
    <w:name w:val="xl76"/>
    <w:basedOn w:val="Normal"/>
    <w:rsid w:val="00246712"/>
    <w:pPr>
      <w:pBdr>
        <w:left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kern w:val="0"/>
      <w:sz w:val="24"/>
      <w:szCs w:val="24"/>
    </w:rPr>
  </w:style>
  <w:style w:type="paragraph" w:styleId="Header">
    <w:name w:val="header"/>
    <w:basedOn w:val="Normal"/>
    <w:link w:val="HeaderChar"/>
    <w:uiPriority w:val="99"/>
    <w:unhideWhenUsed/>
    <w:rsid w:val="00246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712"/>
  </w:style>
  <w:style w:type="paragraph" w:styleId="Footer">
    <w:name w:val="footer"/>
    <w:basedOn w:val="Normal"/>
    <w:link w:val="FooterChar"/>
    <w:uiPriority w:val="99"/>
    <w:unhideWhenUsed/>
    <w:rsid w:val="00246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712"/>
  </w:style>
  <w:style w:type="character" w:styleId="UnresolvedMention">
    <w:name w:val="Unresolved Mention"/>
    <w:basedOn w:val="DefaultParagraphFont"/>
    <w:uiPriority w:val="99"/>
    <w:semiHidden/>
    <w:unhideWhenUsed/>
    <w:rsid w:val="00246712"/>
    <w:rPr>
      <w:color w:val="605E5C"/>
      <w:shd w:val="clear" w:color="auto" w:fill="E1DFDD"/>
    </w:rPr>
  </w:style>
  <w:style w:type="paragraph" w:customStyle="1" w:styleId="Pa23">
    <w:name w:val="Pa23"/>
    <w:basedOn w:val="Normal"/>
    <w:next w:val="Normal"/>
    <w:uiPriority w:val="99"/>
    <w:rsid w:val="00246712"/>
    <w:pPr>
      <w:autoSpaceDE w:val="0"/>
      <w:autoSpaceDN w:val="0"/>
      <w:adjustRightInd w:val="0"/>
      <w:spacing w:after="0" w:line="151" w:lineRule="atLeast"/>
    </w:pPr>
    <w:rPr>
      <w:rFonts w:ascii="Myriad Pro Light" w:hAnsi="Myriad Pro Light"/>
      <w:kern w:val="0"/>
      <w:sz w:val="24"/>
      <w:szCs w:val="24"/>
    </w:rPr>
  </w:style>
  <w:style w:type="character" w:styleId="LineNumber">
    <w:name w:val="line number"/>
    <w:basedOn w:val="DefaultParagraphFont"/>
    <w:uiPriority w:val="99"/>
    <w:semiHidden/>
    <w:unhideWhenUsed/>
    <w:rsid w:val="00246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095155">
      <w:bodyDiv w:val="1"/>
      <w:marLeft w:val="0"/>
      <w:marRight w:val="0"/>
      <w:marTop w:val="0"/>
      <w:marBottom w:val="0"/>
      <w:divBdr>
        <w:top w:val="none" w:sz="0" w:space="0" w:color="auto"/>
        <w:left w:val="none" w:sz="0" w:space="0" w:color="auto"/>
        <w:bottom w:val="none" w:sz="0" w:space="0" w:color="auto"/>
        <w:right w:val="none" w:sz="0" w:space="0" w:color="auto"/>
      </w:divBdr>
    </w:div>
    <w:div w:id="120726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35812</Words>
  <Characters>204135</Characters>
  <Application>Microsoft Office Word</Application>
  <DocSecurity>0</DocSecurity>
  <Lines>1701</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2026-08-15T20:07:00Z</dcterms:created>
  <dcterms:modified xsi:type="dcterms:W3CDTF">2026-08-22T12:46:00Z</dcterms:modified>
</cp:coreProperties>
</file>