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8666B" w:rsidRPr="009C7C1C" w:rsidRDefault="0058666B" w:rsidP="0058666B">
      <w:pPr>
        <w:spacing w:line="480" w:lineRule="auto"/>
        <w:rPr>
          <w:rFonts w:ascii="Times New Roman" w:hAnsi="Times New Roman" w:cs="Times New Roman"/>
          <w:b/>
        </w:rPr>
      </w:pPr>
      <w:r w:rsidRPr="009C7C1C">
        <w:rPr>
          <w:rFonts w:ascii="Times New Roman" w:hAnsi="Times New Roman" w:cs="Times New Roman"/>
          <w:b/>
        </w:rPr>
        <w:t>Technical Appendix</w:t>
      </w:r>
    </w:p>
    <w:p w:rsidR="0058666B" w:rsidRPr="00513A05" w:rsidRDefault="0058666B" w:rsidP="0058666B">
      <w:pPr>
        <w:spacing w:line="480" w:lineRule="auto"/>
        <w:rPr>
          <w:rFonts w:ascii="Times New Roman" w:hAnsi="Times New Roman" w:cs="Times New Roman"/>
          <w:lang w:val="en-US"/>
        </w:rPr>
      </w:pPr>
      <w:r w:rsidRPr="00513A05">
        <w:rPr>
          <w:rFonts w:ascii="Times New Roman" w:hAnsi="Times New Roman" w:cs="Times New Roman"/>
        </w:rPr>
        <w:t xml:space="preserve">Data sources: </w:t>
      </w:r>
      <w:r w:rsidRPr="00513A05">
        <w:rPr>
          <w:rFonts w:ascii="Times New Roman" w:hAnsi="Times New Roman" w:cs="Times New Roman"/>
          <w:i/>
        </w:rPr>
        <w:t>Ms</w:t>
      </w:r>
      <w:r w:rsidRPr="00513A05">
        <w:rPr>
          <w:rFonts w:ascii="Times New Roman" w:hAnsi="Times New Roman" w:cs="Times New Roman"/>
        </w:rPr>
        <w:t xml:space="preserve"> &amp; </w:t>
      </w:r>
      <w:r w:rsidRPr="00513A05">
        <w:rPr>
          <w:rFonts w:ascii="Times New Roman" w:hAnsi="Times New Roman" w:cs="Times New Roman"/>
          <w:i/>
        </w:rPr>
        <w:t>SDs</w:t>
      </w:r>
      <w:r w:rsidRPr="00513A05">
        <w:rPr>
          <w:rFonts w:ascii="Times New Roman" w:hAnsi="Times New Roman" w:cs="Times New Roman"/>
        </w:rPr>
        <w:t xml:space="preserve">, </w:t>
      </w:r>
      <w:proofErr w:type="spellStart"/>
      <w:r w:rsidRPr="00513A05">
        <w:rPr>
          <w:rFonts w:ascii="Times New Roman" w:hAnsi="Times New Roman" w:cs="Times New Roman"/>
        </w:rPr>
        <w:t>Scleicher</w:t>
      </w:r>
      <w:proofErr w:type="spellEnd"/>
      <w:r w:rsidRPr="00513A05">
        <w:rPr>
          <w:rFonts w:ascii="Times New Roman" w:hAnsi="Times New Roman" w:cs="Times New Roman"/>
        </w:rPr>
        <w:t xml:space="preserve"> (2019, p. 601); </w:t>
      </w:r>
      <w:r w:rsidRPr="00513A05">
        <w:rPr>
          <w:rFonts w:ascii="Times New Roman" w:hAnsi="Times New Roman" w:cs="Times New Roman"/>
          <w:i/>
        </w:rPr>
        <w:t xml:space="preserve">Ns, </w:t>
      </w:r>
      <w:r w:rsidRPr="00513A05">
        <w:rPr>
          <w:rFonts w:ascii="Times New Roman" w:hAnsi="Times New Roman" w:cs="Times New Roman"/>
        </w:rPr>
        <w:t>OECD (2020);</w:t>
      </w:r>
    </w:p>
    <w:p w:rsidR="0058666B" w:rsidRPr="00513A05" w:rsidRDefault="0058666B" w:rsidP="0058666B">
      <w:pPr>
        <w:spacing w:line="480" w:lineRule="auto"/>
        <w:rPr>
          <w:rFonts w:ascii="Times New Roman" w:hAnsi="Times New Roman" w:cs="Times New Roman"/>
        </w:rPr>
      </w:pPr>
      <w:r w:rsidRPr="00513A05">
        <w:rPr>
          <w:rFonts w:ascii="Times New Roman" w:hAnsi="Times New Roman" w:cs="Times New Roman"/>
        </w:rPr>
        <w:t xml:space="preserve">the standard error of the mean (SEM) can be given by, </w:t>
      </w:r>
      <m:oMath>
        <m:r>
          <w:rPr>
            <w:rFonts w:ascii="Cambria Math" w:eastAsia="Cambria Math" w:hAnsi="Cambria Math" w:cs="Times New Roman"/>
          </w:rPr>
          <m:t>SEM=SD/</m:t>
        </m:r>
        <m:rad>
          <m:radPr>
            <m:degHide m:val="1"/>
            <m:ctrlPr>
              <w:rPr>
                <w:rFonts w:ascii="Cambria Math" w:eastAsia="Cambria Math" w:hAnsi="Cambria Math" w:cs="Times New Roman"/>
              </w:rPr>
            </m:ctrlPr>
          </m:radPr>
          <m:deg/>
          <m:e>
            <m:r>
              <w:rPr>
                <w:rFonts w:ascii="Cambria Math" w:eastAsia="Cambria Math" w:hAnsi="Cambria Math" w:cs="Times New Roman"/>
              </w:rPr>
              <m:t>N</m:t>
            </m:r>
          </m:e>
        </m:rad>
      </m:oMath>
      <w:r w:rsidRPr="00513A05">
        <w:rPr>
          <w:rFonts w:ascii="Times New Roman" w:hAnsi="Times New Roman" w:cs="Times New Roman"/>
        </w:rPr>
        <w:t>;</w:t>
      </w:r>
    </w:p>
    <w:p w:rsidR="0058666B" w:rsidRPr="00513A05" w:rsidRDefault="0058666B" w:rsidP="0058666B">
      <w:pPr>
        <w:spacing w:line="480" w:lineRule="auto"/>
        <w:rPr>
          <w:rFonts w:ascii="Times New Roman" w:hAnsi="Times New Roman" w:cs="Times New Roman"/>
        </w:rPr>
      </w:pPr>
      <w:r w:rsidRPr="00513A05">
        <w:rPr>
          <w:rFonts w:ascii="Times New Roman" w:hAnsi="Times New Roman" w:cs="Times New Roman"/>
        </w:rPr>
        <w:t xml:space="preserve">for Australia, </w:t>
      </w:r>
      <m:oMath>
        <m:r>
          <w:rPr>
            <w:rFonts w:ascii="Cambria Math" w:eastAsia="Cambria Math" w:hAnsi="Cambria Math" w:cs="Times New Roman"/>
          </w:rPr>
          <m:t>502 ± (2 ×(99/</m:t>
        </m:r>
        <m:rad>
          <m:radPr>
            <m:degHide m:val="1"/>
            <m:ctrlPr>
              <w:rPr>
                <w:rFonts w:ascii="Cambria Math" w:eastAsia="Cambria Math" w:hAnsi="Cambria Math" w:cs="Times New Roman"/>
              </w:rPr>
            </m:ctrlPr>
          </m:radPr>
          <m:deg/>
          <m:e>
            <m:r>
              <w:rPr>
                <w:rFonts w:ascii="Cambria Math" w:eastAsia="Cambria Math" w:hAnsi="Cambria Math" w:cs="Times New Roman"/>
              </w:rPr>
              <m:t>4,838)</m:t>
            </m:r>
          </m:e>
        </m:rad>
        <m:r>
          <w:rPr>
            <w:rFonts w:ascii="Cambria Math" w:eastAsia="Cambria Math" w:hAnsi="Cambria Math" w:cs="Times New Roman"/>
          </w:rPr>
          <m:t>) = 499.15 and 504.85</m:t>
        </m:r>
      </m:oMath>
      <w:r w:rsidRPr="00513A05">
        <w:rPr>
          <w:rFonts w:ascii="Times New Roman" w:hAnsi="Times New Roman" w:cs="Times New Roman"/>
        </w:rPr>
        <w:t>;</w:t>
      </w:r>
    </w:p>
    <w:p w:rsidR="0058666B" w:rsidRPr="00513A05" w:rsidRDefault="0058666B" w:rsidP="0058666B">
      <w:pPr>
        <w:spacing w:line="480" w:lineRule="auto"/>
        <w:rPr>
          <w:rFonts w:ascii="Times New Roman" w:hAnsi="Times New Roman" w:cs="Times New Roman"/>
        </w:rPr>
      </w:pPr>
      <w:r w:rsidRPr="00513A05">
        <w:rPr>
          <w:rFonts w:ascii="Times New Roman" w:hAnsi="Times New Roman" w:cs="Times New Roman"/>
        </w:rPr>
        <w:t xml:space="preserve">for the U.S., </w:t>
      </w:r>
      <m:oMath>
        <m:r>
          <w:rPr>
            <w:rFonts w:ascii="Cambria Math" w:eastAsia="Cambria Math" w:hAnsi="Cambria Math" w:cs="Times New Roman"/>
          </w:rPr>
          <m:t>503 ± (2 ×(101/</m:t>
        </m:r>
        <m:rad>
          <m:radPr>
            <m:degHide m:val="1"/>
            <m:ctrlPr>
              <w:rPr>
                <w:rFonts w:ascii="Cambria Math" w:eastAsia="Cambria Math" w:hAnsi="Cambria Math" w:cs="Times New Roman"/>
              </w:rPr>
            </m:ctrlPr>
          </m:radPr>
          <m:deg/>
          <m:e>
            <m:r>
              <w:rPr>
                <w:rFonts w:ascii="Cambria Math" w:eastAsia="Cambria Math" w:hAnsi="Cambria Math" w:cs="Times New Roman"/>
              </w:rPr>
              <m:t>14,283)</m:t>
            </m:r>
          </m:e>
        </m:rad>
        <m:r>
          <w:rPr>
            <w:rFonts w:ascii="Cambria Math" w:eastAsia="Cambria Math" w:hAnsi="Cambria Math" w:cs="Times New Roman"/>
          </w:rPr>
          <m:t>) = 501.31 and 504.69</m:t>
        </m:r>
      </m:oMath>
      <w:r w:rsidRPr="00513A05">
        <w:rPr>
          <w:rFonts w:ascii="Times New Roman" w:hAnsi="Times New Roman" w:cs="Times New Roman"/>
        </w:rPr>
        <w:t xml:space="preserve">, and, </w:t>
      </w:r>
    </w:p>
    <w:p w:rsidR="0058666B" w:rsidRPr="00513A05" w:rsidRDefault="0058666B" w:rsidP="0058666B">
      <w:pPr>
        <w:spacing w:line="480" w:lineRule="auto"/>
        <w:rPr>
          <w:rFonts w:ascii="Times New Roman" w:hAnsi="Times New Roman" w:cs="Times New Roman"/>
        </w:rPr>
      </w:pPr>
      <w:r w:rsidRPr="00513A05">
        <w:rPr>
          <w:rFonts w:ascii="Times New Roman" w:hAnsi="Times New Roman" w:cs="Times New Roman"/>
        </w:rPr>
        <w:t xml:space="preserve">for New Zealand, </w:t>
      </w:r>
      <m:oMath>
        <m:r>
          <w:rPr>
            <w:rFonts w:ascii="Cambria Math" w:eastAsia="Cambria Math" w:hAnsi="Cambria Math" w:cs="Times New Roman"/>
          </w:rPr>
          <m:t>508 ± (2 ×(102/</m:t>
        </m:r>
        <m:rad>
          <m:radPr>
            <m:degHide m:val="1"/>
            <m:ctrlPr>
              <w:rPr>
                <w:rFonts w:ascii="Cambria Math" w:eastAsia="Cambria Math" w:hAnsi="Cambria Math" w:cs="Times New Roman"/>
              </w:rPr>
            </m:ctrlPr>
          </m:radPr>
          <m:deg/>
          <m:e>
            <m:r>
              <w:rPr>
                <w:rFonts w:ascii="Cambria Math" w:eastAsia="Cambria Math" w:hAnsi="Cambria Math" w:cs="Times New Roman"/>
              </w:rPr>
              <m:t>6,173)</m:t>
            </m:r>
          </m:e>
        </m:rad>
        <m:r>
          <w:rPr>
            <w:rFonts w:ascii="Cambria Math" w:eastAsia="Cambria Math" w:hAnsi="Cambria Math" w:cs="Times New Roman"/>
          </w:rPr>
          <m:t>) = 505.40 and 510.6</m:t>
        </m:r>
      </m:oMath>
      <w:r w:rsidRPr="00513A05">
        <w:rPr>
          <w:rFonts w:ascii="Times New Roman" w:hAnsi="Times New Roman" w:cs="Times New Roman"/>
        </w:rPr>
        <w:t>.</w:t>
      </w:r>
    </w:p>
    <w:p w:rsidR="0058666B" w:rsidRPr="00513A05" w:rsidRDefault="0058666B" w:rsidP="0058666B">
      <w:pPr>
        <w:spacing w:line="480" w:lineRule="auto"/>
        <w:rPr>
          <w:rFonts w:ascii="Times New Roman" w:hAnsi="Times New Roman" w:cs="Times New Roman"/>
          <w:bCs/>
        </w:rPr>
      </w:pPr>
      <w:r w:rsidRPr="00513A05">
        <w:rPr>
          <w:rFonts w:ascii="Times New Roman" w:hAnsi="Times New Roman" w:cs="Times New Roman"/>
          <w:bCs/>
        </w:rPr>
        <w:t>Note 1: Standard Error of the Mean Ability of Groups of Students Due To Sampling of Students in a Population</w:t>
      </w:r>
    </w:p>
    <w:p w:rsidR="0058666B" w:rsidRDefault="0058666B" w:rsidP="0058666B">
      <w:pPr>
        <w:spacing w:line="480" w:lineRule="auto"/>
        <w:rPr>
          <w:rFonts w:ascii="Times New Roman" w:hAnsi="Times New Roman" w:cs="Times New Roman"/>
          <w:bCs/>
        </w:rPr>
      </w:pPr>
    </w:p>
    <w:p w:rsidR="0058666B" w:rsidRPr="009C7C1C" w:rsidRDefault="0058666B" w:rsidP="0058666B">
      <w:pPr>
        <w:spacing w:line="48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References</w:t>
      </w:r>
    </w:p>
    <w:p w:rsidR="0058666B" w:rsidRDefault="0058666B" w:rsidP="0058666B">
      <w:pPr>
        <w:ind w:left="720" w:hanging="720"/>
        <w:rPr>
          <w:rFonts w:ascii="Times New Roman" w:eastAsia="Times New Roman" w:hAnsi="Times New Roman" w:cs="Times New Roman"/>
          <w:color w:val="000000"/>
          <w:lang w:val="en-ES" w:eastAsia="en-GB"/>
        </w:rPr>
      </w:pPr>
      <w:r w:rsidRPr="00513A05">
        <w:rPr>
          <w:rFonts w:ascii="Times New Roman" w:eastAsia="Times New Roman" w:hAnsi="Times New Roman" w:cs="Times New Roman"/>
          <w:color w:val="000000"/>
          <w:lang w:val="en-ES" w:eastAsia="en-GB"/>
        </w:rPr>
        <w:t xml:space="preserve">OECD. (2020). PISA 2018 Database: 2018: Student Questionnaire datafile. Retrieved from </w:t>
      </w:r>
      <w:hyperlink r:id="rId4" w:history="1">
        <w:r w:rsidRPr="00B159F4">
          <w:rPr>
            <w:rStyle w:val="Hyperlink"/>
            <w:rFonts w:ascii="Times New Roman" w:eastAsia="Times New Roman" w:hAnsi="Times New Roman" w:cs="Times New Roman"/>
            <w:lang w:val="en-ES" w:eastAsia="en-GB"/>
          </w:rPr>
          <w:t>https://www.oecd.org/pisa/data/2018database/</w:t>
        </w:r>
      </w:hyperlink>
    </w:p>
    <w:p w:rsidR="0058666B" w:rsidRDefault="0058666B" w:rsidP="0058666B">
      <w:pPr>
        <w:ind w:left="720" w:hanging="720"/>
        <w:rPr>
          <w:rFonts w:ascii="Times New Roman" w:eastAsia="Times New Roman" w:hAnsi="Times New Roman" w:cs="Times New Roman"/>
          <w:color w:val="000000"/>
          <w:lang w:val="en-ES" w:eastAsia="en-GB"/>
        </w:rPr>
      </w:pPr>
    </w:p>
    <w:p w:rsidR="0058666B" w:rsidRDefault="0058666B" w:rsidP="0058666B">
      <w:pPr>
        <w:ind w:left="720" w:hanging="720"/>
        <w:rPr>
          <w:rFonts w:ascii="Times New Roman" w:eastAsia="Times New Roman" w:hAnsi="Times New Roman" w:cs="Times New Roman"/>
          <w:color w:val="000000"/>
          <w:lang w:val="en-ES" w:eastAsia="en-GB"/>
        </w:rPr>
      </w:pPr>
      <w:r w:rsidRPr="00513A05">
        <w:rPr>
          <w:rFonts w:ascii="Times New Roman" w:eastAsia="Times New Roman" w:hAnsi="Times New Roman" w:cs="Times New Roman"/>
          <w:color w:val="000000"/>
          <w:lang w:val="en-ES" w:eastAsia="en-GB"/>
        </w:rPr>
        <w:t>Schleicher, A. (2019). PISA 2018: Insights and interpretations. OECD. Retrieved</w:t>
      </w:r>
      <w:r w:rsidRPr="00513A05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 </w:t>
      </w:r>
      <w:r w:rsidRPr="00513A05">
        <w:rPr>
          <w:rFonts w:ascii="Times New Roman" w:eastAsia="Times New Roman" w:hAnsi="Times New Roman" w:cs="Times New Roman"/>
          <w:color w:val="000000"/>
          <w:lang w:val="en-ES" w:eastAsia="en-GB"/>
        </w:rPr>
        <w:t>from </w:t>
      </w:r>
      <w:hyperlink r:id="rId5" w:history="1">
        <w:r w:rsidRPr="00513A05">
          <w:rPr>
            <w:rStyle w:val="Hyperlink"/>
            <w:rFonts w:ascii="Times New Roman" w:eastAsia="Times New Roman" w:hAnsi="Times New Roman" w:cs="Times New Roman"/>
            <w:lang w:val="en-ES" w:eastAsia="en-GB"/>
          </w:rPr>
          <w:t>https://www.oecd.org/pisa/PISA%202018%20Insights%20and%20Interpretations%20FINAL%20PDF.pdf</w:t>
        </w:r>
      </w:hyperlink>
    </w:p>
    <w:p w:rsidR="0058666B" w:rsidRPr="0058666B" w:rsidRDefault="0058666B">
      <w:pPr>
        <w:rPr>
          <w:lang w:val="en-ES"/>
        </w:rPr>
      </w:pPr>
      <w:bookmarkStart w:id="0" w:name="_GoBack"/>
      <w:bookmarkEnd w:id="0"/>
    </w:p>
    <w:sectPr w:rsidR="0058666B" w:rsidRPr="0058666B" w:rsidSect="00F37D6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66B"/>
    <w:rsid w:val="0058666B"/>
    <w:rsid w:val="00F3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02D95889-68DC-6D40-A531-DF8944FE7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66B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66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oecd.org/pisa/PISA%202018%20Insights%20and%20Interpretations%20FINAL%20PDF.pdf" TargetMode="External"/><Relationship Id="rId4" Type="http://schemas.openxmlformats.org/officeDocument/2006/relationships/hyperlink" Target="https://www.oecd.org/pisa/data/2018databas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2021-07-23T06:47:00Z</dcterms:created>
  <dcterms:modified xsi:type="dcterms:W3CDTF">2021-07-23T06:48:00Z</dcterms:modified>
</cp:coreProperties>
</file>