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FB36B" w14:textId="1498AC66" w:rsidR="00830920" w:rsidRPr="00795981" w:rsidRDefault="008A247A" w:rsidP="008A247A">
      <w:pPr>
        <w:pStyle w:val="BodyText"/>
        <w:rPr>
          <w:rFonts w:ascii="Times New Roman" w:hAnsi="Times New Roman" w:cs="Times New Roman"/>
          <w:color w:val="000000" w:themeColor="text1"/>
        </w:rPr>
      </w:pPr>
      <w:r w:rsidRPr="00795981">
        <w:rPr>
          <w:rFonts w:ascii="Times New Roman" w:hAnsi="Times New Roman" w:cs="Times New Roman"/>
          <w:b/>
          <w:bCs/>
          <w:color w:val="000000" w:themeColor="text1"/>
        </w:rPr>
        <w:t xml:space="preserve">Appendix </w:t>
      </w:r>
      <w:r w:rsidR="00A30868" w:rsidRPr="00795981">
        <w:rPr>
          <w:rFonts w:ascii="Times New Roman" w:hAnsi="Times New Roman" w:cs="Times New Roman"/>
          <w:b/>
          <w:bCs/>
          <w:color w:val="000000" w:themeColor="text1"/>
        </w:rPr>
        <w:t>3</w:t>
      </w:r>
      <w:r w:rsidRPr="00795981">
        <w:rPr>
          <w:rFonts w:ascii="Times New Roman" w:hAnsi="Times New Roman" w:cs="Times New Roman"/>
          <w:color w:val="000000" w:themeColor="text1"/>
        </w:rPr>
        <w:t xml:space="preserve">: Summary of Factors </w:t>
      </w:r>
    </w:p>
    <w:tbl>
      <w:tblPr>
        <w:tblStyle w:val="TableGrid"/>
        <w:tblW w:w="4978" w:type="pct"/>
        <w:tblLook w:val="04A0" w:firstRow="1" w:lastRow="0" w:firstColumn="1" w:lastColumn="0" w:noHBand="0" w:noVBand="1"/>
      </w:tblPr>
      <w:tblGrid>
        <w:gridCol w:w="4536"/>
        <w:gridCol w:w="9356"/>
        <w:gridCol w:w="992"/>
      </w:tblGrid>
      <w:tr w:rsidR="00795981" w:rsidRPr="00795981" w14:paraId="6D5B8A7D" w14:textId="77777777" w:rsidTr="00795981">
        <w:trPr>
          <w:trHeight w:val="451"/>
        </w:trPr>
        <w:tc>
          <w:tcPr>
            <w:tcW w:w="4536" w:type="dxa"/>
          </w:tcPr>
          <w:p w14:paraId="472306B5" w14:textId="77777777" w:rsidR="008A247A" w:rsidRPr="00795981" w:rsidRDefault="008A247A" w:rsidP="008A247A">
            <w:pPr>
              <w:pStyle w:val="TableHeading"/>
              <w:jc w:val="left"/>
              <w:rPr>
                <w:rFonts w:ascii="Times New Roman" w:hAnsi="Times New Roman" w:cs="Times New Roman"/>
                <w:color w:val="000000" w:themeColor="text1"/>
              </w:rPr>
            </w:pPr>
            <w:r w:rsidRPr="00795981">
              <w:rPr>
                <w:rFonts w:ascii="Times New Roman" w:hAnsi="Times New Roman" w:cs="Times New Roman"/>
                <w:color w:val="000000" w:themeColor="text1"/>
              </w:rPr>
              <w:t>Name</w:t>
            </w:r>
          </w:p>
        </w:tc>
        <w:tc>
          <w:tcPr>
            <w:tcW w:w="9356" w:type="dxa"/>
          </w:tcPr>
          <w:p w14:paraId="25C52AE4" w14:textId="2D67FCD8" w:rsidR="008A247A" w:rsidRPr="00795981" w:rsidRDefault="008A247A" w:rsidP="008A247A">
            <w:pPr>
              <w:pStyle w:val="TableHeading"/>
              <w:jc w:val="left"/>
              <w:rPr>
                <w:rFonts w:ascii="Times New Roman" w:hAnsi="Times New Roman" w:cs="Times New Roman"/>
                <w:color w:val="000000" w:themeColor="text1"/>
              </w:rPr>
            </w:pPr>
            <w:r w:rsidRPr="00795981">
              <w:rPr>
                <w:rFonts w:ascii="Times New Roman" w:hAnsi="Times New Roman" w:cs="Times New Roman"/>
                <w:color w:val="000000" w:themeColor="text1"/>
              </w:rPr>
              <w:t>Definition</w:t>
            </w:r>
          </w:p>
        </w:tc>
        <w:tc>
          <w:tcPr>
            <w:tcW w:w="992" w:type="dxa"/>
          </w:tcPr>
          <w:p w14:paraId="180B3E34" w14:textId="45EA46F0" w:rsidR="008A247A" w:rsidRPr="00795981" w:rsidRDefault="008A247A" w:rsidP="008A247A">
            <w:pPr>
              <w:pStyle w:val="TableHeading"/>
              <w:rPr>
                <w:rFonts w:ascii="Times New Roman" w:hAnsi="Times New Roman" w:cs="Times New Roman"/>
                <w:color w:val="000000" w:themeColor="text1"/>
              </w:rPr>
            </w:pPr>
            <w:r w:rsidRPr="00795981">
              <w:rPr>
                <w:rFonts w:ascii="Times New Roman" w:hAnsi="Times New Roman" w:cs="Times New Roman"/>
                <w:color w:val="000000" w:themeColor="text1"/>
              </w:rPr>
              <w:t>No. of studies</w:t>
            </w:r>
          </w:p>
        </w:tc>
      </w:tr>
      <w:tr w:rsidR="00795981" w:rsidRPr="00795981" w14:paraId="470B0243" w14:textId="77777777" w:rsidTr="00795981">
        <w:tc>
          <w:tcPr>
            <w:tcW w:w="4536" w:type="dxa"/>
          </w:tcPr>
          <w:p w14:paraId="6BDCCE07" w14:textId="1A5DC5E4"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Total number of studies</w:t>
            </w:r>
          </w:p>
        </w:tc>
        <w:tc>
          <w:tcPr>
            <w:tcW w:w="9356" w:type="dxa"/>
          </w:tcPr>
          <w:p w14:paraId="10D8D39D"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693AE54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156</w:t>
            </w:r>
          </w:p>
        </w:tc>
      </w:tr>
      <w:tr w:rsidR="00795981" w:rsidRPr="00795981" w14:paraId="0CEBE04F" w14:textId="77777777" w:rsidTr="00795981">
        <w:tc>
          <w:tcPr>
            <w:tcW w:w="4536" w:type="dxa"/>
          </w:tcPr>
          <w:p w14:paraId="0C62A54D" w14:textId="77777777" w:rsidR="008A247A" w:rsidRPr="00795981" w:rsidRDefault="008A247A" w:rsidP="008A247A">
            <w:pPr>
              <w:ind w:left="200"/>
              <w:rPr>
                <w:rFonts w:ascii="Times New Roman" w:hAnsi="Times New Roman" w:cs="Times New Roman"/>
                <w:color w:val="000000" w:themeColor="text1"/>
              </w:rPr>
            </w:pPr>
            <w:r w:rsidRPr="00795981">
              <w:rPr>
                <w:rFonts w:ascii="Times New Roman" w:hAnsi="Times New Roman" w:cs="Times New Roman"/>
                <w:color w:val="000000" w:themeColor="text1"/>
              </w:rPr>
              <w:t>Level 1. Individual student</w:t>
            </w:r>
          </w:p>
        </w:tc>
        <w:tc>
          <w:tcPr>
            <w:tcW w:w="9356" w:type="dxa"/>
          </w:tcPr>
          <w:p w14:paraId="3F6C3019"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347E009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118</w:t>
            </w:r>
          </w:p>
        </w:tc>
      </w:tr>
      <w:tr w:rsidR="00795981" w:rsidRPr="00795981" w14:paraId="433BC24D" w14:textId="77777777" w:rsidTr="00795981">
        <w:tc>
          <w:tcPr>
            <w:tcW w:w="4536" w:type="dxa"/>
          </w:tcPr>
          <w:p w14:paraId="500901B4" w14:textId="18132586"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 xml:space="preserve">1.1 Individual/demographic </w:t>
            </w:r>
            <w:bookmarkStart w:id="0" w:name="_GoBack"/>
            <w:bookmarkEnd w:id="0"/>
            <w:r w:rsidRPr="00795981">
              <w:rPr>
                <w:rFonts w:ascii="Times New Roman" w:hAnsi="Times New Roman" w:cs="Times New Roman"/>
                <w:color w:val="000000" w:themeColor="text1"/>
              </w:rPr>
              <w:t>characteristics</w:t>
            </w:r>
          </w:p>
        </w:tc>
        <w:tc>
          <w:tcPr>
            <w:tcW w:w="9356" w:type="dxa"/>
          </w:tcPr>
          <w:p w14:paraId="0493296A"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1CA884E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83</w:t>
            </w:r>
          </w:p>
        </w:tc>
      </w:tr>
      <w:tr w:rsidR="00795981" w:rsidRPr="00795981" w14:paraId="3FCB31ED" w14:textId="77777777" w:rsidTr="00795981">
        <w:tc>
          <w:tcPr>
            <w:tcW w:w="4536" w:type="dxa"/>
          </w:tcPr>
          <w:p w14:paraId="6699DD49"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1.1.1 Gender</w:t>
            </w:r>
          </w:p>
        </w:tc>
        <w:tc>
          <w:tcPr>
            <w:tcW w:w="9356" w:type="dxa"/>
          </w:tcPr>
          <w:p w14:paraId="37CB2724"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Boys, girls</w:t>
            </w:r>
          </w:p>
        </w:tc>
        <w:tc>
          <w:tcPr>
            <w:tcW w:w="992" w:type="dxa"/>
          </w:tcPr>
          <w:p w14:paraId="07A95FF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68</w:t>
            </w:r>
          </w:p>
        </w:tc>
      </w:tr>
      <w:tr w:rsidR="00795981" w:rsidRPr="00795981" w14:paraId="386D5FB1" w14:textId="77777777" w:rsidTr="00795981">
        <w:tc>
          <w:tcPr>
            <w:tcW w:w="4536" w:type="dxa"/>
          </w:tcPr>
          <w:p w14:paraId="71473A38"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1.1.2 Ethnicity and immigrant status</w:t>
            </w:r>
          </w:p>
        </w:tc>
        <w:tc>
          <w:tcPr>
            <w:tcW w:w="9356" w:type="dxa"/>
          </w:tcPr>
          <w:p w14:paraId="5491707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Immigration status: 1st generation, 2nd generation, native (students’ and parents’ places of birth, cultural distance between host and heritage countries); age at migration; race: African, White, Hispanic, Asian; Indigenous; Jewish and Arab students </w:t>
            </w:r>
          </w:p>
        </w:tc>
        <w:tc>
          <w:tcPr>
            <w:tcW w:w="992" w:type="dxa"/>
          </w:tcPr>
          <w:p w14:paraId="6A94D52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47</w:t>
            </w:r>
          </w:p>
        </w:tc>
      </w:tr>
      <w:tr w:rsidR="00795981" w:rsidRPr="00795981" w14:paraId="64F316B1" w14:textId="77777777" w:rsidTr="00795981">
        <w:tc>
          <w:tcPr>
            <w:tcW w:w="4536" w:type="dxa"/>
          </w:tcPr>
          <w:p w14:paraId="56FCE683"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1.1.2.1 Language background and use</w:t>
            </w:r>
          </w:p>
        </w:tc>
        <w:tc>
          <w:tcPr>
            <w:tcW w:w="9356" w:type="dxa"/>
          </w:tcPr>
          <w:p w14:paraId="3F2407EE"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Language spoken at home; whether speaking the test language/host country language; with whom they use the language (family, friends), age when they start to learn the instructional language </w:t>
            </w:r>
          </w:p>
        </w:tc>
        <w:tc>
          <w:tcPr>
            <w:tcW w:w="992" w:type="dxa"/>
          </w:tcPr>
          <w:p w14:paraId="6451153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17</w:t>
            </w:r>
          </w:p>
        </w:tc>
      </w:tr>
      <w:tr w:rsidR="00795981" w:rsidRPr="00795981" w14:paraId="3DA86E85" w14:textId="77777777" w:rsidTr="00795981">
        <w:tc>
          <w:tcPr>
            <w:tcW w:w="4536" w:type="dxa"/>
          </w:tcPr>
          <w:p w14:paraId="5CBA701F"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Test language students took</w:t>
            </w:r>
          </w:p>
        </w:tc>
        <w:tc>
          <w:tcPr>
            <w:tcW w:w="9356" w:type="dxa"/>
          </w:tcPr>
          <w:p w14:paraId="776C3DB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Students taking the test in Welsh vs in English</w:t>
            </w:r>
          </w:p>
        </w:tc>
        <w:tc>
          <w:tcPr>
            <w:tcW w:w="992" w:type="dxa"/>
          </w:tcPr>
          <w:p w14:paraId="0E8850E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626D5AA7" w14:textId="77777777" w:rsidTr="00795981">
        <w:tc>
          <w:tcPr>
            <w:tcW w:w="4536" w:type="dxa"/>
          </w:tcPr>
          <w:p w14:paraId="01A4AFC6"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Acculturation orientations</w:t>
            </w:r>
          </w:p>
        </w:tc>
        <w:tc>
          <w:tcPr>
            <w:tcW w:w="9356" w:type="dxa"/>
          </w:tcPr>
          <w:p w14:paraId="25F7EF09"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Perceived acculturation orientations were measured using the two PISA scaled indices (OECD 2014): heritage culture-orientation (e.g., “I like to have heritage culture friends”) and host culture-orientation (e.g., “I spend a lot of time with host culture friends”) </w:t>
            </w:r>
          </w:p>
        </w:tc>
        <w:tc>
          <w:tcPr>
            <w:tcW w:w="992" w:type="dxa"/>
          </w:tcPr>
          <w:p w14:paraId="3399F74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24A0A2B0" w14:textId="77777777" w:rsidTr="00795981">
        <w:tc>
          <w:tcPr>
            <w:tcW w:w="4536" w:type="dxa"/>
          </w:tcPr>
          <w:p w14:paraId="183BB038"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1.1.3 Grade level</w:t>
            </w:r>
          </w:p>
        </w:tc>
        <w:tc>
          <w:tcPr>
            <w:tcW w:w="9356" w:type="dxa"/>
          </w:tcPr>
          <w:p w14:paraId="44E41395" w14:textId="123DDB40"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Which grade students study (9th, 10th</w:t>
            </w:r>
            <w:r w:rsidR="00853D3B"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etc.)</w:t>
            </w:r>
          </w:p>
        </w:tc>
        <w:tc>
          <w:tcPr>
            <w:tcW w:w="992" w:type="dxa"/>
          </w:tcPr>
          <w:p w14:paraId="7CD020A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12</w:t>
            </w:r>
          </w:p>
        </w:tc>
      </w:tr>
      <w:tr w:rsidR="00795981" w:rsidRPr="00795981" w14:paraId="4FD461EF" w14:textId="77777777" w:rsidTr="00795981">
        <w:tc>
          <w:tcPr>
            <w:tcW w:w="4536" w:type="dxa"/>
          </w:tcPr>
          <w:p w14:paraId="418E03D1"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1.1.4 Age</w:t>
            </w:r>
          </w:p>
        </w:tc>
        <w:tc>
          <w:tcPr>
            <w:tcW w:w="9356" w:type="dxa"/>
          </w:tcPr>
          <w:p w14:paraId="00354684" w14:textId="6A10E6B0"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Older vs</w:t>
            </w:r>
            <w:r w:rsidR="00853D3B"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younger (in months)</w:t>
            </w:r>
          </w:p>
        </w:tc>
        <w:tc>
          <w:tcPr>
            <w:tcW w:w="992" w:type="dxa"/>
          </w:tcPr>
          <w:p w14:paraId="16DEE46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11</w:t>
            </w:r>
          </w:p>
        </w:tc>
      </w:tr>
      <w:tr w:rsidR="00795981" w:rsidRPr="00795981" w14:paraId="7709AE19" w14:textId="77777777" w:rsidTr="00795981">
        <w:tc>
          <w:tcPr>
            <w:tcW w:w="4536" w:type="dxa"/>
          </w:tcPr>
          <w:p w14:paraId="21BDEC76"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1.2 Psychological factors</w:t>
            </w:r>
          </w:p>
        </w:tc>
        <w:tc>
          <w:tcPr>
            <w:tcW w:w="9356" w:type="dxa"/>
          </w:tcPr>
          <w:p w14:paraId="0E252E28"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43686C5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40</w:t>
            </w:r>
          </w:p>
        </w:tc>
      </w:tr>
      <w:tr w:rsidR="00795981" w:rsidRPr="00795981" w14:paraId="74BF2183" w14:textId="77777777" w:rsidTr="00795981">
        <w:tc>
          <w:tcPr>
            <w:tcW w:w="4536" w:type="dxa"/>
          </w:tcPr>
          <w:p w14:paraId="4968FF66"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1.2.1 Drive and motivation</w:t>
            </w:r>
          </w:p>
        </w:tc>
        <w:tc>
          <w:tcPr>
            <w:tcW w:w="9356" w:type="dxa"/>
          </w:tcPr>
          <w:p w14:paraId="5C1AD1E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It includes the following four sub-factors. </w:t>
            </w:r>
          </w:p>
        </w:tc>
        <w:tc>
          <w:tcPr>
            <w:tcW w:w="992" w:type="dxa"/>
          </w:tcPr>
          <w:p w14:paraId="0BF29F2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19</w:t>
            </w:r>
          </w:p>
        </w:tc>
      </w:tr>
      <w:tr w:rsidR="00795981" w:rsidRPr="00795981" w14:paraId="36D3614D" w14:textId="77777777" w:rsidTr="00795981">
        <w:tc>
          <w:tcPr>
            <w:tcW w:w="4536" w:type="dxa"/>
          </w:tcPr>
          <w:p w14:paraId="63759CB1"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1.2.1.1 Intrinsic and instrumental motivation to learn math</w:t>
            </w:r>
          </w:p>
        </w:tc>
        <w:tc>
          <w:tcPr>
            <w:tcW w:w="9356" w:type="dxa"/>
          </w:tcPr>
          <w:p w14:paraId="3209271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indices based on students’ responses about whether they enjoy mathematics and work hard in mathematics because they enjoy the subject, and whether they believe mathematics is important for their future studies and careers</w:t>
            </w:r>
          </w:p>
        </w:tc>
        <w:tc>
          <w:tcPr>
            <w:tcW w:w="992" w:type="dxa"/>
          </w:tcPr>
          <w:p w14:paraId="242E643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16</w:t>
            </w:r>
          </w:p>
        </w:tc>
      </w:tr>
      <w:tr w:rsidR="00795981" w:rsidRPr="00795981" w14:paraId="5F20EE48" w14:textId="77777777" w:rsidTr="00795981">
        <w:tc>
          <w:tcPr>
            <w:tcW w:w="4536" w:type="dxa"/>
          </w:tcPr>
          <w:p w14:paraId="60F4851A"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Locus of control</w:t>
            </w:r>
          </w:p>
          <w:p w14:paraId="664890ED" w14:textId="6BF2E97E" w:rsidR="008A247A" w:rsidRPr="00795981" w:rsidRDefault="008A247A" w:rsidP="008A247A">
            <w:pPr>
              <w:ind w:firstLine="709"/>
              <w:rPr>
                <w:rFonts w:ascii="Times New Roman" w:hAnsi="Times New Roman" w:cs="Times New Roman"/>
                <w:color w:val="000000" w:themeColor="text1"/>
              </w:rPr>
            </w:pPr>
          </w:p>
        </w:tc>
        <w:tc>
          <w:tcPr>
            <w:tcW w:w="9356" w:type="dxa"/>
          </w:tcPr>
          <w:p w14:paraId="08ECB8A8" w14:textId="256ECFDF"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index based on students’ responses about whether they attribute failure in mathematics tests to themselves or others; and student responses about whether they strongly agree that success in mathematics and school depends on whether they put in enough effort</w:t>
            </w:r>
          </w:p>
        </w:tc>
        <w:tc>
          <w:tcPr>
            <w:tcW w:w="992" w:type="dxa"/>
          </w:tcPr>
          <w:p w14:paraId="7C74AF5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61FB0573" w14:textId="77777777" w:rsidTr="00795981">
        <w:tc>
          <w:tcPr>
            <w:tcW w:w="4536" w:type="dxa"/>
          </w:tcPr>
          <w:p w14:paraId="0D622D68"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Openness to problem solving</w:t>
            </w:r>
          </w:p>
        </w:tc>
        <w:tc>
          <w:tcPr>
            <w:tcW w:w="9356" w:type="dxa"/>
          </w:tcPr>
          <w:p w14:paraId="0A749BD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index based on students’ responses about their willingness to engage with problems</w:t>
            </w:r>
          </w:p>
        </w:tc>
        <w:tc>
          <w:tcPr>
            <w:tcW w:w="992" w:type="dxa"/>
          </w:tcPr>
          <w:p w14:paraId="368A5AC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0BDAAFB6" w14:textId="77777777" w:rsidTr="00795981">
        <w:tc>
          <w:tcPr>
            <w:tcW w:w="4536" w:type="dxa"/>
          </w:tcPr>
          <w:p w14:paraId="760CFAFE"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Perseverance</w:t>
            </w:r>
          </w:p>
        </w:tc>
        <w:tc>
          <w:tcPr>
            <w:tcW w:w="9356" w:type="dxa"/>
          </w:tcPr>
          <w:p w14:paraId="6B05E9E4"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index based on students’ responses about their willingness to work on problems that are difficult, even when they encounter problems</w:t>
            </w:r>
          </w:p>
        </w:tc>
        <w:tc>
          <w:tcPr>
            <w:tcW w:w="992" w:type="dxa"/>
          </w:tcPr>
          <w:p w14:paraId="5CEAC75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33601B4A" w14:textId="77777777" w:rsidTr="00795981">
        <w:tc>
          <w:tcPr>
            <w:tcW w:w="4536" w:type="dxa"/>
          </w:tcPr>
          <w:p w14:paraId="5F939E20" w14:textId="58DFBBC4"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 xml:space="preserve">1.2.2 Math self-beliefs, </w:t>
            </w:r>
            <w:r w:rsidR="00673812" w:rsidRPr="00795981">
              <w:rPr>
                <w:rFonts w:ascii="Times New Roman" w:hAnsi="Times New Roman" w:cs="Times New Roman"/>
                <w:color w:val="000000" w:themeColor="text1"/>
              </w:rPr>
              <w:t>dispositions,</w:t>
            </w:r>
            <w:r w:rsidRPr="00795981">
              <w:rPr>
                <w:rFonts w:ascii="Times New Roman" w:hAnsi="Times New Roman" w:cs="Times New Roman"/>
                <w:color w:val="000000" w:themeColor="text1"/>
              </w:rPr>
              <w:t xml:space="preserve"> and participation in math-related activities</w:t>
            </w:r>
          </w:p>
        </w:tc>
        <w:tc>
          <w:tcPr>
            <w:tcW w:w="9356" w:type="dxa"/>
          </w:tcPr>
          <w:p w14:paraId="3D2616A1" w14:textId="3A37814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It includes the following five sub-factors</w:t>
            </w:r>
          </w:p>
        </w:tc>
        <w:tc>
          <w:tcPr>
            <w:tcW w:w="992" w:type="dxa"/>
          </w:tcPr>
          <w:p w14:paraId="793EF2A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30</w:t>
            </w:r>
          </w:p>
        </w:tc>
      </w:tr>
      <w:tr w:rsidR="00795981" w:rsidRPr="00795981" w14:paraId="27855F45" w14:textId="77777777" w:rsidTr="00795981">
        <w:tc>
          <w:tcPr>
            <w:tcW w:w="4536" w:type="dxa"/>
          </w:tcPr>
          <w:p w14:paraId="0903A5A7"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1.2.2.1 Math self-efficacy</w:t>
            </w:r>
          </w:p>
        </w:tc>
        <w:tc>
          <w:tcPr>
            <w:tcW w:w="9356" w:type="dxa"/>
          </w:tcPr>
          <w:p w14:paraId="6BF69AE2"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index based on students’ responses about their perceived ability to solve a range of pure and applied mathematics problems</w:t>
            </w:r>
          </w:p>
        </w:tc>
        <w:tc>
          <w:tcPr>
            <w:tcW w:w="992" w:type="dxa"/>
          </w:tcPr>
          <w:p w14:paraId="6EA0B82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19</w:t>
            </w:r>
          </w:p>
        </w:tc>
      </w:tr>
      <w:tr w:rsidR="00795981" w:rsidRPr="00795981" w14:paraId="0C2CD7A1" w14:textId="77777777" w:rsidTr="00795981">
        <w:tc>
          <w:tcPr>
            <w:tcW w:w="4536" w:type="dxa"/>
          </w:tcPr>
          <w:p w14:paraId="42A4A598"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1.2.2.2 Math anxiety</w:t>
            </w:r>
          </w:p>
        </w:tc>
        <w:tc>
          <w:tcPr>
            <w:tcW w:w="9356" w:type="dxa"/>
          </w:tcPr>
          <w:p w14:paraId="417195A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index based on students’ responses about feelings of stress and helplessness when dealing with mathematics</w:t>
            </w:r>
          </w:p>
        </w:tc>
        <w:tc>
          <w:tcPr>
            <w:tcW w:w="992" w:type="dxa"/>
          </w:tcPr>
          <w:p w14:paraId="3D8714E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15</w:t>
            </w:r>
          </w:p>
        </w:tc>
      </w:tr>
      <w:tr w:rsidR="00795981" w:rsidRPr="00795981" w14:paraId="4539E694" w14:textId="77777777" w:rsidTr="00795981">
        <w:tc>
          <w:tcPr>
            <w:tcW w:w="4536" w:type="dxa"/>
          </w:tcPr>
          <w:p w14:paraId="2F58F7A9"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1.2.2.3 Math self-concept</w:t>
            </w:r>
          </w:p>
        </w:tc>
        <w:tc>
          <w:tcPr>
            <w:tcW w:w="9356" w:type="dxa"/>
          </w:tcPr>
          <w:p w14:paraId="0321D366"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index based on students’ responses about their perceived competence in mathematics</w:t>
            </w:r>
          </w:p>
        </w:tc>
        <w:tc>
          <w:tcPr>
            <w:tcW w:w="992" w:type="dxa"/>
          </w:tcPr>
          <w:p w14:paraId="43B79F7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13</w:t>
            </w:r>
          </w:p>
        </w:tc>
      </w:tr>
      <w:tr w:rsidR="00795981" w:rsidRPr="00795981" w14:paraId="19B13173" w14:textId="77777777" w:rsidTr="00795981">
        <w:tc>
          <w:tcPr>
            <w:tcW w:w="4536" w:type="dxa"/>
          </w:tcPr>
          <w:p w14:paraId="594FA2A4"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1.2.2.4 Dispositions towards math (math intentions and subjective norms in math)</w:t>
            </w:r>
          </w:p>
        </w:tc>
        <w:tc>
          <w:tcPr>
            <w:tcW w:w="9356" w:type="dxa"/>
          </w:tcPr>
          <w:p w14:paraId="5F1F567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indices based on students’ responses about whether they intend to use mathematics in their future and whether students’ parents and peers enjoy and value mathematics</w:t>
            </w:r>
          </w:p>
        </w:tc>
        <w:tc>
          <w:tcPr>
            <w:tcW w:w="992" w:type="dxa"/>
          </w:tcPr>
          <w:p w14:paraId="50456B8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0F2223D3" w14:textId="77777777" w:rsidTr="00795981">
        <w:tc>
          <w:tcPr>
            <w:tcW w:w="4536" w:type="dxa"/>
          </w:tcPr>
          <w:p w14:paraId="3DC2C339"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Mathematics behaviors</w:t>
            </w:r>
          </w:p>
        </w:tc>
        <w:tc>
          <w:tcPr>
            <w:tcW w:w="9356" w:type="dxa"/>
          </w:tcPr>
          <w:p w14:paraId="73C82F4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Constructed indices based on students’ responses about their participation in a range of mathematics-related activities</w:t>
            </w:r>
          </w:p>
        </w:tc>
        <w:tc>
          <w:tcPr>
            <w:tcW w:w="992" w:type="dxa"/>
          </w:tcPr>
          <w:p w14:paraId="61C9D0B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3388A0F0" w14:textId="77777777" w:rsidTr="00795981">
        <w:tc>
          <w:tcPr>
            <w:tcW w:w="4536" w:type="dxa"/>
          </w:tcPr>
          <w:p w14:paraId="2BC51B43"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Other student characteristics or quality</w:t>
            </w:r>
          </w:p>
        </w:tc>
        <w:tc>
          <w:tcPr>
            <w:tcW w:w="9356" w:type="dxa"/>
          </w:tcPr>
          <w:p w14:paraId="43B3A95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Combined intrinsic motivation to learn mathematics, instrumental motivation to learn mathematics, mathematics self-efﬁcacy, mathematics self-concept; Character, Confidence, Connection, Caring; individual student creativity; Sociable profile, Reserved profile, Withdrawn profile, Team-oriented profile, Solitary profiles</w:t>
            </w:r>
          </w:p>
        </w:tc>
        <w:tc>
          <w:tcPr>
            <w:tcW w:w="992" w:type="dxa"/>
          </w:tcPr>
          <w:p w14:paraId="5E752E5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06B76C95" w14:textId="77777777" w:rsidTr="00795981">
        <w:tc>
          <w:tcPr>
            <w:tcW w:w="4536" w:type="dxa"/>
          </w:tcPr>
          <w:p w14:paraId="1B92E3EB"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Students' own expectation</w:t>
            </w:r>
          </w:p>
        </w:tc>
        <w:tc>
          <w:tcPr>
            <w:tcW w:w="9356" w:type="dxa"/>
          </w:tcPr>
          <w:p w14:paraId="6D3E61D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students’ own aspirations for post-secondary education and/or occupations</w:t>
            </w:r>
          </w:p>
        </w:tc>
        <w:tc>
          <w:tcPr>
            <w:tcW w:w="992" w:type="dxa"/>
          </w:tcPr>
          <w:p w14:paraId="0D3C938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0672C615" w14:textId="77777777" w:rsidTr="00795981">
        <w:tc>
          <w:tcPr>
            <w:tcW w:w="4536" w:type="dxa"/>
          </w:tcPr>
          <w:p w14:paraId="45CD53A4"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1.3 Learning opportunities</w:t>
            </w:r>
          </w:p>
        </w:tc>
        <w:tc>
          <w:tcPr>
            <w:tcW w:w="9356" w:type="dxa"/>
          </w:tcPr>
          <w:p w14:paraId="710E874D"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5569952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30</w:t>
            </w:r>
          </w:p>
        </w:tc>
      </w:tr>
      <w:tr w:rsidR="00795981" w:rsidRPr="00795981" w14:paraId="37370D41" w14:textId="77777777" w:rsidTr="00795981">
        <w:tc>
          <w:tcPr>
            <w:tcW w:w="4536" w:type="dxa"/>
          </w:tcPr>
          <w:p w14:paraId="7C25B75E"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1.3.1 ICT learning experience</w:t>
            </w:r>
          </w:p>
        </w:tc>
        <w:tc>
          <w:tcPr>
            <w:tcW w:w="9356" w:type="dxa"/>
          </w:tcPr>
          <w:p w14:paraId="4DF883A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Students’ access to ICT outside of school; educational ICT use, leisure ICT use (ICT for social networks, ICT for gaming), ICT for programming, ICT use for information management and technical operation; interest in ICT, perceived ICT competence, perceived autonomy in using ICT; ICT use intensity, first age to use</w:t>
            </w:r>
          </w:p>
        </w:tc>
        <w:tc>
          <w:tcPr>
            <w:tcW w:w="992" w:type="dxa"/>
          </w:tcPr>
          <w:p w14:paraId="51DEF30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16</w:t>
            </w:r>
          </w:p>
        </w:tc>
      </w:tr>
      <w:tr w:rsidR="00795981" w:rsidRPr="00795981" w14:paraId="3C879057" w14:textId="77777777" w:rsidTr="00795981">
        <w:tc>
          <w:tcPr>
            <w:tcW w:w="4536" w:type="dxa"/>
          </w:tcPr>
          <w:p w14:paraId="56043AB9"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1.3.2 Early years learning experience</w:t>
            </w:r>
          </w:p>
        </w:tc>
        <w:tc>
          <w:tcPr>
            <w:tcW w:w="9356" w:type="dxa"/>
          </w:tcPr>
          <w:p w14:paraId="7B4DA950" w14:textId="797AFF4F"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Whether enrolled in pre-school, years in pre-school, </w:t>
            </w:r>
            <w:r w:rsidR="00853D3B" w:rsidRPr="00795981">
              <w:rPr>
                <w:rFonts w:ascii="Times New Roman" w:hAnsi="Times New Roman" w:cs="Times New Roman"/>
                <w:color w:val="000000" w:themeColor="text1"/>
              </w:rPr>
              <w:t>first-grade</w:t>
            </w:r>
            <w:r w:rsidRPr="00795981">
              <w:rPr>
                <w:rFonts w:ascii="Times New Roman" w:hAnsi="Times New Roman" w:cs="Times New Roman"/>
                <w:color w:val="000000" w:themeColor="text1"/>
              </w:rPr>
              <w:t xml:space="preserve"> entry age</w:t>
            </w:r>
          </w:p>
        </w:tc>
        <w:tc>
          <w:tcPr>
            <w:tcW w:w="992" w:type="dxa"/>
          </w:tcPr>
          <w:p w14:paraId="6D6567A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0277DE83" w14:textId="77777777" w:rsidTr="00795981">
        <w:tc>
          <w:tcPr>
            <w:tcW w:w="4536" w:type="dxa"/>
          </w:tcPr>
          <w:p w14:paraId="37B91F4A"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Homework</w:t>
            </w:r>
          </w:p>
        </w:tc>
        <w:tc>
          <w:tcPr>
            <w:tcW w:w="9356" w:type="dxa"/>
          </w:tcPr>
          <w:p w14:paraId="53F230E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The sum of hours spent studying out of school for all academic subjects; decision makers for time spent on homework (parent/child) </w:t>
            </w:r>
          </w:p>
        </w:tc>
        <w:tc>
          <w:tcPr>
            <w:tcW w:w="992" w:type="dxa"/>
          </w:tcPr>
          <w:p w14:paraId="0D49D6C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17F943E4" w14:textId="77777777" w:rsidTr="00795981">
        <w:tc>
          <w:tcPr>
            <w:tcW w:w="4536" w:type="dxa"/>
          </w:tcPr>
          <w:p w14:paraId="4B9FFFB6"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Out-of-school learning time and tutoring</w:t>
            </w:r>
          </w:p>
        </w:tc>
        <w:tc>
          <w:tcPr>
            <w:tcW w:w="9356" w:type="dxa"/>
          </w:tcPr>
          <w:p w14:paraId="5421C4D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spending time studying outside school; hours/week of math tutoring; amount of tutoring received</w:t>
            </w:r>
          </w:p>
        </w:tc>
        <w:tc>
          <w:tcPr>
            <w:tcW w:w="992" w:type="dxa"/>
          </w:tcPr>
          <w:p w14:paraId="2E88F67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2AD0E8D9" w14:textId="77777777" w:rsidTr="00795981">
        <w:tc>
          <w:tcPr>
            <w:tcW w:w="4536" w:type="dxa"/>
          </w:tcPr>
          <w:p w14:paraId="50AE4231"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Participating in math competition</w:t>
            </w:r>
          </w:p>
        </w:tc>
        <w:tc>
          <w:tcPr>
            <w:tcW w:w="9356" w:type="dxa"/>
          </w:tcPr>
          <w:p w14:paraId="482E2CC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Whether participating in math competition </w:t>
            </w:r>
          </w:p>
        </w:tc>
        <w:tc>
          <w:tcPr>
            <w:tcW w:w="992" w:type="dxa"/>
          </w:tcPr>
          <w:p w14:paraId="2E78225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D5C0D88" w14:textId="77777777" w:rsidTr="00795981">
        <w:tc>
          <w:tcPr>
            <w:tcW w:w="4536" w:type="dxa"/>
          </w:tcPr>
          <w:p w14:paraId="2B818A20"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1.4 Behavior and engagement at school</w:t>
            </w:r>
          </w:p>
        </w:tc>
        <w:tc>
          <w:tcPr>
            <w:tcW w:w="9356" w:type="dxa"/>
          </w:tcPr>
          <w:p w14:paraId="239CB76E"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4E35CD9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20</w:t>
            </w:r>
          </w:p>
        </w:tc>
      </w:tr>
      <w:tr w:rsidR="00795981" w:rsidRPr="00795981" w14:paraId="7843748D" w14:textId="77777777" w:rsidTr="00795981">
        <w:tc>
          <w:tcPr>
            <w:tcW w:w="4536" w:type="dxa"/>
          </w:tcPr>
          <w:p w14:paraId="0F7FFEE4"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1.4.1 Attitudes toward school</w:t>
            </w:r>
          </w:p>
        </w:tc>
        <w:tc>
          <w:tcPr>
            <w:tcW w:w="9356" w:type="dxa"/>
          </w:tcPr>
          <w:p w14:paraId="3C621FA9"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Derived indices based on students’ reports about the importance of school for their future and about the importance of and pleasure they derive from working hard at school</w:t>
            </w:r>
          </w:p>
        </w:tc>
        <w:tc>
          <w:tcPr>
            <w:tcW w:w="992" w:type="dxa"/>
          </w:tcPr>
          <w:p w14:paraId="1B655E0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64501237" w14:textId="77777777" w:rsidTr="00795981">
        <w:tc>
          <w:tcPr>
            <w:tcW w:w="4536" w:type="dxa"/>
          </w:tcPr>
          <w:p w14:paraId="4EDB2B80"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1.4.2 Absenteeism and lack of punctuality</w:t>
            </w:r>
          </w:p>
        </w:tc>
        <w:tc>
          <w:tcPr>
            <w:tcW w:w="9356" w:type="dxa"/>
          </w:tcPr>
          <w:p w14:paraId="4920A51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Students’ reports on whether they had skipped classes or late for class </w:t>
            </w:r>
          </w:p>
        </w:tc>
        <w:tc>
          <w:tcPr>
            <w:tcW w:w="992" w:type="dxa"/>
          </w:tcPr>
          <w:p w14:paraId="046A4A2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3DEFFEB9" w14:textId="77777777" w:rsidTr="00795981">
        <w:tc>
          <w:tcPr>
            <w:tcW w:w="4536" w:type="dxa"/>
          </w:tcPr>
          <w:p w14:paraId="6ED7B0CD"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Sense of belonging</w:t>
            </w:r>
          </w:p>
        </w:tc>
        <w:tc>
          <w:tcPr>
            <w:tcW w:w="9356" w:type="dxa"/>
          </w:tcPr>
          <w:p w14:paraId="63A6AD1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Derived index based on students’ reports about their feelings of social connectedness, happiness and satisfaction at school</w:t>
            </w:r>
          </w:p>
        </w:tc>
        <w:tc>
          <w:tcPr>
            <w:tcW w:w="992" w:type="dxa"/>
          </w:tcPr>
          <w:p w14:paraId="0C4B5F0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02DA2126" w14:textId="77777777" w:rsidTr="00795981">
        <w:tc>
          <w:tcPr>
            <w:tcW w:w="4536" w:type="dxa"/>
          </w:tcPr>
          <w:p w14:paraId="3B0BE21D"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1.5 Learning outcomes</w:t>
            </w:r>
          </w:p>
        </w:tc>
        <w:tc>
          <w:tcPr>
            <w:tcW w:w="9356" w:type="dxa"/>
          </w:tcPr>
          <w:p w14:paraId="51EE4362"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3C9BE01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16</w:t>
            </w:r>
          </w:p>
        </w:tc>
      </w:tr>
      <w:tr w:rsidR="00795981" w:rsidRPr="00795981" w14:paraId="77D6A033" w14:textId="77777777" w:rsidTr="00795981">
        <w:tc>
          <w:tcPr>
            <w:tcW w:w="4536" w:type="dxa"/>
          </w:tcPr>
          <w:p w14:paraId="053654CC"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1.5.1 Grade repetition</w:t>
            </w:r>
          </w:p>
        </w:tc>
        <w:tc>
          <w:tcPr>
            <w:tcW w:w="9356" w:type="dxa"/>
          </w:tcPr>
          <w:p w14:paraId="105FCD1D" w14:textId="12615504"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Not repeat any grade; repeat one time or more </w:t>
            </w:r>
          </w:p>
        </w:tc>
        <w:tc>
          <w:tcPr>
            <w:tcW w:w="992" w:type="dxa"/>
          </w:tcPr>
          <w:p w14:paraId="464C821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10</w:t>
            </w:r>
          </w:p>
        </w:tc>
      </w:tr>
      <w:tr w:rsidR="00795981" w:rsidRPr="00795981" w14:paraId="64FEED7F" w14:textId="77777777" w:rsidTr="00795981">
        <w:tc>
          <w:tcPr>
            <w:tcW w:w="4536" w:type="dxa"/>
          </w:tcPr>
          <w:p w14:paraId="7FCCC806"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Overall school marks</w:t>
            </w:r>
          </w:p>
        </w:tc>
        <w:tc>
          <w:tcPr>
            <w:tcW w:w="9356" w:type="dxa"/>
          </w:tcPr>
          <w:p w14:paraId="6E22946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Overall grades/results in high school </w:t>
            </w:r>
          </w:p>
        </w:tc>
        <w:tc>
          <w:tcPr>
            <w:tcW w:w="992" w:type="dxa"/>
          </w:tcPr>
          <w:p w14:paraId="3FA30D0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2868EBB3" w14:textId="77777777" w:rsidTr="00795981">
        <w:tc>
          <w:tcPr>
            <w:tcW w:w="4536" w:type="dxa"/>
          </w:tcPr>
          <w:p w14:paraId="22EA0278"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Prior mathematics achievement</w:t>
            </w:r>
          </w:p>
        </w:tc>
        <w:tc>
          <w:tcPr>
            <w:tcW w:w="9356" w:type="dxa"/>
          </w:tcPr>
          <w:p w14:paraId="066D8D9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Student’s familiarity with basic mathematics concepts learned in the earlier grades; prior math achievement in general</w:t>
            </w:r>
          </w:p>
        </w:tc>
        <w:tc>
          <w:tcPr>
            <w:tcW w:w="992" w:type="dxa"/>
          </w:tcPr>
          <w:p w14:paraId="33DC8A3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577C3049" w14:textId="77777777" w:rsidTr="00795981">
        <w:tc>
          <w:tcPr>
            <w:tcW w:w="4536" w:type="dxa"/>
          </w:tcPr>
          <w:p w14:paraId="5C270918"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Problem-solving skills</w:t>
            </w:r>
          </w:p>
        </w:tc>
        <w:tc>
          <w:tcPr>
            <w:tcW w:w="9356" w:type="dxa"/>
          </w:tcPr>
          <w:p w14:paraId="6094BA1B" w14:textId="3B074635"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w:t>
            </w:r>
            <w:r w:rsidR="00673812" w:rsidRPr="00795981">
              <w:rPr>
                <w:rFonts w:ascii="Times New Roman" w:hAnsi="Times New Roman" w:cs="Times New Roman"/>
                <w:color w:val="000000" w:themeColor="text1"/>
              </w:rPr>
              <w:t>S</w:t>
            </w:r>
            <w:r w:rsidRPr="00795981">
              <w:rPr>
                <w:rFonts w:ascii="Times New Roman" w:hAnsi="Times New Roman" w:cs="Times New Roman"/>
                <w:color w:val="000000" w:themeColor="text1"/>
              </w:rPr>
              <w:t>tudents’ general reasoning skills, their ability to regulate problem-solving processes, and their willingness to do so, by confronting students with problems that do not require expert knowledge to solve” (PISA 2012); decision making, system analysis and design, and troubleshooting (PISA 2003)</w:t>
            </w:r>
          </w:p>
        </w:tc>
        <w:tc>
          <w:tcPr>
            <w:tcW w:w="992" w:type="dxa"/>
          </w:tcPr>
          <w:p w14:paraId="44B4763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0480627D" w14:textId="77777777" w:rsidTr="00795981">
        <w:tc>
          <w:tcPr>
            <w:tcW w:w="4536" w:type="dxa"/>
          </w:tcPr>
          <w:p w14:paraId="52554DFD"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Reading competence</w:t>
            </w:r>
          </w:p>
        </w:tc>
        <w:tc>
          <w:tcPr>
            <w:tcW w:w="9356" w:type="dxa"/>
          </w:tcPr>
          <w:p w14:paraId="2D9DCB36"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Proficiency levels on the reading literacy scale</w:t>
            </w:r>
          </w:p>
        </w:tc>
        <w:tc>
          <w:tcPr>
            <w:tcW w:w="992" w:type="dxa"/>
          </w:tcPr>
          <w:p w14:paraId="1989AA7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7249B827" w14:textId="77777777" w:rsidTr="00795981">
        <w:tc>
          <w:tcPr>
            <w:tcW w:w="4536" w:type="dxa"/>
          </w:tcPr>
          <w:p w14:paraId="4C4F05AA"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1.6 Students' approaches to learning</w:t>
            </w:r>
          </w:p>
        </w:tc>
        <w:tc>
          <w:tcPr>
            <w:tcW w:w="9356" w:type="dxa"/>
          </w:tcPr>
          <w:p w14:paraId="0E9923B3" w14:textId="287C6613"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Cognitive learning strategies: PISA indices of memorization and elaboration; metacognitive learning strategies: PISA indices of control strategies, metacognition, </w:t>
            </w:r>
            <w:r w:rsidR="00673812" w:rsidRPr="00795981">
              <w:rPr>
                <w:rFonts w:ascii="Times New Roman" w:hAnsi="Times New Roman" w:cs="Times New Roman"/>
                <w:color w:val="000000" w:themeColor="text1"/>
              </w:rPr>
              <w:t>summarizing</w:t>
            </w:r>
            <w:r w:rsidRPr="00795981">
              <w:rPr>
                <w:rFonts w:ascii="Times New Roman" w:hAnsi="Times New Roman" w:cs="Times New Roman"/>
                <w:color w:val="000000" w:themeColor="text1"/>
              </w:rPr>
              <w:t>, and metacognition-remembering and understanding; learning styles: cooperative and competitive learning</w:t>
            </w:r>
          </w:p>
        </w:tc>
        <w:tc>
          <w:tcPr>
            <w:tcW w:w="992" w:type="dxa"/>
          </w:tcPr>
          <w:p w14:paraId="23FB54CF"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725E6B46" w14:textId="77777777" w:rsidTr="00795981">
        <w:tc>
          <w:tcPr>
            <w:tcW w:w="4536" w:type="dxa"/>
          </w:tcPr>
          <w:p w14:paraId="112AA62F"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Other student factors</w:t>
            </w:r>
          </w:p>
        </w:tc>
        <w:tc>
          <w:tcPr>
            <w:tcW w:w="9356" w:type="dxa"/>
          </w:tcPr>
          <w:p w14:paraId="2C360FD9"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310AC93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79E8707B" w14:textId="77777777" w:rsidTr="00795981">
        <w:tc>
          <w:tcPr>
            <w:tcW w:w="4536" w:type="dxa"/>
          </w:tcPr>
          <w:p w14:paraId="2B464D0C"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Health condition</w:t>
            </w:r>
          </w:p>
        </w:tc>
        <w:tc>
          <w:tcPr>
            <w:tcW w:w="9356" w:type="dxa"/>
          </w:tcPr>
          <w:p w14:paraId="43069F8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Youth has limiting health condition (Yes/No), data from Statistic Canada’s Youth in Transition Survey</w:t>
            </w:r>
          </w:p>
        </w:tc>
        <w:tc>
          <w:tcPr>
            <w:tcW w:w="992" w:type="dxa"/>
          </w:tcPr>
          <w:p w14:paraId="7021B8A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5B228556" w14:textId="77777777" w:rsidTr="00795981">
        <w:tc>
          <w:tcPr>
            <w:tcW w:w="4536" w:type="dxa"/>
          </w:tcPr>
          <w:p w14:paraId="653009AE"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Students' epistemological beliefs</w:t>
            </w:r>
          </w:p>
        </w:tc>
        <w:tc>
          <w:tcPr>
            <w:tcW w:w="9356" w:type="dxa"/>
          </w:tcPr>
          <w:p w14:paraId="7EF040BB"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PISA 2015 student questionnaire used six items to evaluate students’ epistemological beliefs (OECD, 2017a)</w:t>
            </w:r>
          </w:p>
        </w:tc>
        <w:tc>
          <w:tcPr>
            <w:tcW w:w="992" w:type="dxa"/>
          </w:tcPr>
          <w:p w14:paraId="61F0550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0423A74A" w14:textId="77777777" w:rsidTr="00795981">
        <w:tc>
          <w:tcPr>
            <w:tcW w:w="4536" w:type="dxa"/>
          </w:tcPr>
          <w:p w14:paraId="56621E6A" w14:textId="77777777" w:rsidR="008A247A" w:rsidRPr="00795981" w:rsidRDefault="008A247A" w:rsidP="008A247A">
            <w:pPr>
              <w:ind w:left="200"/>
              <w:rPr>
                <w:rFonts w:ascii="Times New Roman" w:hAnsi="Times New Roman" w:cs="Times New Roman"/>
                <w:color w:val="000000" w:themeColor="text1"/>
              </w:rPr>
            </w:pPr>
            <w:r w:rsidRPr="00795981">
              <w:rPr>
                <w:rFonts w:ascii="Times New Roman" w:hAnsi="Times New Roman" w:cs="Times New Roman"/>
                <w:color w:val="000000" w:themeColor="text1"/>
              </w:rPr>
              <w:t>Level 2. Household context</w:t>
            </w:r>
          </w:p>
        </w:tc>
        <w:tc>
          <w:tcPr>
            <w:tcW w:w="9356" w:type="dxa"/>
          </w:tcPr>
          <w:p w14:paraId="0D35B11C"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5FD8488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97</w:t>
            </w:r>
          </w:p>
        </w:tc>
      </w:tr>
      <w:tr w:rsidR="00795981" w:rsidRPr="00795981" w14:paraId="752ECC91" w14:textId="77777777" w:rsidTr="00795981">
        <w:tc>
          <w:tcPr>
            <w:tcW w:w="4536" w:type="dxa"/>
          </w:tcPr>
          <w:p w14:paraId="66D5640C"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2.1 Family SES</w:t>
            </w:r>
          </w:p>
        </w:tc>
        <w:tc>
          <w:tcPr>
            <w:tcW w:w="9356" w:type="dxa"/>
          </w:tcPr>
          <w:p w14:paraId="236C19F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The overall SES measurement: constructed for the PISA dataset using measures of household possessions, parental occupation, and parent’s education </w:t>
            </w:r>
          </w:p>
        </w:tc>
        <w:tc>
          <w:tcPr>
            <w:tcW w:w="992" w:type="dxa"/>
          </w:tcPr>
          <w:p w14:paraId="052D115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93</w:t>
            </w:r>
          </w:p>
        </w:tc>
      </w:tr>
      <w:tr w:rsidR="00795981" w:rsidRPr="00795981" w14:paraId="55F210FB" w14:textId="77777777" w:rsidTr="00795981">
        <w:tc>
          <w:tcPr>
            <w:tcW w:w="4536" w:type="dxa"/>
          </w:tcPr>
          <w:p w14:paraId="1F6ACBCB"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2.1.1 Home possessions</w:t>
            </w:r>
          </w:p>
        </w:tc>
        <w:tc>
          <w:tcPr>
            <w:tcW w:w="9356" w:type="dxa"/>
          </w:tcPr>
          <w:p w14:paraId="5F18DAA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Include home educational resources, household wealth, cultural possessions </w:t>
            </w:r>
          </w:p>
        </w:tc>
        <w:tc>
          <w:tcPr>
            <w:tcW w:w="992" w:type="dxa"/>
          </w:tcPr>
          <w:p w14:paraId="5788089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36</w:t>
            </w:r>
          </w:p>
        </w:tc>
      </w:tr>
      <w:tr w:rsidR="00795981" w:rsidRPr="00795981" w14:paraId="4F9487FA" w14:textId="77777777" w:rsidTr="00795981">
        <w:tc>
          <w:tcPr>
            <w:tcW w:w="4536" w:type="dxa"/>
          </w:tcPr>
          <w:p w14:paraId="42824885"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2.1.1.1 Home educational resources</w:t>
            </w:r>
          </w:p>
        </w:tc>
        <w:tc>
          <w:tcPr>
            <w:tcW w:w="9356" w:type="dxa"/>
          </w:tcPr>
          <w:p w14:paraId="1B25004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School-related books, technical reference books, dictionary at home; computer for schoolwork, educational software, Internet access; study desk, students’ own room, quiet place to study </w:t>
            </w:r>
          </w:p>
        </w:tc>
        <w:tc>
          <w:tcPr>
            <w:tcW w:w="992" w:type="dxa"/>
          </w:tcPr>
          <w:p w14:paraId="7588046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24</w:t>
            </w:r>
          </w:p>
        </w:tc>
      </w:tr>
      <w:tr w:rsidR="00795981" w:rsidRPr="00795981" w14:paraId="7D75637B" w14:textId="77777777" w:rsidTr="00795981">
        <w:tc>
          <w:tcPr>
            <w:tcW w:w="4536" w:type="dxa"/>
          </w:tcPr>
          <w:p w14:paraId="103157C4"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2.1.1.1.1 Available books at home</w:t>
            </w:r>
          </w:p>
        </w:tc>
        <w:tc>
          <w:tcPr>
            <w:tcW w:w="9356" w:type="dxa"/>
          </w:tcPr>
          <w:p w14:paraId="5000BAC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School-related books, technical reference books, dictionary at home and number of books at home </w:t>
            </w:r>
          </w:p>
        </w:tc>
        <w:tc>
          <w:tcPr>
            <w:tcW w:w="992" w:type="dxa"/>
          </w:tcPr>
          <w:p w14:paraId="470AC74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9</w:t>
            </w:r>
          </w:p>
        </w:tc>
      </w:tr>
      <w:tr w:rsidR="00795981" w:rsidRPr="00795981" w14:paraId="729A85E0" w14:textId="77777777" w:rsidTr="00795981">
        <w:tc>
          <w:tcPr>
            <w:tcW w:w="4536" w:type="dxa"/>
          </w:tcPr>
          <w:p w14:paraId="1B765554"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2.1.1.1.2 Home ICT availability</w:t>
            </w:r>
          </w:p>
        </w:tc>
        <w:tc>
          <w:tcPr>
            <w:tcW w:w="9356" w:type="dxa"/>
          </w:tcPr>
          <w:p w14:paraId="25B443DF"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ICT resources at home, such as educational software, internet access</w:t>
            </w:r>
          </w:p>
        </w:tc>
        <w:tc>
          <w:tcPr>
            <w:tcW w:w="992" w:type="dxa"/>
          </w:tcPr>
          <w:p w14:paraId="0F9C790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w:t>
            </w:r>
          </w:p>
        </w:tc>
      </w:tr>
      <w:tr w:rsidR="00795981" w:rsidRPr="00795981" w14:paraId="749CB279" w14:textId="77777777" w:rsidTr="00795981">
        <w:tc>
          <w:tcPr>
            <w:tcW w:w="4536" w:type="dxa"/>
          </w:tcPr>
          <w:p w14:paraId="2D0EE893"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2.1.1.2 Household wealth</w:t>
            </w:r>
          </w:p>
        </w:tc>
        <w:tc>
          <w:tcPr>
            <w:tcW w:w="9356" w:type="dxa"/>
          </w:tcPr>
          <w:p w14:paraId="2FFD1AB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Annual household income; items available at home: an independent room, a link to the internet, a dishwasher, a DVD player and three other country-specific wealth items, cellular phones, televisions, computers, cars and rooms with a bath or shower </w:t>
            </w:r>
          </w:p>
        </w:tc>
        <w:tc>
          <w:tcPr>
            <w:tcW w:w="992" w:type="dxa"/>
          </w:tcPr>
          <w:p w14:paraId="1BF65A4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12</w:t>
            </w:r>
          </w:p>
        </w:tc>
      </w:tr>
      <w:tr w:rsidR="00795981" w:rsidRPr="00795981" w14:paraId="1C822FD8" w14:textId="77777777" w:rsidTr="00795981">
        <w:tc>
          <w:tcPr>
            <w:tcW w:w="4536" w:type="dxa"/>
          </w:tcPr>
          <w:p w14:paraId="3A77B6B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2.1.1.3 Cultural possessions</w:t>
            </w:r>
          </w:p>
        </w:tc>
        <w:tc>
          <w:tcPr>
            <w:tcW w:w="9356" w:type="dxa"/>
          </w:tcPr>
          <w:p w14:paraId="1DA9F7A2" w14:textId="77105750"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How </w:t>
            </w:r>
            <w:r w:rsidR="00853D3B" w:rsidRPr="00795981">
              <w:rPr>
                <w:rFonts w:ascii="Times New Roman" w:hAnsi="Times New Roman" w:cs="Times New Roman"/>
                <w:color w:val="000000" w:themeColor="text1"/>
              </w:rPr>
              <w:t>many</w:t>
            </w:r>
            <w:r w:rsidRPr="00795981">
              <w:rPr>
                <w:rFonts w:ascii="Times New Roman" w:hAnsi="Times New Roman" w:cs="Times New Roman"/>
                <w:color w:val="000000" w:themeColor="text1"/>
              </w:rPr>
              <w:t xml:space="preserve"> cultural goods a family owns: classic literature, books of poetry, works of art</w:t>
            </w:r>
          </w:p>
        </w:tc>
        <w:tc>
          <w:tcPr>
            <w:tcW w:w="992" w:type="dxa"/>
          </w:tcPr>
          <w:p w14:paraId="1C8DB13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w:t>
            </w:r>
          </w:p>
        </w:tc>
      </w:tr>
      <w:tr w:rsidR="00795981" w:rsidRPr="00795981" w14:paraId="5EAB00C6" w14:textId="77777777" w:rsidTr="00795981">
        <w:tc>
          <w:tcPr>
            <w:tcW w:w="4536" w:type="dxa"/>
          </w:tcPr>
          <w:p w14:paraId="49722B17"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2.1.2 Parental educational background</w:t>
            </w:r>
          </w:p>
        </w:tc>
        <w:tc>
          <w:tcPr>
            <w:tcW w:w="9356" w:type="dxa"/>
          </w:tcPr>
          <w:p w14:paraId="3BEBF5F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Educational level of mother, educational level of father, parents’ average level of schooling, mother and father with the highest levels of education, parental education in years</w:t>
            </w:r>
          </w:p>
        </w:tc>
        <w:tc>
          <w:tcPr>
            <w:tcW w:w="992" w:type="dxa"/>
          </w:tcPr>
          <w:p w14:paraId="66489C3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31</w:t>
            </w:r>
          </w:p>
        </w:tc>
      </w:tr>
      <w:tr w:rsidR="00795981" w:rsidRPr="00795981" w14:paraId="327F21C2" w14:textId="77777777" w:rsidTr="00795981">
        <w:tc>
          <w:tcPr>
            <w:tcW w:w="4536" w:type="dxa"/>
          </w:tcPr>
          <w:p w14:paraId="614995A7"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2.1.3 Parental occupational status</w:t>
            </w:r>
          </w:p>
        </w:tc>
        <w:tc>
          <w:tcPr>
            <w:tcW w:w="9356" w:type="dxa"/>
          </w:tcPr>
          <w:p w14:paraId="5EFF0CD2"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Mother’s occupational status, father’s occupational status, highest occupational status of parents, types of work (including math-related career), mother or father part-time or full time </w:t>
            </w:r>
          </w:p>
        </w:tc>
        <w:tc>
          <w:tcPr>
            <w:tcW w:w="992" w:type="dxa"/>
          </w:tcPr>
          <w:p w14:paraId="799BB65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22</w:t>
            </w:r>
          </w:p>
        </w:tc>
      </w:tr>
      <w:tr w:rsidR="00795981" w:rsidRPr="00795981" w14:paraId="78ADF2A7" w14:textId="77777777" w:rsidTr="00795981">
        <w:tc>
          <w:tcPr>
            <w:tcW w:w="4536" w:type="dxa"/>
          </w:tcPr>
          <w:p w14:paraId="523EE08C"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2.2 Family structure</w:t>
            </w:r>
          </w:p>
        </w:tc>
        <w:tc>
          <w:tcPr>
            <w:tcW w:w="9356" w:type="dxa"/>
          </w:tcPr>
          <w:p w14:paraId="5139493A" w14:textId="48F292F2"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Two-parent families vs</w:t>
            </w:r>
            <w:r w:rsidR="00853D3B"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single-parent families, absence of father, sibship, co-residence with grandparents</w:t>
            </w:r>
          </w:p>
        </w:tc>
        <w:tc>
          <w:tcPr>
            <w:tcW w:w="992" w:type="dxa"/>
          </w:tcPr>
          <w:p w14:paraId="1DBB254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14</w:t>
            </w:r>
          </w:p>
        </w:tc>
      </w:tr>
      <w:tr w:rsidR="00795981" w:rsidRPr="00795981" w14:paraId="5D7135CE" w14:textId="77777777" w:rsidTr="00795981">
        <w:tc>
          <w:tcPr>
            <w:tcW w:w="4536" w:type="dxa"/>
          </w:tcPr>
          <w:p w14:paraId="4442DCF0"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2.3 Parental expectation and behavior</w:t>
            </w:r>
          </w:p>
        </w:tc>
        <w:tc>
          <w:tcPr>
            <w:tcW w:w="9356" w:type="dxa"/>
          </w:tcPr>
          <w:p w14:paraId="5422CF29" w14:textId="0FECF008"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Parents’ educational, career, academic expectations, parents considering math important; parental support (including emotional support), knowing a </w:t>
            </w:r>
            <w:r w:rsidR="00853D3B" w:rsidRPr="00795981">
              <w:rPr>
                <w:rFonts w:ascii="Times New Roman" w:hAnsi="Times New Roman" w:cs="Times New Roman"/>
                <w:color w:val="000000" w:themeColor="text1"/>
              </w:rPr>
              <w:t>child's</w:t>
            </w:r>
            <w:r w:rsidRPr="00795981">
              <w:rPr>
                <w:rFonts w:ascii="Times New Roman" w:hAnsi="Times New Roman" w:cs="Times New Roman"/>
                <w:color w:val="000000" w:themeColor="text1"/>
              </w:rPr>
              <w:t xml:space="preserve"> teacher, visits to museums, parents’ pressure on schools’ academic standards, parents’ talking about school experiences and spend time doing fun activities, parents’ own reading engagement </w:t>
            </w:r>
          </w:p>
        </w:tc>
        <w:tc>
          <w:tcPr>
            <w:tcW w:w="992" w:type="dxa"/>
          </w:tcPr>
          <w:p w14:paraId="567227E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10</w:t>
            </w:r>
          </w:p>
        </w:tc>
      </w:tr>
      <w:tr w:rsidR="00795981" w:rsidRPr="00795981" w14:paraId="4CE65782" w14:textId="77777777" w:rsidTr="00795981">
        <w:tc>
          <w:tcPr>
            <w:tcW w:w="4536" w:type="dxa"/>
          </w:tcPr>
          <w:p w14:paraId="5B2A09DC"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Parents' math attitude and support combined with students' attitude</w:t>
            </w:r>
          </w:p>
        </w:tc>
        <w:tc>
          <w:tcPr>
            <w:tcW w:w="9356" w:type="dxa"/>
          </w:tcPr>
          <w:p w14:paraId="76C91795" w14:textId="0FCDDBFF"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Math attitude combined of four items</w:t>
            </w:r>
            <w:r w:rsidR="00853D3B" w:rsidRPr="00795981">
              <w:rPr>
                <w:rFonts w:ascii="Times New Roman" w:hAnsi="Times New Roman" w:cs="Times New Roman"/>
                <w:color w:val="000000" w:themeColor="text1"/>
              </w:rPr>
              <w:t xml:space="preserve">: </w:t>
            </w:r>
            <w:r w:rsidRPr="00795981">
              <w:rPr>
                <w:rFonts w:ascii="Times New Roman" w:hAnsi="Times New Roman" w:cs="Times New Roman"/>
                <w:color w:val="000000" w:themeColor="text1"/>
              </w:rPr>
              <w:t>parental attitude towards math, intensity of parental helping math, student instrument motivation, student math anxiety</w:t>
            </w:r>
          </w:p>
        </w:tc>
        <w:tc>
          <w:tcPr>
            <w:tcW w:w="992" w:type="dxa"/>
          </w:tcPr>
          <w:p w14:paraId="1B9AA71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5B943CFD" w14:textId="77777777" w:rsidTr="00795981">
        <w:tc>
          <w:tcPr>
            <w:tcW w:w="4536" w:type="dxa"/>
          </w:tcPr>
          <w:p w14:paraId="3BB803D9" w14:textId="77777777" w:rsidR="008A247A" w:rsidRPr="00795981" w:rsidRDefault="008A247A" w:rsidP="008A247A">
            <w:pPr>
              <w:ind w:left="200"/>
              <w:rPr>
                <w:rFonts w:ascii="Times New Roman" w:hAnsi="Times New Roman" w:cs="Times New Roman"/>
                <w:color w:val="000000" w:themeColor="text1"/>
              </w:rPr>
            </w:pPr>
            <w:r w:rsidRPr="00795981">
              <w:rPr>
                <w:rFonts w:ascii="Times New Roman" w:hAnsi="Times New Roman" w:cs="Times New Roman"/>
                <w:color w:val="000000" w:themeColor="text1"/>
              </w:rPr>
              <w:t>Level 3. School community</w:t>
            </w:r>
          </w:p>
        </w:tc>
        <w:tc>
          <w:tcPr>
            <w:tcW w:w="9356" w:type="dxa"/>
          </w:tcPr>
          <w:p w14:paraId="1D786BB5"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2FC8CA5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89</w:t>
            </w:r>
          </w:p>
        </w:tc>
      </w:tr>
      <w:tr w:rsidR="00795981" w:rsidRPr="00795981" w14:paraId="2E9E827D" w14:textId="77777777" w:rsidTr="00795981">
        <w:tc>
          <w:tcPr>
            <w:tcW w:w="4536" w:type="dxa"/>
          </w:tcPr>
          <w:p w14:paraId="60F4B00B"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3.1 Within-classroom factors</w:t>
            </w:r>
          </w:p>
        </w:tc>
        <w:tc>
          <w:tcPr>
            <w:tcW w:w="9356" w:type="dxa"/>
          </w:tcPr>
          <w:p w14:paraId="261272AF"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2CC6718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49</w:t>
            </w:r>
          </w:p>
        </w:tc>
      </w:tr>
      <w:tr w:rsidR="00795981" w:rsidRPr="00795981" w14:paraId="572FC654" w14:textId="77777777" w:rsidTr="00795981">
        <w:tc>
          <w:tcPr>
            <w:tcW w:w="4536" w:type="dxa"/>
          </w:tcPr>
          <w:p w14:paraId="1200AE6F"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3.1.1 Classroom characteristics</w:t>
            </w:r>
          </w:p>
        </w:tc>
        <w:tc>
          <w:tcPr>
            <w:tcW w:w="9356" w:type="dxa"/>
          </w:tcPr>
          <w:p w14:paraId="3F309491"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45C05A0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28</w:t>
            </w:r>
          </w:p>
        </w:tc>
      </w:tr>
      <w:tr w:rsidR="00795981" w:rsidRPr="00795981" w14:paraId="37E28637" w14:textId="77777777" w:rsidTr="00795981">
        <w:tc>
          <w:tcPr>
            <w:tcW w:w="4536" w:type="dxa"/>
          </w:tcPr>
          <w:p w14:paraId="5ED85A4F"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3.1.1.1 Disciplinary climate</w:t>
            </w:r>
          </w:p>
        </w:tc>
        <w:tc>
          <w:tcPr>
            <w:tcW w:w="9356" w:type="dxa"/>
          </w:tcPr>
          <w:p w14:paraId="2D0D61B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Behavioral-classroom management. Students described the frequency with which interruptions occur in current mathematics lessons. This included how often (never, in some, in most, in all mathematics lessons) students: do not listen to what the teacher says; there is noise and disorder; the teacher has to wait a long time for students to quieten down; students cannot work well; and students do not start working for a long time after the lesson begins.</w:t>
            </w:r>
          </w:p>
        </w:tc>
        <w:tc>
          <w:tcPr>
            <w:tcW w:w="992" w:type="dxa"/>
          </w:tcPr>
          <w:p w14:paraId="756A7B3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13</w:t>
            </w:r>
          </w:p>
        </w:tc>
      </w:tr>
      <w:tr w:rsidR="00795981" w:rsidRPr="00795981" w14:paraId="0B62D341" w14:textId="77777777" w:rsidTr="00795981">
        <w:tc>
          <w:tcPr>
            <w:tcW w:w="4536" w:type="dxa"/>
          </w:tcPr>
          <w:p w14:paraId="0843C60C"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3.1.1.2 Class size</w:t>
            </w:r>
          </w:p>
        </w:tc>
        <w:tc>
          <w:tcPr>
            <w:tcW w:w="9356" w:type="dxa"/>
          </w:tcPr>
          <w:p w14:paraId="2B117A93" w14:textId="36BB0534"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Average class size in schools derived from principals’ responses to a question asking them about the average class size in their school using a 9-point scale (15 students or fewer to more than 50 students); average size of the student’s English classes; the most common mean of class size is between 22-29, but also 37 (Tan &amp;Hew, 2019) or 44 (Özdemir, 2016)</w:t>
            </w:r>
            <w:r w:rsidR="00673812" w:rsidRPr="00795981">
              <w:rPr>
                <w:rFonts w:ascii="Times New Roman" w:hAnsi="Times New Roman" w:cs="Times New Roman"/>
                <w:color w:val="000000" w:themeColor="text1"/>
              </w:rPr>
              <w:t>.</w:t>
            </w:r>
          </w:p>
        </w:tc>
        <w:tc>
          <w:tcPr>
            <w:tcW w:w="992" w:type="dxa"/>
          </w:tcPr>
          <w:p w14:paraId="5898266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7FC401A3" w14:textId="77777777" w:rsidTr="00795981">
        <w:tc>
          <w:tcPr>
            <w:tcW w:w="4536" w:type="dxa"/>
          </w:tcPr>
          <w:p w14:paraId="694F1923" w14:textId="05D85B8B"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 xml:space="preserve">3.1.1.3 </w:t>
            </w:r>
            <w:r w:rsidR="0086320E" w:rsidRPr="00795981">
              <w:rPr>
                <w:rFonts w:ascii="Times New Roman" w:hAnsi="Times New Roman" w:cs="Times New Roman"/>
                <w:color w:val="000000" w:themeColor="text1"/>
              </w:rPr>
              <w:t>S</w:t>
            </w:r>
            <w:r w:rsidRPr="00795981">
              <w:rPr>
                <w:rFonts w:ascii="Times New Roman" w:hAnsi="Times New Roman" w:cs="Times New Roman"/>
                <w:color w:val="000000" w:themeColor="text1"/>
              </w:rPr>
              <w:t>tudent</w:t>
            </w:r>
            <w:r w:rsidR="0086320E" w:rsidRPr="00795981">
              <w:rPr>
                <w:rFonts w:ascii="Times New Roman" w:hAnsi="Times New Roman" w:cs="Times New Roman"/>
                <w:color w:val="000000" w:themeColor="text1"/>
              </w:rPr>
              <w:t>-teacher</w:t>
            </w:r>
            <w:r w:rsidRPr="00795981">
              <w:rPr>
                <w:rFonts w:ascii="Times New Roman" w:hAnsi="Times New Roman" w:cs="Times New Roman"/>
                <w:color w:val="000000" w:themeColor="text1"/>
              </w:rPr>
              <w:t xml:space="preserve"> ratio</w:t>
            </w:r>
          </w:p>
        </w:tc>
        <w:tc>
          <w:tcPr>
            <w:tcW w:w="9356" w:type="dxa"/>
          </w:tcPr>
          <w:p w14:paraId="1A843A38" w14:textId="0CBADDF8" w:rsidR="008A247A" w:rsidRPr="00795981" w:rsidRDefault="0086320E" w:rsidP="008A247A">
            <w:pPr>
              <w:pStyle w:val="TableContents"/>
              <w:rPr>
                <w:rFonts w:ascii="Times New Roman" w:hAnsi="Times New Roman" w:cs="Times New Roman"/>
                <w:color w:val="000000" w:themeColor="text1"/>
              </w:rPr>
            </w:pPr>
            <w:r w:rsidRPr="00795981">
              <w:rPr>
                <w:rFonts w:ascii="Times New Roman" w:hAnsi="Times New Roman" w:cs="Times New Roman" w:hint="eastAsia"/>
                <w:color w:val="000000" w:themeColor="text1"/>
              </w:rPr>
              <w:t>How many students per teacher</w:t>
            </w:r>
            <w:r w:rsidR="00853D3B" w:rsidRPr="00795981">
              <w:rPr>
                <w:rFonts w:ascii="Times New Roman" w:hAnsi="Times New Roman" w:cs="Times New Roman"/>
                <w:color w:val="000000" w:themeColor="text1"/>
              </w:rPr>
              <w:t xml:space="preserve"> </w:t>
            </w:r>
            <w:r w:rsidRPr="00795981">
              <w:rPr>
                <w:rFonts w:ascii="Times New Roman" w:hAnsi="Times New Roman" w:cs="Times New Roman" w:hint="eastAsia"/>
                <w:color w:val="000000" w:themeColor="text1"/>
              </w:rPr>
              <w:t>or math teacher</w:t>
            </w:r>
          </w:p>
        </w:tc>
        <w:tc>
          <w:tcPr>
            <w:tcW w:w="992" w:type="dxa"/>
          </w:tcPr>
          <w:p w14:paraId="5DBA3C6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3F4CEE90" w14:textId="77777777" w:rsidTr="00795981">
        <w:tc>
          <w:tcPr>
            <w:tcW w:w="4536" w:type="dxa"/>
          </w:tcPr>
          <w:p w14:paraId="1D7FCEFD"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3.1.1.4 Learning time during regular school hours</w:t>
            </w:r>
          </w:p>
        </w:tc>
        <w:tc>
          <w:tcPr>
            <w:tcW w:w="9356" w:type="dxa"/>
          </w:tcPr>
          <w:p w14:paraId="4B3494A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Time spent on learning mathematics at school, total minutes of class study</w:t>
            </w:r>
          </w:p>
        </w:tc>
        <w:tc>
          <w:tcPr>
            <w:tcW w:w="992" w:type="dxa"/>
          </w:tcPr>
          <w:p w14:paraId="3B37B53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w:t>
            </w:r>
          </w:p>
        </w:tc>
      </w:tr>
      <w:tr w:rsidR="00795981" w:rsidRPr="00795981" w14:paraId="56EC6BEC" w14:textId="77777777" w:rsidTr="00795981">
        <w:tc>
          <w:tcPr>
            <w:tcW w:w="4536" w:type="dxa"/>
          </w:tcPr>
          <w:p w14:paraId="0568DF5C"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3.1.2 Teacher characteristics</w:t>
            </w:r>
          </w:p>
        </w:tc>
        <w:tc>
          <w:tcPr>
            <w:tcW w:w="9356" w:type="dxa"/>
          </w:tcPr>
          <w:p w14:paraId="234D861E"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701F017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18</w:t>
            </w:r>
          </w:p>
        </w:tc>
      </w:tr>
      <w:tr w:rsidR="00795981" w:rsidRPr="00795981" w14:paraId="43679CA9" w14:textId="77777777" w:rsidTr="00795981">
        <w:tc>
          <w:tcPr>
            <w:tcW w:w="4536" w:type="dxa"/>
          </w:tcPr>
          <w:p w14:paraId="46F5172C"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3.1.2.1 Teachers' affective qualities</w:t>
            </w:r>
          </w:p>
        </w:tc>
        <w:tc>
          <w:tcPr>
            <w:tcW w:w="9356" w:type="dxa"/>
          </w:tcPr>
          <w:p w14:paraId="4386D60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Teachers showing support, warmth, and care for student learning; student-teacher relationship</w:t>
            </w:r>
          </w:p>
        </w:tc>
        <w:tc>
          <w:tcPr>
            <w:tcW w:w="992" w:type="dxa"/>
          </w:tcPr>
          <w:p w14:paraId="26CE1C6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10</w:t>
            </w:r>
          </w:p>
        </w:tc>
      </w:tr>
      <w:tr w:rsidR="00795981" w:rsidRPr="00795981" w14:paraId="07EA5019" w14:textId="77777777" w:rsidTr="00795981">
        <w:tc>
          <w:tcPr>
            <w:tcW w:w="4536" w:type="dxa"/>
          </w:tcPr>
          <w:p w14:paraId="78F1E658"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3.1.2.2 Teachers’ qualifications, training, expertise and age</w:t>
            </w:r>
          </w:p>
        </w:tc>
        <w:tc>
          <w:tcPr>
            <w:tcW w:w="9356" w:type="dxa"/>
          </w:tcPr>
          <w:p w14:paraId="731EADD5" w14:textId="739DAD8A"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Teachers have </w:t>
            </w:r>
            <w:r w:rsidR="00853D3B" w:rsidRPr="00795981">
              <w:rPr>
                <w:rFonts w:ascii="Times New Roman" w:hAnsi="Times New Roman" w:cs="Times New Roman"/>
                <w:color w:val="000000" w:themeColor="text1"/>
              </w:rPr>
              <w:t xml:space="preserve">a </w:t>
            </w:r>
            <w:r w:rsidRPr="00795981">
              <w:rPr>
                <w:rFonts w:ascii="Times New Roman" w:hAnsi="Times New Roman" w:cs="Times New Roman"/>
                <w:color w:val="000000" w:themeColor="text1"/>
              </w:rPr>
              <w:t xml:space="preserve">bachelor’s degree or higher, major in math, having </w:t>
            </w:r>
            <w:r w:rsidR="00853D3B" w:rsidRPr="00795981">
              <w:rPr>
                <w:rFonts w:ascii="Times New Roman" w:hAnsi="Times New Roman" w:cs="Times New Roman"/>
                <w:color w:val="000000" w:themeColor="text1"/>
              </w:rPr>
              <w:t>qualifications</w:t>
            </w:r>
            <w:r w:rsidRPr="00795981">
              <w:rPr>
                <w:rFonts w:ascii="Times New Roman" w:hAnsi="Times New Roman" w:cs="Times New Roman"/>
                <w:color w:val="000000" w:themeColor="text1"/>
              </w:rPr>
              <w:t xml:space="preserve"> higher than required; years of working experience, teachers’ category based on skills, age, professional development. </w:t>
            </w:r>
          </w:p>
        </w:tc>
        <w:tc>
          <w:tcPr>
            <w:tcW w:w="992" w:type="dxa"/>
          </w:tcPr>
          <w:p w14:paraId="7AFFCBE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05907E28" w14:textId="77777777" w:rsidTr="00795981">
        <w:tc>
          <w:tcPr>
            <w:tcW w:w="4536" w:type="dxa"/>
          </w:tcPr>
          <w:p w14:paraId="430F7825"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Teachers' attitudes towards math and teaching</w:t>
            </w:r>
          </w:p>
        </w:tc>
        <w:tc>
          <w:tcPr>
            <w:tcW w:w="9356" w:type="dxa"/>
          </w:tcPr>
          <w:p w14:paraId="4380EB99"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Teachers’ open-mindedness towards new ways of teaching; the perceived interest of teachers; the extra help, useful feedback, and emotional support provided by teachers in the student learning process</w:t>
            </w:r>
          </w:p>
        </w:tc>
        <w:tc>
          <w:tcPr>
            <w:tcW w:w="992" w:type="dxa"/>
          </w:tcPr>
          <w:p w14:paraId="43DB235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0842F66C" w14:textId="77777777" w:rsidTr="00795981">
        <w:tc>
          <w:tcPr>
            <w:tcW w:w="4536" w:type="dxa"/>
          </w:tcPr>
          <w:p w14:paraId="13448366"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3.1.3 Pedagogy and assessment</w:t>
            </w:r>
          </w:p>
        </w:tc>
        <w:tc>
          <w:tcPr>
            <w:tcW w:w="9356" w:type="dxa"/>
          </w:tcPr>
          <w:p w14:paraId="4671A2BE"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107D1FD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17</w:t>
            </w:r>
          </w:p>
        </w:tc>
      </w:tr>
      <w:tr w:rsidR="00795981" w:rsidRPr="00795981" w14:paraId="23E585FE" w14:textId="77777777" w:rsidTr="00795981">
        <w:tc>
          <w:tcPr>
            <w:tcW w:w="4536" w:type="dxa"/>
          </w:tcPr>
          <w:p w14:paraId="0BF440A4"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3.1.3.1 Cognitive-pedagogical approaches</w:t>
            </w:r>
          </w:p>
        </w:tc>
        <w:tc>
          <w:tcPr>
            <w:tcW w:w="9356" w:type="dxa"/>
          </w:tcPr>
          <w:p w14:paraId="346077EB"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73E54FE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16</w:t>
            </w:r>
          </w:p>
        </w:tc>
      </w:tr>
      <w:tr w:rsidR="00795981" w:rsidRPr="00795981" w14:paraId="05AA740E" w14:textId="77777777" w:rsidTr="00795981">
        <w:tc>
          <w:tcPr>
            <w:tcW w:w="4536" w:type="dxa"/>
          </w:tcPr>
          <w:p w14:paraId="37522276"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3.1.3.1.1 Student-centered instruction</w:t>
            </w:r>
          </w:p>
        </w:tc>
        <w:tc>
          <w:tcPr>
            <w:tcW w:w="9356" w:type="dxa"/>
          </w:tcPr>
          <w:p w14:paraId="6500E3C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Class activities that occur largely without explicit direction or overview of the teachers; students’ reports related to work assigned, complex projects, working in small groups, plan classroom activities; ICT for projects or class work; asked for students’ opinions, and asked to design their own experiment; principals’ responses re trying new methods and teaching practices </w:t>
            </w:r>
          </w:p>
        </w:tc>
        <w:tc>
          <w:tcPr>
            <w:tcW w:w="992" w:type="dxa"/>
          </w:tcPr>
          <w:p w14:paraId="6E2E499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10</w:t>
            </w:r>
          </w:p>
        </w:tc>
      </w:tr>
      <w:tr w:rsidR="00795981" w:rsidRPr="00795981" w14:paraId="6F16814B" w14:textId="77777777" w:rsidTr="00795981">
        <w:tc>
          <w:tcPr>
            <w:tcW w:w="4536" w:type="dxa"/>
          </w:tcPr>
          <w:p w14:paraId="7732DE81"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3.1.3.1.2 Teacher-directed instruction</w:t>
            </w:r>
          </w:p>
        </w:tc>
        <w:tc>
          <w:tcPr>
            <w:tcW w:w="9356" w:type="dxa"/>
          </w:tcPr>
          <w:p w14:paraId="758EE0A5" w14:textId="45637CD1"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Direction or overview from the teacher; sets clear goals; encourages thinking and reasoning; checks understanding; </w:t>
            </w:r>
            <w:r w:rsidR="00673812" w:rsidRPr="00795981">
              <w:rPr>
                <w:rFonts w:ascii="Times New Roman" w:hAnsi="Times New Roman" w:cs="Times New Roman"/>
                <w:color w:val="000000" w:themeColor="text1"/>
              </w:rPr>
              <w:t>summarizes</w:t>
            </w:r>
            <w:r w:rsidRPr="00795981">
              <w:rPr>
                <w:rFonts w:ascii="Times New Roman" w:hAnsi="Times New Roman" w:cs="Times New Roman"/>
                <w:color w:val="000000" w:themeColor="text1"/>
              </w:rPr>
              <w:t xml:space="preserve"> previous lessons; informs about learning goals; differentiates between students when giving tasks; refer problem from everyday life and link new knowledge to old; let students practice similar tasks; checks students’ exercise books or homework.</w:t>
            </w:r>
          </w:p>
        </w:tc>
        <w:tc>
          <w:tcPr>
            <w:tcW w:w="992" w:type="dxa"/>
          </w:tcPr>
          <w:p w14:paraId="054D1C8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5</w:t>
            </w:r>
          </w:p>
        </w:tc>
      </w:tr>
      <w:tr w:rsidR="00795981" w:rsidRPr="00795981" w14:paraId="016D1A28" w14:textId="77777777" w:rsidTr="00795981">
        <w:tc>
          <w:tcPr>
            <w:tcW w:w="4536" w:type="dxa"/>
          </w:tcPr>
          <w:p w14:paraId="4D6B16DA"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3.1.3.1.3 Cognitive activation</w:t>
            </w:r>
          </w:p>
        </w:tc>
        <w:tc>
          <w:tcPr>
            <w:tcW w:w="9356" w:type="dxa"/>
          </w:tcPr>
          <w:p w14:paraId="205885B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How often a series of situations happened with the mathematics teacher that taught them their last mathematics class: the teacher asks questions that make students reflect on the problem; the teacher gives problems that require students to think for an extended time; the teacher asks students to decide, on their own, procedures for solving complex problems; the teacher presents problems in different contexts so that students know whether they have understood the concepts; the teacher helps students to learn</w:t>
            </w:r>
          </w:p>
        </w:tc>
        <w:tc>
          <w:tcPr>
            <w:tcW w:w="992" w:type="dxa"/>
          </w:tcPr>
          <w:p w14:paraId="7F0F3D4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36F1A1FC" w14:textId="77777777" w:rsidTr="00795981">
        <w:tc>
          <w:tcPr>
            <w:tcW w:w="4536" w:type="dxa"/>
          </w:tcPr>
          <w:p w14:paraId="51911133"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Assessments given to students</w:t>
            </w:r>
          </w:p>
        </w:tc>
        <w:tc>
          <w:tcPr>
            <w:tcW w:w="9356" w:type="dxa"/>
          </w:tcPr>
          <w:p w14:paraId="454DB2D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Teachers’ formative assessment</w:t>
            </w:r>
          </w:p>
        </w:tc>
        <w:tc>
          <w:tcPr>
            <w:tcW w:w="992" w:type="dxa"/>
          </w:tcPr>
          <w:p w14:paraId="50D3855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51176173" w14:textId="77777777" w:rsidTr="00795981">
        <w:tc>
          <w:tcPr>
            <w:tcW w:w="4536" w:type="dxa"/>
          </w:tcPr>
          <w:p w14:paraId="6EE0185C"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Within class ability grouping</w:t>
            </w:r>
          </w:p>
        </w:tc>
        <w:tc>
          <w:tcPr>
            <w:tcW w:w="9356" w:type="dxa"/>
          </w:tcPr>
          <w:p w14:paraId="26137D2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Group students by ability within classes</w:t>
            </w:r>
          </w:p>
        </w:tc>
        <w:tc>
          <w:tcPr>
            <w:tcW w:w="992" w:type="dxa"/>
          </w:tcPr>
          <w:p w14:paraId="54B430A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5B981B1A" w14:textId="77777777" w:rsidTr="00795981">
        <w:tc>
          <w:tcPr>
            <w:tcW w:w="4536" w:type="dxa"/>
          </w:tcPr>
          <w:p w14:paraId="09025864"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3.1.4 Content coverage</w:t>
            </w:r>
          </w:p>
        </w:tc>
        <w:tc>
          <w:tcPr>
            <w:tcW w:w="9356" w:type="dxa"/>
          </w:tcPr>
          <w:p w14:paraId="3A059F1D" w14:textId="64018FD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Three indices: (1) exposure to applied math concepts; (</w:t>
            </w:r>
            <w:r w:rsidR="00673812" w:rsidRPr="00795981">
              <w:rPr>
                <w:rFonts w:ascii="Times New Roman" w:hAnsi="Times New Roman" w:cs="Times New Roman"/>
                <w:color w:val="000000" w:themeColor="text1"/>
              </w:rPr>
              <w:t>2) exposure</w:t>
            </w:r>
            <w:r w:rsidRPr="00795981">
              <w:rPr>
                <w:rFonts w:ascii="Times New Roman" w:hAnsi="Times New Roman" w:cs="Times New Roman"/>
                <w:color w:val="000000" w:themeColor="text1"/>
              </w:rPr>
              <w:t xml:space="preserve"> to work problems; (3) exposure to formal math concepts, algebra (exponential functions, quadratic functions, linear equations), geometry (vectors, polygons, congruent ﬁgures, cosines);</w:t>
            </w:r>
            <w:r w:rsidR="00673812" w:rsidRPr="00795981">
              <w:rPr>
                <w:rFonts w:ascii="Times New Roman" w:hAnsi="Times New Roman" w:cs="Times New Roman"/>
                <w:color w:val="000000" w:themeColor="text1"/>
              </w:rPr>
              <w:t xml:space="preserve"> </w:t>
            </w:r>
            <w:r w:rsidRPr="00795981">
              <w:rPr>
                <w:rFonts w:ascii="Times New Roman" w:hAnsi="Times New Roman" w:cs="Times New Roman"/>
                <w:color w:val="000000" w:themeColor="text1"/>
              </w:rPr>
              <w:t>instructional time; school provides skills in science-related subjects and who have a greater number of mandatory courses in science</w:t>
            </w:r>
          </w:p>
        </w:tc>
        <w:tc>
          <w:tcPr>
            <w:tcW w:w="992" w:type="dxa"/>
          </w:tcPr>
          <w:p w14:paraId="04B5EA8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11</w:t>
            </w:r>
          </w:p>
        </w:tc>
      </w:tr>
      <w:tr w:rsidR="00795981" w:rsidRPr="00795981" w14:paraId="4C41D05D" w14:textId="77777777" w:rsidTr="00795981">
        <w:tc>
          <w:tcPr>
            <w:tcW w:w="4536" w:type="dxa"/>
          </w:tcPr>
          <w:p w14:paraId="75549912"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3.2 School characteristics</w:t>
            </w:r>
          </w:p>
        </w:tc>
        <w:tc>
          <w:tcPr>
            <w:tcW w:w="9356" w:type="dxa"/>
          </w:tcPr>
          <w:p w14:paraId="49814591"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7F56B99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68</w:t>
            </w:r>
          </w:p>
        </w:tc>
      </w:tr>
      <w:tr w:rsidR="00795981" w:rsidRPr="00795981" w14:paraId="14550A71" w14:textId="77777777" w:rsidTr="00795981">
        <w:tc>
          <w:tcPr>
            <w:tcW w:w="4536" w:type="dxa"/>
          </w:tcPr>
          <w:p w14:paraId="13E34D44"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3.2.1 School composition</w:t>
            </w:r>
          </w:p>
        </w:tc>
        <w:tc>
          <w:tcPr>
            <w:tcW w:w="9356" w:type="dxa"/>
          </w:tcPr>
          <w:p w14:paraId="1217D624"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377ECB8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36</w:t>
            </w:r>
          </w:p>
        </w:tc>
      </w:tr>
      <w:tr w:rsidR="00795981" w:rsidRPr="00795981" w14:paraId="768D4D5B" w14:textId="77777777" w:rsidTr="00795981">
        <w:tc>
          <w:tcPr>
            <w:tcW w:w="4536" w:type="dxa"/>
          </w:tcPr>
          <w:p w14:paraId="1D7E4E92"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3.2.1.1 School SES composition</w:t>
            </w:r>
          </w:p>
        </w:tc>
        <w:tc>
          <w:tcPr>
            <w:tcW w:w="9356" w:type="dxa"/>
          </w:tcPr>
          <w:p w14:paraId="1198EF6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of the PISA economic, social and cultural status index (ESCS)-parental education, highest parental occupation, and home possessions; school-level standard deviation of highest parental occupational status</w:t>
            </w:r>
          </w:p>
        </w:tc>
        <w:tc>
          <w:tcPr>
            <w:tcW w:w="992" w:type="dxa"/>
          </w:tcPr>
          <w:p w14:paraId="3324733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32</w:t>
            </w:r>
          </w:p>
        </w:tc>
      </w:tr>
      <w:tr w:rsidR="00795981" w:rsidRPr="00795981" w14:paraId="388FFA4D" w14:textId="77777777" w:rsidTr="00795981">
        <w:tc>
          <w:tcPr>
            <w:tcW w:w="4536" w:type="dxa"/>
          </w:tcPr>
          <w:p w14:paraId="25DD8F73"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3.2.1.2 School ethnic composition</w:t>
            </w:r>
          </w:p>
        </w:tc>
        <w:tc>
          <w:tcPr>
            <w:tcW w:w="9356" w:type="dxa"/>
          </w:tcPr>
          <w:p w14:paraId="3FD4FE2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Percentage of non-native students; percentage of first, second, third-plus generation migrants </w:t>
            </w:r>
          </w:p>
        </w:tc>
        <w:tc>
          <w:tcPr>
            <w:tcW w:w="992" w:type="dxa"/>
          </w:tcPr>
          <w:p w14:paraId="6925F92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206AD419" w14:textId="77777777" w:rsidTr="00795981">
        <w:tc>
          <w:tcPr>
            <w:tcW w:w="4536" w:type="dxa"/>
          </w:tcPr>
          <w:p w14:paraId="06822209"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3.2.1.3 Class and school gender composition</w:t>
            </w:r>
          </w:p>
        </w:tc>
        <w:tc>
          <w:tcPr>
            <w:tcW w:w="9356" w:type="dxa"/>
          </w:tcPr>
          <w:p w14:paraId="49606060" w14:textId="2DA672B9" w:rsidR="008A247A" w:rsidRPr="00795981" w:rsidRDefault="00853D3B"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Ratio</w:t>
            </w:r>
            <w:r w:rsidR="008A247A" w:rsidRPr="00795981">
              <w:rPr>
                <w:rFonts w:ascii="Times New Roman" w:hAnsi="Times New Roman" w:cs="Times New Roman"/>
                <w:color w:val="000000" w:themeColor="text1"/>
              </w:rPr>
              <w:t xml:space="preserve"> of female, male students </w:t>
            </w:r>
          </w:p>
        </w:tc>
        <w:tc>
          <w:tcPr>
            <w:tcW w:w="992" w:type="dxa"/>
          </w:tcPr>
          <w:p w14:paraId="115E2A0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2CEB3DBB" w14:textId="77777777" w:rsidTr="00795981">
        <w:tc>
          <w:tcPr>
            <w:tcW w:w="4536" w:type="dxa"/>
          </w:tcPr>
          <w:p w14:paraId="3D578744"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3.2.1.4 School repeating and dropout rate</w:t>
            </w:r>
          </w:p>
        </w:tc>
        <w:tc>
          <w:tcPr>
            <w:tcW w:w="9356" w:type="dxa"/>
          </w:tcPr>
          <w:p w14:paraId="61ED20C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Proportion of students at school who repeat the same year/level; mean of students who repeat a grade; proportion of students in ﬁnal grade left school without a certiﬁcate</w:t>
            </w:r>
          </w:p>
        </w:tc>
        <w:tc>
          <w:tcPr>
            <w:tcW w:w="992" w:type="dxa"/>
          </w:tcPr>
          <w:p w14:paraId="610F73C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5</w:t>
            </w:r>
          </w:p>
        </w:tc>
      </w:tr>
      <w:tr w:rsidR="00795981" w:rsidRPr="00795981" w14:paraId="27171E77" w14:textId="77777777" w:rsidTr="00795981">
        <w:tc>
          <w:tcPr>
            <w:tcW w:w="4536" w:type="dxa"/>
          </w:tcPr>
          <w:p w14:paraId="57AC0387"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Other school composition</w:t>
            </w:r>
          </w:p>
        </w:tc>
        <w:tc>
          <w:tcPr>
            <w:tcW w:w="9356" w:type="dxa"/>
          </w:tcPr>
          <w:p w14:paraId="7D102EA7"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70DAA9F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22B74724" w14:textId="77777777" w:rsidTr="00795981">
        <w:tc>
          <w:tcPr>
            <w:tcW w:w="4536" w:type="dxa"/>
          </w:tcPr>
          <w:p w14:paraId="3CF87A9F"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School family structure composition</w:t>
            </w:r>
          </w:p>
        </w:tc>
        <w:tc>
          <w:tcPr>
            <w:tcW w:w="9356" w:type="dxa"/>
          </w:tcPr>
          <w:p w14:paraId="2384F2D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Percentage of children aged 0–17 living with a single parent from the OECD family database; computed % of students’ reporting on who they usually live with </w:t>
            </w:r>
          </w:p>
        </w:tc>
        <w:tc>
          <w:tcPr>
            <w:tcW w:w="992" w:type="dxa"/>
          </w:tcPr>
          <w:p w14:paraId="3E65DE9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5132DACB" w14:textId="77777777" w:rsidTr="00795981">
        <w:tc>
          <w:tcPr>
            <w:tcW w:w="4536" w:type="dxa"/>
          </w:tcPr>
          <w:p w14:paraId="6C30ECB1"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Students' grade</w:t>
            </w:r>
          </w:p>
        </w:tc>
        <w:tc>
          <w:tcPr>
            <w:tcW w:w="9356" w:type="dxa"/>
          </w:tcPr>
          <w:p w14:paraId="2BF5407B"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Proportion of students at the school who sat the test who were in Years/grades 10 or 11</w:t>
            </w:r>
          </w:p>
        </w:tc>
        <w:tc>
          <w:tcPr>
            <w:tcW w:w="992" w:type="dxa"/>
          </w:tcPr>
          <w:p w14:paraId="7AB7840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6E09032" w14:textId="77777777" w:rsidTr="00795981">
        <w:tc>
          <w:tcPr>
            <w:tcW w:w="4536" w:type="dxa"/>
          </w:tcPr>
          <w:p w14:paraId="270089DF"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3.2.2 School types</w:t>
            </w:r>
          </w:p>
        </w:tc>
        <w:tc>
          <w:tcPr>
            <w:tcW w:w="9356" w:type="dxa"/>
          </w:tcPr>
          <w:p w14:paraId="5AB5E79B"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0F831CF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24</w:t>
            </w:r>
          </w:p>
        </w:tc>
      </w:tr>
      <w:tr w:rsidR="00795981" w:rsidRPr="00795981" w14:paraId="67CAACEB" w14:textId="77777777" w:rsidTr="00795981">
        <w:tc>
          <w:tcPr>
            <w:tcW w:w="4536" w:type="dxa"/>
          </w:tcPr>
          <w:p w14:paraId="3008980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3.2.2.1 Public and private</w:t>
            </w:r>
          </w:p>
        </w:tc>
        <w:tc>
          <w:tcPr>
            <w:tcW w:w="9356" w:type="dxa"/>
          </w:tcPr>
          <w:p w14:paraId="54BDBB9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Schools are public schools or private schools</w:t>
            </w:r>
          </w:p>
        </w:tc>
        <w:tc>
          <w:tcPr>
            <w:tcW w:w="992" w:type="dxa"/>
          </w:tcPr>
          <w:p w14:paraId="0DD217F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18</w:t>
            </w:r>
          </w:p>
        </w:tc>
      </w:tr>
      <w:tr w:rsidR="00795981" w:rsidRPr="00795981" w14:paraId="6202D3E6" w14:textId="77777777" w:rsidTr="00795981">
        <w:tc>
          <w:tcPr>
            <w:tcW w:w="4536" w:type="dxa"/>
          </w:tcPr>
          <w:p w14:paraId="65588ED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3.2.2.2 Other types of schools</w:t>
            </w:r>
          </w:p>
        </w:tc>
        <w:tc>
          <w:tcPr>
            <w:tcW w:w="9356" w:type="dxa"/>
          </w:tcPr>
          <w:p w14:paraId="116D5F72" w14:textId="58F0B6B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General academic type school vs</w:t>
            </w:r>
            <w:r w:rsidR="00853D3B"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vocational schools; </w:t>
            </w:r>
            <w:r w:rsidR="00853D3B" w:rsidRPr="00795981">
              <w:rPr>
                <w:rFonts w:ascii="Times New Roman" w:hAnsi="Times New Roman" w:cs="Times New Roman"/>
                <w:color w:val="000000" w:themeColor="text1"/>
              </w:rPr>
              <w:t>single-sex</w:t>
            </w:r>
            <w:r w:rsidRPr="00795981">
              <w:rPr>
                <w:rFonts w:ascii="Times New Roman" w:hAnsi="Times New Roman" w:cs="Times New Roman"/>
                <w:color w:val="000000" w:themeColor="text1"/>
              </w:rPr>
              <w:t xml:space="preserve"> or co-ed schools</w:t>
            </w:r>
          </w:p>
        </w:tc>
        <w:tc>
          <w:tcPr>
            <w:tcW w:w="992" w:type="dxa"/>
          </w:tcPr>
          <w:p w14:paraId="2BF363D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52EEAA3E" w14:textId="77777777" w:rsidTr="00795981">
        <w:tc>
          <w:tcPr>
            <w:tcW w:w="4536" w:type="dxa"/>
          </w:tcPr>
          <w:p w14:paraId="218817F1"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3.2.3 School location</w:t>
            </w:r>
          </w:p>
        </w:tc>
        <w:tc>
          <w:tcPr>
            <w:tcW w:w="9356" w:type="dxa"/>
          </w:tcPr>
          <w:p w14:paraId="7D0B35EA" w14:textId="259E7A33"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Urban, suburban, rural; city vs</w:t>
            </w:r>
            <w:r w:rsidR="00853D3B"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nonmetropolitan areas; village, small town, town, city and large city; states/regions</w:t>
            </w:r>
          </w:p>
        </w:tc>
        <w:tc>
          <w:tcPr>
            <w:tcW w:w="992" w:type="dxa"/>
          </w:tcPr>
          <w:p w14:paraId="3220492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19</w:t>
            </w:r>
          </w:p>
        </w:tc>
      </w:tr>
      <w:tr w:rsidR="00795981" w:rsidRPr="00795981" w14:paraId="2CB65A9A" w14:textId="77777777" w:rsidTr="00795981">
        <w:tc>
          <w:tcPr>
            <w:tcW w:w="4536" w:type="dxa"/>
          </w:tcPr>
          <w:p w14:paraId="2905F1E7"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3.2.4 School resources and staffing</w:t>
            </w:r>
          </w:p>
        </w:tc>
        <w:tc>
          <w:tcPr>
            <w:tcW w:w="9356" w:type="dxa"/>
          </w:tcPr>
          <w:p w14:paraId="641DFB8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Educational resources, ICT infrastructure, physical infrastructure, teacher and general staff shortage </w:t>
            </w:r>
          </w:p>
        </w:tc>
        <w:tc>
          <w:tcPr>
            <w:tcW w:w="992" w:type="dxa"/>
          </w:tcPr>
          <w:p w14:paraId="6D47C80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17</w:t>
            </w:r>
          </w:p>
        </w:tc>
      </w:tr>
      <w:tr w:rsidR="00795981" w:rsidRPr="00795981" w14:paraId="412C667B" w14:textId="77777777" w:rsidTr="00795981">
        <w:tc>
          <w:tcPr>
            <w:tcW w:w="4536" w:type="dxa"/>
          </w:tcPr>
          <w:p w14:paraId="6ABE8482"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3.2.4.1 Educational resources</w:t>
            </w:r>
          </w:p>
        </w:tc>
        <w:tc>
          <w:tcPr>
            <w:tcW w:w="9356" w:type="dxa"/>
          </w:tcPr>
          <w:p w14:paraId="29EE62C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Quantity of education materials; quality of education materials; science laboratory equipment, instructional materials, computers, internet connectivity, computer software for instruction, library materials, audio-visual resources; total number of material resources for each school; school principals’ perceptions of educational resource quality hindering students’ learning</w:t>
            </w:r>
          </w:p>
        </w:tc>
        <w:tc>
          <w:tcPr>
            <w:tcW w:w="992" w:type="dxa"/>
          </w:tcPr>
          <w:p w14:paraId="394FD67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9</w:t>
            </w:r>
          </w:p>
        </w:tc>
      </w:tr>
      <w:tr w:rsidR="00795981" w:rsidRPr="00795981" w14:paraId="74EDF4C5" w14:textId="77777777" w:rsidTr="00795981">
        <w:tc>
          <w:tcPr>
            <w:tcW w:w="4536" w:type="dxa"/>
          </w:tcPr>
          <w:p w14:paraId="5F645C24"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3.2.4.2 ICT infrastructure</w:t>
            </w:r>
          </w:p>
        </w:tc>
        <w:tc>
          <w:tcPr>
            <w:tcW w:w="9356" w:type="dxa"/>
          </w:tcPr>
          <w:p w14:paraId="282FBAA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ICT availability - computer, internet, portable, interactive whiteboards, projectors; technical resources in general; school mean student ICT availability; ratio of computers to school size</w:t>
            </w:r>
          </w:p>
        </w:tc>
        <w:tc>
          <w:tcPr>
            <w:tcW w:w="992" w:type="dxa"/>
          </w:tcPr>
          <w:p w14:paraId="4A186FE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4C6F5BF7" w14:textId="77777777" w:rsidTr="00795981">
        <w:tc>
          <w:tcPr>
            <w:tcW w:w="4536" w:type="dxa"/>
          </w:tcPr>
          <w:p w14:paraId="67D4110A"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3.2.4.3 Shortage of teachers and general staff</w:t>
            </w:r>
          </w:p>
        </w:tc>
        <w:tc>
          <w:tcPr>
            <w:tcW w:w="9356" w:type="dxa"/>
          </w:tcPr>
          <w:p w14:paraId="4D9EA6FD" w14:textId="0AC0A355"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 </w:t>
            </w:r>
            <w:r w:rsidR="00853D3B" w:rsidRPr="00795981">
              <w:rPr>
                <w:rFonts w:ascii="Times New Roman" w:hAnsi="Times New Roman" w:cs="Times New Roman"/>
                <w:color w:val="000000" w:themeColor="text1"/>
              </w:rPr>
              <w:t>teachers</w:t>
            </w:r>
            <w:r w:rsidRPr="00795981">
              <w:rPr>
                <w:rFonts w:ascii="Times New Roman" w:hAnsi="Times New Roman" w:cs="Times New Roman"/>
                <w:color w:val="000000" w:themeColor="text1"/>
              </w:rPr>
              <w:t>, qualified mathematics teachers, staff in general</w:t>
            </w:r>
          </w:p>
        </w:tc>
        <w:tc>
          <w:tcPr>
            <w:tcW w:w="992" w:type="dxa"/>
          </w:tcPr>
          <w:p w14:paraId="5A79298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4203BCFB" w14:textId="77777777" w:rsidTr="00795981">
        <w:tc>
          <w:tcPr>
            <w:tcW w:w="4536" w:type="dxa"/>
          </w:tcPr>
          <w:p w14:paraId="6727E4C6"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Percentage of certified teachers</w:t>
            </w:r>
          </w:p>
        </w:tc>
        <w:tc>
          <w:tcPr>
            <w:tcW w:w="9356" w:type="dxa"/>
          </w:tcPr>
          <w:p w14:paraId="00807C2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Percentage of certified teachers working in schools</w:t>
            </w:r>
          </w:p>
        </w:tc>
        <w:tc>
          <w:tcPr>
            <w:tcW w:w="992" w:type="dxa"/>
          </w:tcPr>
          <w:p w14:paraId="5C2810E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0EAC7336" w14:textId="77777777" w:rsidTr="00795981">
        <w:tc>
          <w:tcPr>
            <w:tcW w:w="4536" w:type="dxa"/>
          </w:tcPr>
          <w:p w14:paraId="2475CE1D"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Physical infrastructure</w:t>
            </w:r>
          </w:p>
        </w:tc>
        <w:tc>
          <w:tcPr>
            <w:tcW w:w="9356" w:type="dxa"/>
          </w:tcPr>
          <w:p w14:paraId="5670FBB6"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The index of the quality of schools’ physical infrastructures, including buildings, heating/cooling systems and classrooms </w:t>
            </w:r>
          </w:p>
        </w:tc>
        <w:tc>
          <w:tcPr>
            <w:tcW w:w="992" w:type="dxa"/>
          </w:tcPr>
          <w:p w14:paraId="4775526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24DF2C56" w14:textId="77777777" w:rsidTr="00795981">
        <w:tc>
          <w:tcPr>
            <w:tcW w:w="4536" w:type="dxa"/>
          </w:tcPr>
          <w:p w14:paraId="08CC97CB"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3.2.5 School size</w:t>
            </w:r>
          </w:p>
        </w:tc>
        <w:tc>
          <w:tcPr>
            <w:tcW w:w="9356" w:type="dxa"/>
          </w:tcPr>
          <w:p w14:paraId="2BE7EA9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Total number of students enrolled; school community size </w:t>
            </w:r>
          </w:p>
        </w:tc>
        <w:tc>
          <w:tcPr>
            <w:tcW w:w="992" w:type="dxa"/>
          </w:tcPr>
          <w:p w14:paraId="7B1E696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12</w:t>
            </w:r>
          </w:p>
        </w:tc>
      </w:tr>
      <w:tr w:rsidR="00795981" w:rsidRPr="00795981" w14:paraId="47089E87" w14:textId="77777777" w:rsidTr="00795981">
        <w:tc>
          <w:tcPr>
            <w:tcW w:w="4536" w:type="dxa"/>
          </w:tcPr>
          <w:p w14:paraId="20B4B21D" w14:textId="71F68642"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3.2.6 Average school ICT attitude and student ICT use at school</w:t>
            </w:r>
          </w:p>
        </w:tc>
        <w:tc>
          <w:tcPr>
            <w:tcW w:w="9356" w:type="dxa"/>
          </w:tcPr>
          <w:p w14:paraId="4F21D854" w14:textId="08D3FEBA"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Frequency of ICT use at school / for different purposes (e.g., posting work, practicing, chatting); computer use on the various tasks in math; School mean student ICT use at school/student interest in ICT / perceived ICT competence/ student perceived autonomy in using ICT / student enjoyment of social interaction around ICT; amount of work expected students to access the Internet; school has a policy on how to use computers in mathematics instruction; program to educate students in responsible behavior</w:t>
            </w:r>
          </w:p>
        </w:tc>
        <w:tc>
          <w:tcPr>
            <w:tcW w:w="992" w:type="dxa"/>
          </w:tcPr>
          <w:p w14:paraId="6074E78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6B509274" w14:textId="77777777" w:rsidTr="00795981">
        <w:tc>
          <w:tcPr>
            <w:tcW w:w="4536" w:type="dxa"/>
          </w:tcPr>
          <w:p w14:paraId="30B66B4C"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3.2.7 School prevalence of student misbehavior</w:t>
            </w:r>
          </w:p>
        </w:tc>
        <w:tc>
          <w:tcPr>
            <w:tcW w:w="9356" w:type="dxa"/>
          </w:tcPr>
          <w:p w14:paraId="613F1CAC" w14:textId="738A0E0D"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 level of truancy, prevalence of school bullying experienced, frequency of student disruptions, and the percentage of students being late, principals reported </w:t>
            </w:r>
            <w:r w:rsidR="004913E1" w:rsidRPr="00795981">
              <w:rPr>
                <w:rFonts w:ascii="Times New Roman" w:hAnsi="Times New Roman" w:cs="Times New Roman"/>
                <w:color w:val="000000" w:themeColor="text1"/>
              </w:rPr>
              <w:t>students’</w:t>
            </w:r>
            <w:r w:rsidRPr="00795981">
              <w:rPr>
                <w:rFonts w:ascii="Times New Roman" w:hAnsi="Times New Roman" w:cs="Times New Roman"/>
                <w:color w:val="000000" w:themeColor="text1"/>
              </w:rPr>
              <w:t xml:space="preserve"> general behavior </w:t>
            </w:r>
            <w:r w:rsidR="00673812" w:rsidRPr="00795981">
              <w:rPr>
                <w:rFonts w:ascii="Times New Roman" w:hAnsi="Times New Roman" w:cs="Times New Roman"/>
                <w:color w:val="000000" w:themeColor="text1"/>
              </w:rPr>
              <w:t>- “</w:t>
            </w:r>
            <w:r w:rsidRPr="00795981">
              <w:rPr>
                <w:rFonts w:ascii="Times New Roman" w:hAnsi="Times New Roman" w:cs="Times New Roman"/>
                <w:color w:val="000000" w:themeColor="text1"/>
              </w:rPr>
              <w:t xml:space="preserve">students’ absenteeism; disruption of classes by students; students skip classes; students lack respect for teachers; students’ use of alcohol or illegal drugs; students intimidate or bully other students” </w:t>
            </w:r>
          </w:p>
        </w:tc>
        <w:tc>
          <w:tcPr>
            <w:tcW w:w="992" w:type="dxa"/>
          </w:tcPr>
          <w:p w14:paraId="4D3BD91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w:t>
            </w:r>
          </w:p>
        </w:tc>
      </w:tr>
      <w:tr w:rsidR="00795981" w:rsidRPr="00795981" w14:paraId="7767028B" w14:textId="77777777" w:rsidTr="00795981">
        <w:tc>
          <w:tcPr>
            <w:tcW w:w="4536" w:type="dxa"/>
          </w:tcPr>
          <w:p w14:paraId="0D0F53B2"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Other school factors</w:t>
            </w:r>
          </w:p>
        </w:tc>
        <w:tc>
          <w:tcPr>
            <w:tcW w:w="9356" w:type="dxa"/>
          </w:tcPr>
          <w:p w14:paraId="200A8857"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4F1D3FA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19</w:t>
            </w:r>
          </w:p>
        </w:tc>
      </w:tr>
      <w:tr w:rsidR="00795981" w:rsidRPr="00795981" w14:paraId="574ECF1B" w14:textId="77777777" w:rsidTr="00795981">
        <w:tc>
          <w:tcPr>
            <w:tcW w:w="4536" w:type="dxa"/>
          </w:tcPr>
          <w:p w14:paraId="45D994FE"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Admission practices</w:t>
            </w:r>
          </w:p>
        </w:tc>
        <w:tc>
          <w:tcPr>
            <w:tcW w:w="9356" w:type="dxa"/>
          </w:tcPr>
          <w:p w14:paraId="4735AFE9"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Schools practicing merit-based admission</w:t>
            </w:r>
          </w:p>
        </w:tc>
        <w:tc>
          <w:tcPr>
            <w:tcW w:w="992" w:type="dxa"/>
          </w:tcPr>
          <w:p w14:paraId="71AA5D1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1DE68AB8" w14:textId="77777777" w:rsidTr="00795981">
        <w:tc>
          <w:tcPr>
            <w:tcW w:w="4536" w:type="dxa"/>
          </w:tcPr>
          <w:p w14:paraId="056C301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Extracurricular activities at school</w:t>
            </w:r>
          </w:p>
        </w:tc>
        <w:tc>
          <w:tcPr>
            <w:tcW w:w="9356" w:type="dxa"/>
          </w:tcPr>
          <w:p w14:paraId="227E218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Hours in outside-of-class activities; number of creative extracurricular activities provided by the school (e.g., group musical activities; a school play or musical has been organized); exchange program with schools </w:t>
            </w:r>
          </w:p>
        </w:tc>
        <w:tc>
          <w:tcPr>
            <w:tcW w:w="992" w:type="dxa"/>
          </w:tcPr>
          <w:p w14:paraId="5BD7ECF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5BE7EE88" w14:textId="77777777" w:rsidTr="00795981">
        <w:tc>
          <w:tcPr>
            <w:tcW w:w="4536" w:type="dxa"/>
          </w:tcPr>
          <w:p w14:paraId="30647C67"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Local school government parents' %</w:t>
            </w:r>
          </w:p>
        </w:tc>
        <w:tc>
          <w:tcPr>
            <w:tcW w:w="9356" w:type="dxa"/>
          </w:tcPr>
          <w:p w14:paraId="1A0540CE"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Percentage of parents who participate in local school government </w:t>
            </w:r>
          </w:p>
        </w:tc>
        <w:tc>
          <w:tcPr>
            <w:tcW w:w="992" w:type="dxa"/>
          </w:tcPr>
          <w:p w14:paraId="5693D9F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75EC6EE" w14:textId="77777777" w:rsidTr="00795981">
        <w:tc>
          <w:tcPr>
            <w:tcW w:w="4536" w:type="dxa"/>
          </w:tcPr>
          <w:p w14:paraId="6BB6CBD8"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Perceived school competition</w:t>
            </w:r>
          </w:p>
        </w:tc>
        <w:tc>
          <w:tcPr>
            <w:tcW w:w="9356" w:type="dxa"/>
          </w:tcPr>
          <w:p w14:paraId="5EB70D1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The competing schooling available to students in students’ location</w:t>
            </w:r>
          </w:p>
        </w:tc>
        <w:tc>
          <w:tcPr>
            <w:tcW w:w="992" w:type="dxa"/>
          </w:tcPr>
          <w:p w14:paraId="2F7EDDE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2F68633" w14:textId="77777777" w:rsidTr="00795981">
        <w:tc>
          <w:tcPr>
            <w:tcW w:w="4536" w:type="dxa"/>
          </w:tcPr>
          <w:p w14:paraId="1A026FFB" w14:textId="0915CC44"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 average attitude </w:t>
            </w:r>
            <w:r w:rsidR="00C453C4" w:rsidRPr="00795981">
              <w:rPr>
                <w:rFonts w:ascii="Times New Roman" w:hAnsi="Times New Roman" w:cs="Times New Roman"/>
                <w:color w:val="000000" w:themeColor="text1"/>
              </w:rPr>
              <w:t>toward</w:t>
            </w:r>
            <w:r w:rsidRPr="00795981">
              <w:rPr>
                <w:rFonts w:ascii="Times New Roman" w:hAnsi="Times New Roman" w:cs="Times New Roman"/>
                <w:color w:val="000000" w:themeColor="text1"/>
              </w:rPr>
              <w:t xml:space="preserve"> learning outcomes</w:t>
            </w:r>
          </w:p>
        </w:tc>
        <w:tc>
          <w:tcPr>
            <w:tcW w:w="9356" w:type="dxa"/>
          </w:tcPr>
          <w:p w14:paraId="6A8EA9A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 average on students’ reports about the importance of school for their future </w:t>
            </w:r>
          </w:p>
        </w:tc>
        <w:tc>
          <w:tcPr>
            <w:tcW w:w="992" w:type="dxa"/>
          </w:tcPr>
          <w:p w14:paraId="7E0F51B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0E0B1C30" w14:textId="77777777" w:rsidTr="00795981">
        <w:tc>
          <w:tcPr>
            <w:tcW w:w="4536" w:type="dxa"/>
          </w:tcPr>
          <w:p w14:paraId="36871810"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instrumental motivation</w:t>
            </w:r>
          </w:p>
        </w:tc>
        <w:tc>
          <w:tcPr>
            <w:tcW w:w="9356" w:type="dxa"/>
          </w:tcPr>
          <w:p w14:paraId="77B2E6D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students’ responses about whether they believe mathematics is important for their future careers</w:t>
            </w:r>
          </w:p>
        </w:tc>
        <w:tc>
          <w:tcPr>
            <w:tcW w:w="992" w:type="dxa"/>
          </w:tcPr>
          <w:p w14:paraId="254FB05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ABE88C9" w14:textId="77777777" w:rsidTr="00795981">
        <w:tc>
          <w:tcPr>
            <w:tcW w:w="4536" w:type="dxa"/>
          </w:tcPr>
          <w:p w14:paraId="5B451050"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math creativity</w:t>
            </w:r>
          </w:p>
        </w:tc>
        <w:tc>
          <w:tcPr>
            <w:tcW w:w="9356" w:type="dxa"/>
          </w:tcPr>
          <w:p w14:paraId="038FB3B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math creativity (items from PISA 2012, e.g., imaginative, inquisitive, collaborative, disciplined)</w:t>
            </w:r>
          </w:p>
        </w:tc>
        <w:tc>
          <w:tcPr>
            <w:tcW w:w="992" w:type="dxa"/>
          </w:tcPr>
          <w:p w14:paraId="3AEE477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25922322" w14:textId="77777777" w:rsidTr="00795981">
        <w:tc>
          <w:tcPr>
            <w:tcW w:w="4536" w:type="dxa"/>
          </w:tcPr>
          <w:p w14:paraId="3A925E63"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math performance</w:t>
            </w:r>
          </w:p>
        </w:tc>
        <w:tc>
          <w:tcPr>
            <w:tcW w:w="9356" w:type="dxa"/>
          </w:tcPr>
          <w:p w14:paraId="1C3BCDD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Computed average math performance level of each school according to one of PISA’s seven proficiency levels (OECD, 2014), ranging from 0 to 6</w:t>
            </w:r>
          </w:p>
        </w:tc>
        <w:tc>
          <w:tcPr>
            <w:tcW w:w="992" w:type="dxa"/>
          </w:tcPr>
          <w:p w14:paraId="3D555F3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5C38E468" w14:textId="77777777" w:rsidTr="00795981">
        <w:tc>
          <w:tcPr>
            <w:tcW w:w="4536" w:type="dxa"/>
          </w:tcPr>
          <w:p w14:paraId="725A90C3"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mathematics behavior</w:t>
            </w:r>
          </w:p>
        </w:tc>
        <w:tc>
          <w:tcPr>
            <w:tcW w:w="9356" w:type="dxa"/>
          </w:tcPr>
          <w:p w14:paraId="177078A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students’ responses about their participation in a range of mathematics related activities</w:t>
            </w:r>
          </w:p>
        </w:tc>
        <w:tc>
          <w:tcPr>
            <w:tcW w:w="992" w:type="dxa"/>
          </w:tcPr>
          <w:p w14:paraId="50D0B8F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86D7E23" w14:textId="77777777" w:rsidTr="00795981">
        <w:tc>
          <w:tcPr>
            <w:tcW w:w="4536" w:type="dxa"/>
          </w:tcPr>
          <w:p w14:paraId="0D9F5FF2"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mathematics interest</w:t>
            </w:r>
          </w:p>
        </w:tc>
        <w:tc>
          <w:tcPr>
            <w:tcW w:w="9356" w:type="dxa"/>
          </w:tcPr>
          <w:p w14:paraId="36308B8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students’ responses about whether they enjoy mathematics and work hard in mathematics because they enjoy the subject</w:t>
            </w:r>
          </w:p>
        </w:tc>
        <w:tc>
          <w:tcPr>
            <w:tcW w:w="992" w:type="dxa"/>
          </w:tcPr>
          <w:p w14:paraId="7F66626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6E7632D4" w14:textId="77777777" w:rsidTr="00795981">
        <w:tc>
          <w:tcPr>
            <w:tcW w:w="4536" w:type="dxa"/>
          </w:tcPr>
          <w:p w14:paraId="2B8CDD95"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mathematics self-concept</w:t>
            </w:r>
          </w:p>
        </w:tc>
        <w:tc>
          <w:tcPr>
            <w:tcW w:w="9356" w:type="dxa"/>
          </w:tcPr>
          <w:p w14:paraId="561D60F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students’ responses about their perceived competence in mathematics</w:t>
            </w:r>
          </w:p>
        </w:tc>
        <w:tc>
          <w:tcPr>
            <w:tcW w:w="992" w:type="dxa"/>
          </w:tcPr>
          <w:p w14:paraId="401CBFC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5FC83E08" w14:textId="77777777" w:rsidTr="00795981">
        <w:tc>
          <w:tcPr>
            <w:tcW w:w="4536" w:type="dxa"/>
          </w:tcPr>
          <w:p w14:paraId="4788E0AF"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mathematics self-efficacy</w:t>
            </w:r>
          </w:p>
        </w:tc>
        <w:tc>
          <w:tcPr>
            <w:tcW w:w="9356" w:type="dxa"/>
          </w:tcPr>
          <w:p w14:paraId="6920622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Students’ responses about their perceived ability to solve a range of pure and applied mathematics problems</w:t>
            </w:r>
          </w:p>
        </w:tc>
        <w:tc>
          <w:tcPr>
            <w:tcW w:w="992" w:type="dxa"/>
          </w:tcPr>
          <w:p w14:paraId="1A6358E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0C7A0354" w14:textId="77777777" w:rsidTr="00795981">
        <w:tc>
          <w:tcPr>
            <w:tcW w:w="4536" w:type="dxa"/>
          </w:tcPr>
          <w:p w14:paraId="2000AF85"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openness to problem-solving</w:t>
            </w:r>
          </w:p>
        </w:tc>
        <w:tc>
          <w:tcPr>
            <w:tcW w:w="9356" w:type="dxa"/>
          </w:tcPr>
          <w:p w14:paraId="555A496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students’ responses about their willingness to engage with problems</w:t>
            </w:r>
          </w:p>
        </w:tc>
        <w:tc>
          <w:tcPr>
            <w:tcW w:w="992" w:type="dxa"/>
          </w:tcPr>
          <w:p w14:paraId="03BE9DD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53AF1A7F" w14:textId="77777777" w:rsidTr="00795981">
        <w:tc>
          <w:tcPr>
            <w:tcW w:w="4536" w:type="dxa"/>
          </w:tcPr>
          <w:p w14:paraId="3FDE6FE7"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reading score</w:t>
            </w:r>
          </w:p>
        </w:tc>
        <w:tc>
          <w:tcPr>
            <w:tcW w:w="9356" w:type="dxa"/>
          </w:tcPr>
          <w:p w14:paraId="5377C83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Averaging the reading proﬁciency of all students that participated in PISA in a speciﬁc school </w:t>
            </w:r>
          </w:p>
        </w:tc>
        <w:tc>
          <w:tcPr>
            <w:tcW w:w="992" w:type="dxa"/>
          </w:tcPr>
          <w:p w14:paraId="35488A8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E90734E" w14:textId="77777777" w:rsidTr="00795981">
        <w:tc>
          <w:tcPr>
            <w:tcW w:w="4536" w:type="dxa"/>
          </w:tcPr>
          <w:p w14:paraId="7F984A88"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average sense of belonging</w:t>
            </w:r>
          </w:p>
        </w:tc>
        <w:tc>
          <w:tcPr>
            <w:tcW w:w="9356" w:type="dxa"/>
          </w:tcPr>
          <w:p w14:paraId="10703FC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School average on students’ reports about their feeling of social connectedness, happiness, and satisfaction at school</w:t>
            </w:r>
          </w:p>
        </w:tc>
        <w:tc>
          <w:tcPr>
            <w:tcW w:w="992" w:type="dxa"/>
          </w:tcPr>
          <w:p w14:paraId="3D4BEFF1"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086B21D9" w14:textId="77777777" w:rsidTr="00795981">
        <w:tc>
          <w:tcPr>
            <w:tcW w:w="4536" w:type="dxa"/>
          </w:tcPr>
          <w:p w14:paraId="46A45D3D"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leadership</w:t>
            </w:r>
          </w:p>
        </w:tc>
        <w:tc>
          <w:tcPr>
            <w:tcW w:w="9356" w:type="dxa"/>
          </w:tcPr>
          <w:p w14:paraId="2A99C83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Frequency of leadership activities: (1) communication of school goals and curricular development (2) instructional leadership (3) promotion of instructional improvements and professional development (4) teacher participation in leadership; teachers work according to the school’s educational goals; draw teachers’ attention to the importance of pupils’ development of critical and social capacities; improving teaching or the creation of classroom environment, praising successful teachers</w:t>
            </w:r>
          </w:p>
        </w:tc>
        <w:tc>
          <w:tcPr>
            <w:tcW w:w="992" w:type="dxa"/>
          </w:tcPr>
          <w:p w14:paraId="68A21A9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2D774831" w14:textId="77777777" w:rsidTr="00795981">
        <w:tc>
          <w:tcPr>
            <w:tcW w:w="4536" w:type="dxa"/>
          </w:tcPr>
          <w:p w14:paraId="10FE3B9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overall teacher morale</w:t>
            </w:r>
          </w:p>
        </w:tc>
        <w:tc>
          <w:tcPr>
            <w:tcW w:w="9356" w:type="dxa"/>
          </w:tcPr>
          <w:p w14:paraId="04415E8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Principals’ responses on high teacher morale, work enthusiasm, teacher pride in the school, and teacher emphasis on academic achievement (PISA 2012); level of satisfaction of teachers with their profession (TALIS)</w:t>
            </w:r>
          </w:p>
        </w:tc>
        <w:tc>
          <w:tcPr>
            <w:tcW w:w="992" w:type="dxa"/>
          </w:tcPr>
          <w:p w14:paraId="5AD379B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114A338F" w14:textId="77777777" w:rsidTr="00795981">
        <w:tc>
          <w:tcPr>
            <w:tcW w:w="4536" w:type="dxa"/>
          </w:tcPr>
          <w:p w14:paraId="5419475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safety and neighborhood</w:t>
            </w:r>
          </w:p>
        </w:tc>
        <w:tc>
          <w:tcPr>
            <w:tcW w:w="9356" w:type="dxa"/>
          </w:tcPr>
          <w:p w14:paraId="68D359CE"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 safety and community disorganization, or problems in the neighborhood surrounding the school in Mexico </w:t>
            </w:r>
          </w:p>
        </w:tc>
        <w:tc>
          <w:tcPr>
            <w:tcW w:w="992" w:type="dxa"/>
          </w:tcPr>
          <w:p w14:paraId="0F29155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74595C1" w14:textId="77777777" w:rsidTr="00795981">
        <w:tc>
          <w:tcPr>
            <w:tcW w:w="4536" w:type="dxa"/>
          </w:tcPr>
          <w:p w14:paraId="66A89CA9"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study support</w:t>
            </w:r>
          </w:p>
        </w:tc>
        <w:tc>
          <w:tcPr>
            <w:tcW w:w="9356" w:type="dxa"/>
          </w:tcPr>
          <w:p w14:paraId="6D8EE392" w14:textId="476885B3" w:rsidR="008A247A" w:rsidRPr="00795981" w:rsidRDefault="00C453C4"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Counselors</w:t>
            </w:r>
            <w:r w:rsidR="008A247A" w:rsidRPr="00795981">
              <w:rPr>
                <w:rFonts w:ascii="Times New Roman" w:hAnsi="Times New Roman" w:cs="Times New Roman"/>
                <w:color w:val="000000" w:themeColor="text1"/>
              </w:rPr>
              <w:t xml:space="preserve"> employed by the school for the career guidance of students; lectures or seminars </w:t>
            </w:r>
            <w:r w:rsidR="00673812" w:rsidRPr="00795981">
              <w:rPr>
                <w:rFonts w:ascii="Times New Roman" w:hAnsi="Times New Roman" w:cs="Times New Roman"/>
                <w:color w:val="000000" w:themeColor="text1"/>
              </w:rPr>
              <w:t>offered,</w:t>
            </w:r>
            <w:r w:rsidR="008A247A" w:rsidRPr="00795981">
              <w:rPr>
                <w:rFonts w:ascii="Times New Roman" w:hAnsi="Times New Roman" w:cs="Times New Roman"/>
                <w:color w:val="000000" w:themeColor="text1"/>
              </w:rPr>
              <w:t xml:space="preserve"> and the school has rooms where the students can do their homework </w:t>
            </w:r>
          </w:p>
        </w:tc>
        <w:tc>
          <w:tcPr>
            <w:tcW w:w="992" w:type="dxa"/>
          </w:tcPr>
          <w:p w14:paraId="1DBD52A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CA01195" w14:textId="77777777" w:rsidTr="00795981">
        <w:tc>
          <w:tcPr>
            <w:tcW w:w="4536" w:type="dxa"/>
          </w:tcPr>
          <w:p w14:paraId="038EE59C"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School teachers' overall behavior</w:t>
            </w:r>
          </w:p>
        </w:tc>
        <w:tc>
          <w:tcPr>
            <w:tcW w:w="9356" w:type="dxa"/>
          </w:tcPr>
          <w:p w14:paraId="1C0B49A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School principals report the extent to which they perceive learning in their schools to be hindered by factors such as: teachers’ low expectations of students; poor student-teacher relations, teachers’ absenteeism </w:t>
            </w:r>
          </w:p>
        </w:tc>
        <w:tc>
          <w:tcPr>
            <w:tcW w:w="992" w:type="dxa"/>
          </w:tcPr>
          <w:p w14:paraId="78150CB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5DB701A" w14:textId="77777777" w:rsidTr="00795981">
        <w:tc>
          <w:tcPr>
            <w:tcW w:w="4536" w:type="dxa"/>
          </w:tcPr>
          <w:p w14:paraId="63CF66B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Within school evaluation and its use</w:t>
            </w:r>
          </w:p>
        </w:tc>
        <w:tc>
          <w:tcPr>
            <w:tcW w:w="9356" w:type="dxa"/>
          </w:tcPr>
          <w:p w14:paraId="26A4F97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It includes the following four 3rd level factors. </w:t>
            </w:r>
          </w:p>
        </w:tc>
        <w:tc>
          <w:tcPr>
            <w:tcW w:w="992" w:type="dxa"/>
          </w:tcPr>
          <w:p w14:paraId="2203026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60D56668" w14:textId="77777777" w:rsidTr="00795981">
        <w:tc>
          <w:tcPr>
            <w:tcW w:w="4536" w:type="dxa"/>
          </w:tcPr>
          <w:p w14:paraId="3E6854E9"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Consultation with experts re school improvement</w:t>
            </w:r>
          </w:p>
        </w:tc>
        <w:tc>
          <w:tcPr>
            <w:tcW w:w="9356" w:type="dxa"/>
          </w:tcPr>
          <w:p w14:paraId="438E42B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Regular consultation with experts over a period of at least six months (aimed at school improvement) </w:t>
            </w:r>
          </w:p>
        </w:tc>
        <w:tc>
          <w:tcPr>
            <w:tcW w:w="992" w:type="dxa"/>
          </w:tcPr>
          <w:p w14:paraId="43A238A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92045DE" w14:textId="77777777" w:rsidTr="00795981">
        <w:tc>
          <w:tcPr>
            <w:tcW w:w="4536" w:type="dxa"/>
          </w:tcPr>
          <w:p w14:paraId="75C69884"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Informing parents of their children’s performance</w:t>
            </w:r>
          </w:p>
        </w:tc>
        <w:tc>
          <w:tcPr>
            <w:tcW w:w="9356" w:type="dxa"/>
          </w:tcPr>
          <w:p w14:paraId="5ED6000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Whether students’ achievement data provided directly to parents; provide information to parents of students on their child’s academic performance relative to other students; provide information to parents of students on their child’s academic performance relative to national or regional benchmarks; provide information to parents on the academic performance of students as a group relative to students in the same grade in other schools </w:t>
            </w:r>
          </w:p>
        </w:tc>
        <w:tc>
          <w:tcPr>
            <w:tcW w:w="992" w:type="dxa"/>
          </w:tcPr>
          <w:p w14:paraId="52CB108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1146E8CD" w14:textId="77777777" w:rsidTr="00795981">
        <w:tc>
          <w:tcPr>
            <w:tcW w:w="4536" w:type="dxa"/>
          </w:tcPr>
          <w:p w14:paraId="762528D1"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Providing information for instructional purposes</w:t>
            </w:r>
          </w:p>
        </w:tc>
        <w:tc>
          <w:tcPr>
            <w:tcW w:w="9356" w:type="dxa"/>
          </w:tcPr>
          <w:p w14:paraId="0A9BCB9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Students’ assessments used to make decisions about students’ retention or promotion; used to group students for instructional purposes; used to identify aspects of instruction or the curriculum that could be improved</w:t>
            </w:r>
          </w:p>
        </w:tc>
        <w:tc>
          <w:tcPr>
            <w:tcW w:w="992" w:type="dxa"/>
          </w:tcPr>
          <w:p w14:paraId="15DE4ED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33D5366" w14:textId="77777777" w:rsidTr="00795981">
        <w:tc>
          <w:tcPr>
            <w:tcW w:w="4536" w:type="dxa"/>
          </w:tcPr>
          <w:p w14:paraId="685DC541"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School leader and teacher appraisal and evaluation</w:t>
            </w:r>
          </w:p>
        </w:tc>
        <w:tc>
          <w:tcPr>
            <w:tcW w:w="9356" w:type="dxa"/>
          </w:tcPr>
          <w:p w14:paraId="7065451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Percentage of students in schools in which the principal reported that achievement data were being used to evaluate teachers’ performance; students’ assessments used to make judgments about teachers’ effectiveness; used in evaluation of the principal’s performance; used in evaluation of teachers’ performance</w:t>
            </w:r>
          </w:p>
        </w:tc>
        <w:tc>
          <w:tcPr>
            <w:tcW w:w="992" w:type="dxa"/>
          </w:tcPr>
          <w:p w14:paraId="7817CA6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37243F21" w14:textId="77777777" w:rsidTr="00795981">
        <w:tc>
          <w:tcPr>
            <w:tcW w:w="4536" w:type="dxa"/>
          </w:tcPr>
          <w:p w14:paraId="22B5403B"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Within school students' grouping and its policy</w:t>
            </w:r>
          </w:p>
        </w:tc>
        <w:tc>
          <w:tcPr>
            <w:tcW w:w="9356" w:type="dxa"/>
          </w:tcPr>
          <w:p w14:paraId="1E6DD88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Whether the students are grouped by ability into different classes </w:t>
            </w:r>
          </w:p>
        </w:tc>
        <w:tc>
          <w:tcPr>
            <w:tcW w:w="992" w:type="dxa"/>
          </w:tcPr>
          <w:p w14:paraId="771946C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10BE9B26" w14:textId="77777777" w:rsidTr="00795981">
        <w:tc>
          <w:tcPr>
            <w:tcW w:w="4536" w:type="dxa"/>
          </w:tcPr>
          <w:p w14:paraId="0496B2F4" w14:textId="77777777" w:rsidR="008A247A" w:rsidRPr="00795981" w:rsidRDefault="008A247A" w:rsidP="008A247A">
            <w:pPr>
              <w:ind w:left="200"/>
              <w:rPr>
                <w:rFonts w:ascii="Times New Roman" w:hAnsi="Times New Roman" w:cs="Times New Roman"/>
                <w:color w:val="000000" w:themeColor="text1"/>
              </w:rPr>
            </w:pPr>
            <w:r w:rsidRPr="00795981">
              <w:rPr>
                <w:rFonts w:ascii="Times New Roman" w:hAnsi="Times New Roman" w:cs="Times New Roman"/>
                <w:color w:val="000000" w:themeColor="text1"/>
              </w:rPr>
              <w:t>Level 4. Education systems</w:t>
            </w:r>
          </w:p>
        </w:tc>
        <w:tc>
          <w:tcPr>
            <w:tcW w:w="9356" w:type="dxa"/>
          </w:tcPr>
          <w:p w14:paraId="245BE594"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7483154F"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35</w:t>
            </w:r>
          </w:p>
        </w:tc>
      </w:tr>
      <w:tr w:rsidR="00795981" w:rsidRPr="00795981" w14:paraId="24812D23" w14:textId="77777777" w:rsidTr="00795981">
        <w:tc>
          <w:tcPr>
            <w:tcW w:w="4536" w:type="dxa"/>
          </w:tcPr>
          <w:p w14:paraId="7B52BEFE"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4.1 Expenditure on education</w:t>
            </w:r>
          </w:p>
        </w:tc>
        <w:tc>
          <w:tcPr>
            <w:tcW w:w="9356" w:type="dxa"/>
          </w:tcPr>
          <w:p w14:paraId="30760D56"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Expenditure on education or per student, financial resources to schools, salaries for new and experienced teachers, country inequality of education materials </w:t>
            </w:r>
          </w:p>
        </w:tc>
        <w:tc>
          <w:tcPr>
            <w:tcW w:w="992" w:type="dxa"/>
          </w:tcPr>
          <w:p w14:paraId="3BEA67D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11</w:t>
            </w:r>
          </w:p>
        </w:tc>
      </w:tr>
      <w:tr w:rsidR="00795981" w:rsidRPr="00795981" w14:paraId="507A00BD" w14:textId="77777777" w:rsidTr="00795981">
        <w:tc>
          <w:tcPr>
            <w:tcW w:w="4536" w:type="dxa"/>
          </w:tcPr>
          <w:p w14:paraId="0AAD6B7D"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4.1.1 Financial resources for education</w:t>
            </w:r>
          </w:p>
        </w:tc>
        <w:tc>
          <w:tcPr>
            <w:tcW w:w="9356" w:type="dxa"/>
          </w:tcPr>
          <w:p w14:paraId="3A0150B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Educational expenditure as a percent of GDP, percentage of government spending on education, government funding in schools, regional expenditure per student </w:t>
            </w:r>
          </w:p>
        </w:tc>
        <w:tc>
          <w:tcPr>
            <w:tcW w:w="992" w:type="dxa"/>
          </w:tcPr>
          <w:p w14:paraId="5F830A38"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9</w:t>
            </w:r>
          </w:p>
        </w:tc>
      </w:tr>
      <w:tr w:rsidR="00795981" w:rsidRPr="00795981" w14:paraId="31496481" w14:textId="77777777" w:rsidTr="00795981">
        <w:tc>
          <w:tcPr>
            <w:tcW w:w="4536" w:type="dxa"/>
          </w:tcPr>
          <w:p w14:paraId="737B320B"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Country inequality of education materials</w:t>
            </w:r>
          </w:p>
        </w:tc>
        <w:tc>
          <w:tcPr>
            <w:tcW w:w="9356" w:type="dxa"/>
          </w:tcPr>
          <w:p w14:paraId="583BB29A"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Country standard deviation of educational resources across schools, which consists of science laboratory equipment, instructional materials, computers for instruction, internet connectivity, computer software for instruction, library materials, audio-visual resources</w:t>
            </w:r>
          </w:p>
        </w:tc>
        <w:tc>
          <w:tcPr>
            <w:tcW w:w="992" w:type="dxa"/>
          </w:tcPr>
          <w:p w14:paraId="053F994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615901B9" w14:textId="77777777" w:rsidTr="00795981">
        <w:tc>
          <w:tcPr>
            <w:tcW w:w="4536" w:type="dxa"/>
          </w:tcPr>
          <w:p w14:paraId="67A17EA7"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Standards of teachers’ salaries</w:t>
            </w:r>
          </w:p>
        </w:tc>
        <w:tc>
          <w:tcPr>
            <w:tcW w:w="9356" w:type="dxa"/>
          </w:tcPr>
          <w:p w14:paraId="3984CC0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Teacher’s salaries in general, average salary for new teachers, average salary for teachers with 15 years of experience, ratio of salary for teachers with 15 years of experience to GDP per capita</w:t>
            </w:r>
          </w:p>
        </w:tc>
        <w:tc>
          <w:tcPr>
            <w:tcW w:w="992" w:type="dxa"/>
          </w:tcPr>
          <w:p w14:paraId="3694BA1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4A791325" w14:textId="77777777" w:rsidTr="00795981">
        <w:tc>
          <w:tcPr>
            <w:tcW w:w="4536" w:type="dxa"/>
          </w:tcPr>
          <w:p w14:paraId="2EA408B4"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4.2 Decentralization</w:t>
            </w:r>
          </w:p>
        </w:tc>
        <w:tc>
          <w:tcPr>
            <w:tcW w:w="9356" w:type="dxa"/>
          </w:tcPr>
          <w:p w14:paraId="65EE9A7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Autonomy to hire teachers, school autonomy over curricula, autonomy for resource allocation; teacher, principal, school board, government responsibility. </w:t>
            </w:r>
          </w:p>
        </w:tc>
        <w:tc>
          <w:tcPr>
            <w:tcW w:w="992" w:type="dxa"/>
          </w:tcPr>
          <w:p w14:paraId="0DA970A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10</w:t>
            </w:r>
          </w:p>
        </w:tc>
      </w:tr>
      <w:tr w:rsidR="00795981" w:rsidRPr="00795981" w14:paraId="1D1706E2" w14:textId="77777777" w:rsidTr="00795981">
        <w:tc>
          <w:tcPr>
            <w:tcW w:w="4536" w:type="dxa"/>
          </w:tcPr>
          <w:p w14:paraId="21E0429E"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4.3 Tracking</w:t>
            </w:r>
          </w:p>
        </w:tc>
        <w:tc>
          <w:tcPr>
            <w:tcW w:w="9356" w:type="dxa"/>
          </w:tcPr>
          <w:p w14:paraId="33686883" w14:textId="532196A8"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Specific track in which the student is enrolled - academic schools, technical schools, and vocational schools (including vocational training courses); first age at selection in the education system: early tracking vs</w:t>
            </w:r>
            <w:r w:rsidR="00C453C4"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late tracking countries; intensity of tracking: limited tracking vs</w:t>
            </w:r>
            <w:r w:rsidR="00C453C4" w:rsidRPr="00795981">
              <w:rPr>
                <w:rFonts w:ascii="Times New Roman" w:hAnsi="Times New Roman" w:cs="Times New Roman"/>
                <w:color w:val="000000" w:themeColor="text1"/>
              </w:rPr>
              <w:t>.</w:t>
            </w:r>
            <w:r w:rsidRPr="00795981">
              <w:rPr>
                <w:rFonts w:ascii="Times New Roman" w:hAnsi="Times New Roman" w:cs="Times New Roman"/>
                <w:color w:val="000000" w:themeColor="text1"/>
              </w:rPr>
              <w:t xml:space="preserve"> tracking in all subjects </w:t>
            </w:r>
          </w:p>
        </w:tc>
        <w:tc>
          <w:tcPr>
            <w:tcW w:w="992" w:type="dxa"/>
          </w:tcPr>
          <w:p w14:paraId="477E3D8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8</w:t>
            </w:r>
          </w:p>
        </w:tc>
      </w:tr>
      <w:tr w:rsidR="00795981" w:rsidRPr="00795981" w14:paraId="59444A81" w14:textId="77777777" w:rsidTr="00795981">
        <w:tc>
          <w:tcPr>
            <w:tcW w:w="4536" w:type="dxa"/>
          </w:tcPr>
          <w:p w14:paraId="176FBCBC"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Other system factors</w:t>
            </w:r>
          </w:p>
        </w:tc>
        <w:tc>
          <w:tcPr>
            <w:tcW w:w="9356" w:type="dxa"/>
          </w:tcPr>
          <w:p w14:paraId="34A8275A"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31FA843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18</w:t>
            </w:r>
          </w:p>
        </w:tc>
      </w:tr>
      <w:tr w:rsidR="00795981" w:rsidRPr="00795981" w14:paraId="0BCE1D1E" w14:textId="77777777" w:rsidTr="00795981">
        <w:tc>
          <w:tcPr>
            <w:tcW w:w="4536" w:type="dxa"/>
          </w:tcPr>
          <w:p w14:paraId="2BEB12A7"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Accountabilities to authority and public</w:t>
            </w:r>
          </w:p>
        </w:tc>
        <w:tc>
          <w:tcPr>
            <w:tcW w:w="9356" w:type="dxa"/>
          </w:tcPr>
          <w:p w14:paraId="743757B2"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Achievement data shared with the public; holding schools accountable to authority and the public: assessments of students used to compare the school to district or national performance or with other schools, assessments of students used to monitor the school’s progress from year to year, achievement data posted publicly (e.g., in the media), achievement data used in decisions about instructional resource allocation to the school, achievement data tracked over time by an administrative authority</w:t>
            </w:r>
          </w:p>
        </w:tc>
        <w:tc>
          <w:tcPr>
            <w:tcW w:w="992" w:type="dxa"/>
          </w:tcPr>
          <w:p w14:paraId="0A2C4F5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w:t>
            </w:r>
          </w:p>
        </w:tc>
      </w:tr>
      <w:tr w:rsidR="00795981" w:rsidRPr="00795981" w14:paraId="23F3E115" w14:textId="77777777" w:rsidTr="00795981">
        <w:tc>
          <w:tcPr>
            <w:tcW w:w="4536" w:type="dxa"/>
          </w:tcPr>
          <w:p w14:paraId="7D3FD11A"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Country average math creativity</w:t>
            </w:r>
          </w:p>
        </w:tc>
        <w:tc>
          <w:tcPr>
            <w:tcW w:w="9356" w:type="dxa"/>
          </w:tcPr>
          <w:p w14:paraId="1445BE0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National average of the survey-based measure of math creativity </w:t>
            </w:r>
          </w:p>
        </w:tc>
        <w:tc>
          <w:tcPr>
            <w:tcW w:w="992" w:type="dxa"/>
          </w:tcPr>
          <w:p w14:paraId="52987F8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1A13429" w14:textId="77777777" w:rsidTr="00795981">
        <w:tc>
          <w:tcPr>
            <w:tcW w:w="4536" w:type="dxa"/>
          </w:tcPr>
          <w:p w14:paraId="5E0EB7BF"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Country ICT</w:t>
            </w:r>
          </w:p>
        </w:tc>
        <w:tc>
          <w:tcPr>
            <w:tcW w:w="9356" w:type="dxa"/>
          </w:tcPr>
          <w:p w14:paraId="75AC0169"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The ICT Development Index (IDI) in 2011 is used to indicate the national ICT level</w:t>
            </w:r>
          </w:p>
        </w:tc>
        <w:tc>
          <w:tcPr>
            <w:tcW w:w="992" w:type="dxa"/>
          </w:tcPr>
          <w:p w14:paraId="62BF0FF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2971C9A1" w14:textId="77777777" w:rsidTr="00795981">
        <w:tc>
          <w:tcPr>
            <w:tcW w:w="4536" w:type="dxa"/>
          </w:tcPr>
          <w:p w14:paraId="605AECC6"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Country ICT access and use</w:t>
            </w:r>
          </w:p>
        </w:tc>
        <w:tc>
          <w:tcPr>
            <w:tcW w:w="9356" w:type="dxa"/>
          </w:tcPr>
          <w:p w14:paraId="1B3A46A4"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ICT Development Index (IDI) 2015</w:t>
            </w:r>
          </w:p>
        </w:tc>
        <w:tc>
          <w:tcPr>
            <w:tcW w:w="992" w:type="dxa"/>
          </w:tcPr>
          <w:p w14:paraId="25B4CBD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1D4571EC" w14:textId="77777777" w:rsidTr="00795981">
        <w:tc>
          <w:tcPr>
            <w:tcW w:w="4536" w:type="dxa"/>
          </w:tcPr>
          <w:p w14:paraId="0D50F285"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Country ICT skills</w:t>
            </w:r>
          </w:p>
        </w:tc>
        <w:tc>
          <w:tcPr>
            <w:tcW w:w="9356" w:type="dxa"/>
          </w:tcPr>
          <w:p w14:paraId="7574814D"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ICT Development Index (IDI) 2015</w:t>
            </w:r>
          </w:p>
        </w:tc>
        <w:tc>
          <w:tcPr>
            <w:tcW w:w="992" w:type="dxa"/>
          </w:tcPr>
          <w:p w14:paraId="11914E87"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7438CBDA" w14:textId="77777777" w:rsidTr="00795981">
        <w:tc>
          <w:tcPr>
            <w:tcW w:w="4536" w:type="dxa"/>
          </w:tcPr>
          <w:p w14:paraId="0C30288E"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Country inequality of teacher quality</w:t>
            </w:r>
          </w:p>
        </w:tc>
        <w:tc>
          <w:tcPr>
            <w:tcW w:w="9356" w:type="dxa"/>
          </w:tcPr>
          <w:p w14:paraId="2E907D72"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SD of school proportion of teachers with university degrees</w:t>
            </w:r>
          </w:p>
        </w:tc>
        <w:tc>
          <w:tcPr>
            <w:tcW w:w="992" w:type="dxa"/>
          </w:tcPr>
          <w:p w14:paraId="7829382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1A4084F2" w14:textId="77777777" w:rsidTr="00795981">
        <w:tc>
          <w:tcPr>
            <w:tcW w:w="4536" w:type="dxa"/>
          </w:tcPr>
          <w:p w14:paraId="41F165D4"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Country math anxiety</w:t>
            </w:r>
          </w:p>
        </w:tc>
        <w:tc>
          <w:tcPr>
            <w:tcW w:w="9356" w:type="dxa"/>
          </w:tcPr>
          <w:p w14:paraId="64DC44C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Mathematically calculated using individual student’s math anxiety </w:t>
            </w:r>
          </w:p>
        </w:tc>
        <w:tc>
          <w:tcPr>
            <w:tcW w:w="992" w:type="dxa"/>
          </w:tcPr>
          <w:p w14:paraId="7146E95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3AD3EDB9" w14:textId="77777777" w:rsidTr="00795981">
        <w:tc>
          <w:tcPr>
            <w:tcW w:w="4536" w:type="dxa"/>
          </w:tcPr>
          <w:p w14:paraId="3838FAC0"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External examinations for students</w:t>
            </w:r>
          </w:p>
        </w:tc>
        <w:tc>
          <w:tcPr>
            <w:tcW w:w="9356" w:type="dxa"/>
          </w:tcPr>
          <w:p w14:paraId="7CF8727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Central exit exam, existence of standards-based external examinations</w:t>
            </w:r>
          </w:p>
        </w:tc>
        <w:tc>
          <w:tcPr>
            <w:tcW w:w="992" w:type="dxa"/>
          </w:tcPr>
          <w:p w14:paraId="624CFDF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0727C225" w14:textId="77777777" w:rsidTr="00795981">
        <w:tc>
          <w:tcPr>
            <w:tcW w:w="4536" w:type="dxa"/>
          </w:tcPr>
          <w:p w14:paraId="6F53B82F"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PISA sample selection related to gender</w:t>
            </w:r>
          </w:p>
        </w:tc>
        <w:tc>
          <w:tcPr>
            <w:tcW w:w="9356" w:type="dxa"/>
          </w:tcPr>
          <w:p w14:paraId="79CDC514"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Female-to-male ratio among the PISA test takers </w:t>
            </w:r>
          </w:p>
        </w:tc>
        <w:tc>
          <w:tcPr>
            <w:tcW w:w="992" w:type="dxa"/>
          </w:tcPr>
          <w:p w14:paraId="660E809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7DD09BB4" w14:textId="77777777" w:rsidTr="00795981">
        <w:tc>
          <w:tcPr>
            <w:tcW w:w="4536" w:type="dxa"/>
          </w:tcPr>
          <w:p w14:paraId="1B4FCCDA"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Schooling length and entry age</w:t>
            </w:r>
          </w:p>
        </w:tc>
        <w:tc>
          <w:tcPr>
            <w:tcW w:w="9356" w:type="dxa"/>
          </w:tcPr>
          <w:p w14:paraId="5F727EA4"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Proportion of 4-year-old children attending preschool, compulsory schooling start at age 7, years of compulsory schooling, average number of years of formal education of the working-age population according to the General Organic Law of the Educational System of 1990 (LOGSE), extra year of schooling</w:t>
            </w:r>
          </w:p>
        </w:tc>
        <w:tc>
          <w:tcPr>
            <w:tcW w:w="992" w:type="dxa"/>
          </w:tcPr>
          <w:p w14:paraId="4671434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4</w:t>
            </w:r>
          </w:p>
        </w:tc>
      </w:tr>
      <w:tr w:rsidR="00795981" w:rsidRPr="00795981" w14:paraId="09631C56" w14:textId="77777777" w:rsidTr="00795981">
        <w:tc>
          <w:tcPr>
            <w:tcW w:w="4536" w:type="dxa"/>
          </w:tcPr>
          <w:p w14:paraId="46F23FAE"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Share of students in private schools</w:t>
            </w:r>
          </w:p>
        </w:tc>
        <w:tc>
          <w:tcPr>
            <w:tcW w:w="9356" w:type="dxa"/>
          </w:tcPr>
          <w:p w14:paraId="5681C75B"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 of students enrolled in private schools </w:t>
            </w:r>
          </w:p>
        </w:tc>
        <w:tc>
          <w:tcPr>
            <w:tcW w:w="992" w:type="dxa"/>
          </w:tcPr>
          <w:p w14:paraId="4BC9E365"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3AA6740D" w14:textId="77777777" w:rsidTr="00795981">
        <w:tc>
          <w:tcPr>
            <w:tcW w:w="4536" w:type="dxa"/>
          </w:tcPr>
          <w:p w14:paraId="3A42CD82"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Share of students repeating a grade in a country</w:t>
            </w:r>
          </w:p>
        </w:tc>
        <w:tc>
          <w:tcPr>
            <w:tcW w:w="9356" w:type="dxa"/>
          </w:tcPr>
          <w:p w14:paraId="2FD2CBE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The country-level variable is measured as the share of students who have repeated a grade at least once at either the primary or secondary level, the natural logarithm of this variable is used</w:t>
            </w:r>
          </w:p>
        </w:tc>
        <w:tc>
          <w:tcPr>
            <w:tcW w:w="992" w:type="dxa"/>
          </w:tcPr>
          <w:p w14:paraId="44E4D799"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FDFACFA" w14:textId="77777777" w:rsidTr="00795981">
        <w:tc>
          <w:tcPr>
            <w:tcW w:w="4536" w:type="dxa"/>
          </w:tcPr>
          <w:p w14:paraId="1EBEFBE1"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Socioeconomic segregation</w:t>
            </w:r>
          </w:p>
        </w:tc>
        <w:tc>
          <w:tcPr>
            <w:tcW w:w="9356" w:type="dxa"/>
          </w:tcPr>
          <w:p w14:paraId="1FD1A27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The degree of clustering of richer students in a few schools away from poorer students and measured as the ratio of the variance of family SES across schools divided by the total variance of family SES in the country</w:t>
            </w:r>
          </w:p>
        </w:tc>
        <w:tc>
          <w:tcPr>
            <w:tcW w:w="992" w:type="dxa"/>
          </w:tcPr>
          <w:p w14:paraId="4852336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0904E6C7" w14:textId="77777777" w:rsidTr="00795981">
        <w:tc>
          <w:tcPr>
            <w:tcW w:w="4536" w:type="dxa"/>
          </w:tcPr>
          <w:p w14:paraId="52FBE130" w14:textId="77777777" w:rsidR="008A247A" w:rsidRPr="00795981" w:rsidRDefault="008A247A" w:rsidP="008A247A">
            <w:pPr>
              <w:ind w:left="200"/>
              <w:rPr>
                <w:rFonts w:ascii="Times New Roman" w:hAnsi="Times New Roman" w:cs="Times New Roman"/>
                <w:color w:val="000000" w:themeColor="text1"/>
              </w:rPr>
            </w:pPr>
            <w:r w:rsidRPr="00795981">
              <w:rPr>
                <w:rFonts w:ascii="Times New Roman" w:hAnsi="Times New Roman" w:cs="Times New Roman"/>
                <w:color w:val="000000" w:themeColor="text1"/>
              </w:rPr>
              <w:t>Level 5. Macro society</w:t>
            </w:r>
          </w:p>
        </w:tc>
        <w:tc>
          <w:tcPr>
            <w:tcW w:w="9356" w:type="dxa"/>
          </w:tcPr>
          <w:p w14:paraId="23FADDA2"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6A15589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35</w:t>
            </w:r>
          </w:p>
        </w:tc>
      </w:tr>
      <w:tr w:rsidR="00795981" w:rsidRPr="00795981" w14:paraId="00D97576" w14:textId="77777777" w:rsidTr="00795981">
        <w:tc>
          <w:tcPr>
            <w:tcW w:w="4536" w:type="dxa"/>
          </w:tcPr>
          <w:p w14:paraId="1C1625D4"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5.1 Socioeconomic country factor</w:t>
            </w:r>
          </w:p>
        </w:tc>
        <w:tc>
          <w:tcPr>
            <w:tcW w:w="9356" w:type="dxa"/>
          </w:tcPr>
          <w:p w14:paraId="18B5FF13" w14:textId="1C8D40AA"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Overall idea of country SES; also includes social development and economic development </w:t>
            </w:r>
          </w:p>
        </w:tc>
        <w:tc>
          <w:tcPr>
            <w:tcW w:w="992" w:type="dxa"/>
          </w:tcPr>
          <w:p w14:paraId="19073334"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30</w:t>
            </w:r>
          </w:p>
        </w:tc>
      </w:tr>
      <w:tr w:rsidR="00795981" w:rsidRPr="00795981" w14:paraId="6C024076" w14:textId="77777777" w:rsidTr="00795981">
        <w:tc>
          <w:tcPr>
            <w:tcW w:w="4536" w:type="dxa"/>
          </w:tcPr>
          <w:p w14:paraId="317BEAD6"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5.1.1 Social development</w:t>
            </w:r>
          </w:p>
        </w:tc>
        <w:tc>
          <w:tcPr>
            <w:tcW w:w="9356" w:type="dxa"/>
          </w:tcPr>
          <w:p w14:paraId="79ECEBB5"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Social Development Index (SDI). It also includes human development and education development</w:t>
            </w:r>
          </w:p>
        </w:tc>
        <w:tc>
          <w:tcPr>
            <w:tcW w:w="992" w:type="dxa"/>
          </w:tcPr>
          <w:p w14:paraId="111B6D8A"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20</w:t>
            </w:r>
          </w:p>
        </w:tc>
      </w:tr>
      <w:tr w:rsidR="00795981" w:rsidRPr="00795981" w14:paraId="450E1651" w14:textId="77777777" w:rsidTr="00795981">
        <w:tc>
          <w:tcPr>
            <w:tcW w:w="4536" w:type="dxa"/>
          </w:tcPr>
          <w:p w14:paraId="2D6FE614"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5.1.1.1 Human development</w:t>
            </w:r>
          </w:p>
        </w:tc>
        <w:tc>
          <w:tcPr>
            <w:tcW w:w="9356" w:type="dxa"/>
          </w:tcPr>
          <w:p w14:paraId="38DA66CE" w14:textId="029F56E4"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Human Development Index (HDI). It includes different measures in gender equality, family income equality, national family structure, health, political </w:t>
            </w:r>
            <w:r w:rsidR="00673812" w:rsidRPr="00795981">
              <w:rPr>
                <w:rFonts w:ascii="Times New Roman" w:hAnsi="Times New Roman" w:cs="Times New Roman"/>
                <w:color w:val="000000" w:themeColor="text1"/>
              </w:rPr>
              <w:t>rights,</w:t>
            </w:r>
            <w:r w:rsidRPr="00795981">
              <w:rPr>
                <w:rFonts w:ascii="Times New Roman" w:hAnsi="Times New Roman" w:cs="Times New Roman"/>
                <w:color w:val="000000" w:themeColor="text1"/>
              </w:rPr>
              <w:t xml:space="preserve"> and civil liberties. </w:t>
            </w:r>
          </w:p>
        </w:tc>
        <w:tc>
          <w:tcPr>
            <w:tcW w:w="992" w:type="dxa"/>
          </w:tcPr>
          <w:p w14:paraId="2DA6C900"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19</w:t>
            </w:r>
          </w:p>
        </w:tc>
      </w:tr>
      <w:tr w:rsidR="00795981" w:rsidRPr="00795981" w14:paraId="3253CD37" w14:textId="77777777" w:rsidTr="00795981">
        <w:tc>
          <w:tcPr>
            <w:tcW w:w="4536" w:type="dxa"/>
          </w:tcPr>
          <w:p w14:paraId="487AFB44"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5.1.1.1.1 Gender equality</w:t>
            </w:r>
          </w:p>
        </w:tc>
        <w:tc>
          <w:tcPr>
            <w:tcW w:w="9356" w:type="dxa"/>
          </w:tcPr>
          <w:p w14:paraId="31063160"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Gender Gap Index (GGI), gender egalitarian values, secondary school enrolment rates in students’ ancestral country, tertiary education and labor market, gender wage gap, representation of women in research, political empowerment</w:t>
            </w:r>
          </w:p>
        </w:tc>
        <w:tc>
          <w:tcPr>
            <w:tcW w:w="992" w:type="dxa"/>
          </w:tcPr>
          <w:p w14:paraId="55A10943"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11</w:t>
            </w:r>
          </w:p>
        </w:tc>
      </w:tr>
      <w:tr w:rsidR="00795981" w:rsidRPr="00795981" w14:paraId="7A4764E0" w14:textId="77777777" w:rsidTr="00795981">
        <w:tc>
          <w:tcPr>
            <w:tcW w:w="4536" w:type="dxa"/>
          </w:tcPr>
          <w:p w14:paraId="53F482F5" w14:textId="77777777" w:rsidR="008A247A" w:rsidRPr="00795981" w:rsidRDefault="008A247A" w:rsidP="008A247A">
            <w:pPr>
              <w:ind w:left="1000"/>
              <w:rPr>
                <w:rFonts w:ascii="Times New Roman" w:hAnsi="Times New Roman" w:cs="Times New Roman"/>
                <w:color w:val="000000" w:themeColor="text1"/>
              </w:rPr>
            </w:pPr>
            <w:r w:rsidRPr="00795981">
              <w:rPr>
                <w:rFonts w:ascii="Times New Roman" w:hAnsi="Times New Roman" w:cs="Times New Roman"/>
                <w:color w:val="000000" w:themeColor="text1"/>
              </w:rPr>
              <w:t>Other than gender equality</w:t>
            </w:r>
          </w:p>
        </w:tc>
        <w:tc>
          <w:tcPr>
            <w:tcW w:w="9356" w:type="dxa"/>
          </w:tcPr>
          <w:p w14:paraId="6650D1E2" w14:textId="77777777" w:rsidR="008A247A" w:rsidRPr="00795981" w:rsidRDefault="008A247A" w:rsidP="008A247A">
            <w:pPr>
              <w:pStyle w:val="TableContents"/>
              <w:rPr>
                <w:rFonts w:ascii="Times New Roman" w:hAnsi="Times New Roman" w:cs="Times New Roman"/>
                <w:color w:val="000000" w:themeColor="text1"/>
              </w:rPr>
            </w:pPr>
          </w:p>
        </w:tc>
        <w:tc>
          <w:tcPr>
            <w:tcW w:w="992" w:type="dxa"/>
          </w:tcPr>
          <w:p w14:paraId="4590C5F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w:t>
            </w:r>
          </w:p>
        </w:tc>
      </w:tr>
      <w:tr w:rsidR="00795981" w:rsidRPr="00795981" w14:paraId="14814779" w14:textId="77777777" w:rsidTr="00795981">
        <w:tc>
          <w:tcPr>
            <w:tcW w:w="4536" w:type="dxa"/>
          </w:tcPr>
          <w:p w14:paraId="1FF5E5BB" w14:textId="77777777" w:rsidR="008A247A" w:rsidRPr="00795981" w:rsidRDefault="008A247A" w:rsidP="008A247A">
            <w:pPr>
              <w:ind w:left="1200"/>
              <w:rPr>
                <w:rFonts w:ascii="Times New Roman" w:hAnsi="Times New Roman" w:cs="Times New Roman"/>
                <w:color w:val="000000" w:themeColor="text1"/>
              </w:rPr>
            </w:pPr>
            <w:r w:rsidRPr="00795981">
              <w:rPr>
                <w:rFonts w:ascii="Times New Roman" w:hAnsi="Times New Roman" w:cs="Times New Roman"/>
                <w:color w:val="000000" w:themeColor="text1"/>
              </w:rPr>
              <w:t>Family income inequality</w:t>
            </w:r>
          </w:p>
        </w:tc>
        <w:tc>
          <w:tcPr>
            <w:tcW w:w="9356" w:type="dxa"/>
          </w:tcPr>
          <w:p w14:paraId="377AF04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GDP Gini: World Bank 2010, data sources depending on country status as developing (World Development Indicators, World Bank), OECD (OECD. Stat Extracts, Organization for Economic Cooperation and Development), or other (World Factbook, Central Intelligence Agency of the United States of America).</w:t>
            </w:r>
          </w:p>
        </w:tc>
        <w:tc>
          <w:tcPr>
            <w:tcW w:w="992" w:type="dxa"/>
          </w:tcPr>
          <w:p w14:paraId="025FC5B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1CD212F9" w14:textId="77777777" w:rsidTr="00795981">
        <w:tc>
          <w:tcPr>
            <w:tcW w:w="4536" w:type="dxa"/>
          </w:tcPr>
          <w:p w14:paraId="3E9FA335" w14:textId="77777777" w:rsidR="008A247A" w:rsidRPr="00795981" w:rsidRDefault="008A247A" w:rsidP="008A247A">
            <w:pPr>
              <w:ind w:left="1200"/>
              <w:rPr>
                <w:rFonts w:ascii="Times New Roman" w:hAnsi="Times New Roman" w:cs="Times New Roman"/>
                <w:color w:val="000000" w:themeColor="text1"/>
              </w:rPr>
            </w:pPr>
            <w:r w:rsidRPr="00795981">
              <w:rPr>
                <w:rFonts w:ascii="Times New Roman" w:hAnsi="Times New Roman" w:cs="Times New Roman"/>
                <w:color w:val="000000" w:themeColor="text1"/>
              </w:rPr>
              <w:t>Health</w:t>
            </w:r>
          </w:p>
        </w:tc>
        <w:tc>
          <w:tcPr>
            <w:tcW w:w="9356" w:type="dxa"/>
          </w:tcPr>
          <w:p w14:paraId="0D44EF37"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Health subindex combines four diﬀerent indicators: births to unmarried teenage mothers, low weight problems in children, quality of potable water, infant mortality</w:t>
            </w:r>
          </w:p>
        </w:tc>
        <w:tc>
          <w:tcPr>
            <w:tcW w:w="992" w:type="dxa"/>
          </w:tcPr>
          <w:p w14:paraId="2899C4FC"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271B2078" w14:textId="77777777" w:rsidTr="00795981">
        <w:tc>
          <w:tcPr>
            <w:tcW w:w="4536" w:type="dxa"/>
          </w:tcPr>
          <w:p w14:paraId="422EAB4E" w14:textId="77777777" w:rsidR="008A247A" w:rsidRPr="00795981" w:rsidRDefault="008A247A" w:rsidP="008A247A">
            <w:pPr>
              <w:ind w:left="1400"/>
              <w:rPr>
                <w:rFonts w:ascii="Times New Roman" w:hAnsi="Times New Roman" w:cs="Times New Roman"/>
                <w:color w:val="000000" w:themeColor="text1"/>
              </w:rPr>
            </w:pPr>
            <w:r w:rsidRPr="00795981">
              <w:rPr>
                <w:rFonts w:ascii="Times New Roman" w:hAnsi="Times New Roman" w:cs="Times New Roman"/>
                <w:color w:val="000000" w:themeColor="text1"/>
              </w:rPr>
              <w:t>Infant mortality</w:t>
            </w:r>
          </w:p>
        </w:tc>
        <w:tc>
          <w:tcPr>
            <w:tcW w:w="9356" w:type="dxa"/>
          </w:tcPr>
          <w:p w14:paraId="136EA8CE"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Infant mortality rate</w:t>
            </w:r>
          </w:p>
        </w:tc>
        <w:tc>
          <w:tcPr>
            <w:tcW w:w="992" w:type="dxa"/>
          </w:tcPr>
          <w:p w14:paraId="174E95A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F35A4BC" w14:textId="77777777" w:rsidTr="00795981">
        <w:tc>
          <w:tcPr>
            <w:tcW w:w="4536" w:type="dxa"/>
          </w:tcPr>
          <w:p w14:paraId="56B95297" w14:textId="77777777" w:rsidR="008A247A" w:rsidRPr="00795981" w:rsidRDefault="008A247A" w:rsidP="008A247A">
            <w:pPr>
              <w:ind w:left="1200"/>
              <w:rPr>
                <w:rFonts w:ascii="Times New Roman" w:hAnsi="Times New Roman" w:cs="Times New Roman"/>
                <w:color w:val="000000" w:themeColor="text1"/>
              </w:rPr>
            </w:pPr>
            <w:r w:rsidRPr="00795981">
              <w:rPr>
                <w:rFonts w:ascii="Times New Roman" w:hAnsi="Times New Roman" w:cs="Times New Roman"/>
                <w:color w:val="000000" w:themeColor="text1"/>
              </w:rPr>
              <w:t>National family structure</w:t>
            </w:r>
          </w:p>
        </w:tc>
        <w:tc>
          <w:tcPr>
            <w:tcW w:w="9356" w:type="dxa"/>
          </w:tcPr>
          <w:p w14:paraId="1EA25123"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Country’s percentage of single parents</w:t>
            </w:r>
          </w:p>
        </w:tc>
        <w:tc>
          <w:tcPr>
            <w:tcW w:w="992" w:type="dxa"/>
          </w:tcPr>
          <w:p w14:paraId="540F5CD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656ED98C" w14:textId="77777777" w:rsidTr="00795981">
        <w:tc>
          <w:tcPr>
            <w:tcW w:w="4536" w:type="dxa"/>
          </w:tcPr>
          <w:p w14:paraId="57FDA96C" w14:textId="77777777" w:rsidR="008A247A" w:rsidRPr="00795981" w:rsidRDefault="008A247A" w:rsidP="008A247A">
            <w:pPr>
              <w:ind w:left="1200"/>
              <w:rPr>
                <w:rFonts w:ascii="Times New Roman" w:hAnsi="Times New Roman" w:cs="Times New Roman"/>
                <w:color w:val="000000" w:themeColor="text1"/>
              </w:rPr>
            </w:pPr>
            <w:r w:rsidRPr="00795981">
              <w:rPr>
                <w:rFonts w:ascii="Times New Roman" w:hAnsi="Times New Roman" w:cs="Times New Roman"/>
                <w:color w:val="000000" w:themeColor="text1"/>
              </w:rPr>
              <w:t>Political rights and civil liberties</w:t>
            </w:r>
          </w:p>
        </w:tc>
        <w:tc>
          <w:tcPr>
            <w:tcW w:w="9356" w:type="dxa"/>
          </w:tcPr>
          <w:p w14:paraId="39596801"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Electoral participation - % of voters who did not vote in the national and municipal elections, level of freedom in original Freedom House data set (2020)</w:t>
            </w:r>
          </w:p>
        </w:tc>
        <w:tc>
          <w:tcPr>
            <w:tcW w:w="992" w:type="dxa"/>
          </w:tcPr>
          <w:p w14:paraId="35F7CB0D"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2</w:t>
            </w:r>
          </w:p>
        </w:tc>
      </w:tr>
      <w:tr w:rsidR="00795981" w:rsidRPr="00795981" w14:paraId="5700281E" w14:textId="77777777" w:rsidTr="00795981">
        <w:tc>
          <w:tcPr>
            <w:tcW w:w="4536" w:type="dxa"/>
          </w:tcPr>
          <w:p w14:paraId="689CAC65" w14:textId="77777777" w:rsidR="008A247A" w:rsidRPr="00795981" w:rsidRDefault="008A247A" w:rsidP="008A247A">
            <w:pPr>
              <w:ind w:left="800"/>
              <w:rPr>
                <w:rFonts w:ascii="Times New Roman" w:hAnsi="Times New Roman" w:cs="Times New Roman"/>
                <w:color w:val="000000" w:themeColor="text1"/>
              </w:rPr>
            </w:pPr>
            <w:r w:rsidRPr="00795981">
              <w:rPr>
                <w:rFonts w:ascii="Times New Roman" w:hAnsi="Times New Roman" w:cs="Times New Roman"/>
                <w:color w:val="000000" w:themeColor="text1"/>
              </w:rPr>
              <w:t>Education development</w:t>
            </w:r>
          </w:p>
        </w:tc>
        <w:tc>
          <w:tcPr>
            <w:tcW w:w="9356" w:type="dxa"/>
          </w:tcPr>
          <w:p w14:paraId="5D8E850B"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The index is built on the possibilities of the population to access and enjoy a set of basic rights, including education - adequate access to educational and training services that contribute to the development of human capital. It includes overall indicator of educational infrastructure, special education programs, % of one-teacher education centers and school failure </w:t>
            </w:r>
          </w:p>
        </w:tc>
        <w:tc>
          <w:tcPr>
            <w:tcW w:w="992" w:type="dxa"/>
          </w:tcPr>
          <w:p w14:paraId="3F92D57B"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w:t>
            </w:r>
          </w:p>
        </w:tc>
      </w:tr>
      <w:tr w:rsidR="00795981" w:rsidRPr="00795981" w14:paraId="44DA1190" w14:textId="77777777" w:rsidTr="00795981">
        <w:tc>
          <w:tcPr>
            <w:tcW w:w="4536" w:type="dxa"/>
          </w:tcPr>
          <w:p w14:paraId="3C0FEC6D" w14:textId="77777777" w:rsidR="008A247A" w:rsidRPr="00795981" w:rsidRDefault="008A247A" w:rsidP="008A247A">
            <w:pPr>
              <w:ind w:left="600"/>
              <w:rPr>
                <w:rFonts w:ascii="Times New Roman" w:hAnsi="Times New Roman" w:cs="Times New Roman"/>
                <w:color w:val="000000" w:themeColor="text1"/>
              </w:rPr>
            </w:pPr>
            <w:r w:rsidRPr="00795981">
              <w:rPr>
                <w:rFonts w:ascii="Times New Roman" w:hAnsi="Times New Roman" w:cs="Times New Roman"/>
                <w:color w:val="000000" w:themeColor="text1"/>
              </w:rPr>
              <w:t>5.1.2 Economic development</w:t>
            </w:r>
          </w:p>
        </w:tc>
        <w:tc>
          <w:tcPr>
            <w:tcW w:w="9356" w:type="dxa"/>
          </w:tcPr>
          <w:p w14:paraId="49EDF02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GDP level, (log of) GDP per capita, GDP per adult, regional poverty rate, OECD membership</w:t>
            </w:r>
          </w:p>
        </w:tc>
        <w:tc>
          <w:tcPr>
            <w:tcW w:w="992" w:type="dxa"/>
          </w:tcPr>
          <w:p w14:paraId="48231136"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16</w:t>
            </w:r>
          </w:p>
        </w:tc>
      </w:tr>
      <w:tr w:rsidR="00795981" w:rsidRPr="00795981" w14:paraId="02654D05" w14:textId="77777777" w:rsidTr="00795981">
        <w:tc>
          <w:tcPr>
            <w:tcW w:w="4536" w:type="dxa"/>
          </w:tcPr>
          <w:p w14:paraId="7CE09561"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5.2 National culture</w:t>
            </w:r>
          </w:p>
        </w:tc>
        <w:tc>
          <w:tcPr>
            <w:tcW w:w="9356" w:type="dxa"/>
          </w:tcPr>
          <w:p w14:paraId="4ECFA2CC"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Confucian tradition, long-term orientation, individualism versus collectivism, masculinity, power distance, uncertainty avoidance, indulgence versus restraint, religious traditions, culture of effort, national tolerance for inequality </w:t>
            </w:r>
          </w:p>
        </w:tc>
        <w:tc>
          <w:tcPr>
            <w:tcW w:w="992" w:type="dxa"/>
          </w:tcPr>
          <w:p w14:paraId="0EA54FFE"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7</w:t>
            </w:r>
          </w:p>
        </w:tc>
      </w:tr>
      <w:tr w:rsidR="00795981" w:rsidRPr="00795981" w14:paraId="7AF70631" w14:textId="77777777" w:rsidTr="00795981">
        <w:tc>
          <w:tcPr>
            <w:tcW w:w="4536" w:type="dxa"/>
          </w:tcPr>
          <w:p w14:paraId="03486C99" w14:textId="77777777" w:rsidR="008A247A" w:rsidRPr="00795981" w:rsidRDefault="008A247A" w:rsidP="008A247A">
            <w:pPr>
              <w:ind w:left="400"/>
              <w:rPr>
                <w:rFonts w:ascii="Times New Roman" w:hAnsi="Times New Roman" w:cs="Times New Roman"/>
                <w:color w:val="000000" w:themeColor="text1"/>
              </w:rPr>
            </w:pPr>
            <w:r w:rsidRPr="00795981">
              <w:rPr>
                <w:rFonts w:ascii="Times New Roman" w:hAnsi="Times New Roman" w:cs="Times New Roman"/>
                <w:color w:val="000000" w:themeColor="text1"/>
              </w:rPr>
              <w:t>5.3 Immigration and related policies</w:t>
            </w:r>
          </w:p>
        </w:tc>
        <w:tc>
          <w:tcPr>
            <w:tcW w:w="9356" w:type="dxa"/>
          </w:tcPr>
          <w:p w14:paraId="0C7ACA68" w14:textId="77777777" w:rsidR="008A247A" w:rsidRPr="00795981" w:rsidRDefault="008A247A" w:rsidP="008A247A">
            <w:pPr>
              <w:pStyle w:val="TableContents"/>
              <w:rPr>
                <w:rFonts w:ascii="Times New Roman" w:hAnsi="Times New Roman" w:cs="Times New Roman"/>
                <w:color w:val="000000" w:themeColor="text1"/>
              </w:rPr>
            </w:pPr>
            <w:r w:rsidRPr="00795981">
              <w:rPr>
                <w:rFonts w:ascii="Times New Roman" w:hAnsi="Times New Roman" w:cs="Times New Roman"/>
                <w:color w:val="000000" w:themeColor="text1"/>
              </w:rPr>
              <w:t xml:space="preserve">Immigrant concentration, inclusive and selective immigration policies, country’s recent history of immigration. </w:t>
            </w:r>
          </w:p>
        </w:tc>
        <w:tc>
          <w:tcPr>
            <w:tcW w:w="992" w:type="dxa"/>
          </w:tcPr>
          <w:p w14:paraId="5DB3B152" w14:textId="77777777" w:rsidR="008A247A" w:rsidRPr="00795981" w:rsidRDefault="008A247A" w:rsidP="008A247A">
            <w:pPr>
              <w:pStyle w:val="TableContents"/>
              <w:jc w:val="right"/>
              <w:rPr>
                <w:rFonts w:ascii="Times New Roman" w:hAnsi="Times New Roman" w:cs="Times New Roman"/>
                <w:color w:val="000000" w:themeColor="text1"/>
              </w:rPr>
            </w:pPr>
            <w:r w:rsidRPr="00795981">
              <w:rPr>
                <w:rFonts w:ascii="Times New Roman" w:hAnsi="Times New Roman" w:cs="Times New Roman"/>
                <w:color w:val="000000" w:themeColor="text1"/>
              </w:rPr>
              <w:t>6</w:t>
            </w:r>
          </w:p>
        </w:tc>
      </w:tr>
    </w:tbl>
    <w:p w14:paraId="71B56DF3" w14:textId="35D5120A" w:rsidR="00830920" w:rsidRPr="00795981" w:rsidRDefault="00830920" w:rsidP="008A247A">
      <w:pPr>
        <w:rPr>
          <w:rFonts w:ascii="Times New Roman" w:hAnsi="Times New Roman" w:cs="Times New Roman"/>
          <w:color w:val="000000" w:themeColor="text1"/>
        </w:rPr>
      </w:pPr>
    </w:p>
    <w:p w14:paraId="4A21DFBA" w14:textId="794255D6" w:rsidR="00673812" w:rsidRPr="00795981" w:rsidRDefault="00673812" w:rsidP="008A247A">
      <w:pPr>
        <w:rPr>
          <w:rFonts w:ascii="Times New Roman" w:hAnsi="Times New Roman" w:cs="Times New Roman"/>
          <w:color w:val="000000" w:themeColor="text1"/>
        </w:rPr>
      </w:pPr>
      <w:r w:rsidRPr="00795981">
        <w:rPr>
          <w:rFonts w:ascii="Times New Roman" w:hAnsi="Times New Roman" w:cs="Times New Roman"/>
          <w:color w:val="000000" w:themeColor="text1"/>
        </w:rPr>
        <w:t>Note: No. of studies</w:t>
      </w:r>
      <w:r w:rsidR="004913E1" w:rsidRPr="00795981">
        <w:rPr>
          <w:rFonts w:ascii="Times New Roman" w:hAnsi="Times New Roman" w:cs="Times New Roman"/>
          <w:color w:val="000000" w:themeColor="text1"/>
        </w:rPr>
        <w:t xml:space="preserve"> at higher levels</w:t>
      </w:r>
      <w:r w:rsidRPr="00795981">
        <w:rPr>
          <w:rFonts w:ascii="Times New Roman" w:hAnsi="Times New Roman" w:cs="Times New Roman"/>
          <w:color w:val="000000" w:themeColor="text1"/>
        </w:rPr>
        <w:t xml:space="preserve"> is </w:t>
      </w:r>
      <w:r w:rsidR="00331F03" w:rsidRPr="00795981">
        <w:rPr>
          <w:rFonts w:ascii="Times New Roman" w:hAnsi="Times New Roman" w:cs="Times New Roman"/>
          <w:color w:val="000000" w:themeColor="text1"/>
        </w:rPr>
        <w:t xml:space="preserve">the </w:t>
      </w:r>
      <w:r w:rsidRPr="00795981">
        <w:rPr>
          <w:rFonts w:ascii="Times New Roman" w:hAnsi="Times New Roman" w:cs="Times New Roman"/>
          <w:color w:val="000000" w:themeColor="text1"/>
        </w:rPr>
        <w:t>aggregated</w:t>
      </w:r>
      <w:r w:rsidR="00683C0B" w:rsidRPr="00795981">
        <w:rPr>
          <w:rFonts w:ascii="Times New Roman" w:hAnsi="Times New Roman" w:cs="Times New Roman"/>
          <w:color w:val="000000" w:themeColor="text1"/>
        </w:rPr>
        <w:t xml:space="preserve"> number</w:t>
      </w:r>
      <w:r w:rsidRPr="00795981">
        <w:rPr>
          <w:rFonts w:ascii="Times New Roman" w:hAnsi="Times New Roman" w:cs="Times New Roman"/>
          <w:color w:val="000000" w:themeColor="text1"/>
        </w:rPr>
        <w:t xml:space="preserve"> from </w:t>
      </w:r>
      <w:r w:rsidR="004913E1" w:rsidRPr="00795981">
        <w:rPr>
          <w:rFonts w:ascii="Times New Roman" w:hAnsi="Times New Roman" w:cs="Times New Roman"/>
          <w:color w:val="000000" w:themeColor="text1"/>
        </w:rPr>
        <w:t>lower level(s)</w:t>
      </w:r>
      <w:r w:rsidRPr="00795981">
        <w:rPr>
          <w:rFonts w:ascii="Times New Roman" w:hAnsi="Times New Roman" w:cs="Times New Roman"/>
          <w:color w:val="000000" w:themeColor="text1"/>
        </w:rPr>
        <w:t xml:space="preserve">. </w:t>
      </w:r>
    </w:p>
    <w:sectPr w:rsidR="00673812" w:rsidRPr="00795981" w:rsidSect="00795981">
      <w:footerReference w:type="default" r:id="rId7"/>
      <w:pgSz w:w="16840" w:h="11900" w:orient="landscape"/>
      <w:pgMar w:top="1000" w:right="1000" w:bottom="1525" w:left="1000" w:header="0" w:footer="100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F551E" w14:textId="77777777" w:rsidR="003B52CB" w:rsidRDefault="003B52CB">
      <w:pPr>
        <w:rPr>
          <w:rFonts w:hint="eastAsia"/>
        </w:rPr>
      </w:pPr>
      <w:r>
        <w:separator/>
      </w:r>
    </w:p>
  </w:endnote>
  <w:endnote w:type="continuationSeparator" w:id="0">
    <w:p w14:paraId="410E4454" w14:textId="77777777" w:rsidR="003B52CB" w:rsidRDefault="003B52C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7B183" w14:textId="77777777" w:rsidR="008A247A" w:rsidRDefault="008A247A">
    <w:pPr>
      <w:pStyle w:val="Footer"/>
      <w:rPr>
        <w:rFonts w:ascii="Helvetica Neue" w:hAnsi="Helvetica Neue"/>
        <w:sz w:val="20"/>
      </w:rPr>
    </w:pPr>
  </w:p>
  <w:p w14:paraId="7C502EE4" w14:textId="13E53DD0" w:rsidR="00830920" w:rsidRDefault="00830920">
    <w:pPr>
      <w:pStyle w:val="Footer"/>
      <w:rPr>
        <w:rFonts w:ascii="Helvetica Neue" w:hAnsi="Helvetica Neue"/>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2F1FF" w14:textId="77777777" w:rsidR="003B52CB" w:rsidRDefault="003B52CB">
      <w:pPr>
        <w:rPr>
          <w:rFonts w:hint="eastAsia"/>
        </w:rPr>
      </w:pPr>
      <w:r>
        <w:separator/>
      </w:r>
    </w:p>
  </w:footnote>
  <w:footnote w:type="continuationSeparator" w:id="0">
    <w:p w14:paraId="30E890B8" w14:textId="77777777" w:rsidR="003B52CB" w:rsidRDefault="003B52CB">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3762F5"/>
    <w:multiLevelType w:val="multilevel"/>
    <w:tmpl w:val="31364A22"/>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4"/>
  <w:revisionView w:markup="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0920"/>
    <w:rsid w:val="000C6A3F"/>
    <w:rsid w:val="00194608"/>
    <w:rsid w:val="00262812"/>
    <w:rsid w:val="00331F03"/>
    <w:rsid w:val="003B52CB"/>
    <w:rsid w:val="00425669"/>
    <w:rsid w:val="00426F3A"/>
    <w:rsid w:val="004913E1"/>
    <w:rsid w:val="005B7958"/>
    <w:rsid w:val="00673812"/>
    <w:rsid w:val="00683C0B"/>
    <w:rsid w:val="00787AC4"/>
    <w:rsid w:val="007930EC"/>
    <w:rsid w:val="00795981"/>
    <w:rsid w:val="00830920"/>
    <w:rsid w:val="00853D3B"/>
    <w:rsid w:val="0086320E"/>
    <w:rsid w:val="008A247A"/>
    <w:rsid w:val="008D17B4"/>
    <w:rsid w:val="00A06C42"/>
    <w:rsid w:val="00A30868"/>
    <w:rsid w:val="00C453C4"/>
    <w:rsid w:val="00D16BCD"/>
    <w:rsid w:val="00E41E82"/>
    <w:rsid w:val="00E64DC8"/>
    <w:rsid w:val="00F80AC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E6AC0"/>
  <w15:docId w15:val="{D1B42988-4138-1745-A59A-2FD414D4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Heading"/>
    <w:next w:val="BodyText"/>
    <w:uiPriority w:val="9"/>
    <w:qFormat/>
    <w:pPr>
      <w:numPr>
        <w:numId w:val="1"/>
      </w:numPr>
      <w:outlineLvl w:val="0"/>
    </w:pPr>
    <w:rPr>
      <w:b/>
      <w:bCs/>
      <w:sz w:val="36"/>
      <w:szCs w:val="36"/>
    </w:rPr>
  </w:style>
  <w:style w:type="paragraph" w:styleId="Heading2">
    <w:name w:val="heading 2"/>
    <w:basedOn w:val="Heading"/>
    <w:next w:val="BodyText"/>
    <w:uiPriority w:val="9"/>
    <w:unhideWhenUsed/>
    <w:qFormat/>
    <w:pPr>
      <w:numPr>
        <w:ilvl w:val="1"/>
        <w:numId w:val="1"/>
      </w:numPr>
      <w:spacing w:before="200"/>
      <w:outlineLvl w:val="1"/>
    </w:pPr>
    <w:rPr>
      <w:b/>
      <w:bCs/>
      <w:sz w:val="32"/>
      <w:szCs w:val="32"/>
    </w:rPr>
  </w:style>
  <w:style w:type="paragraph" w:styleId="Heading3">
    <w:name w:val="heading 3"/>
    <w:basedOn w:val="Heading"/>
    <w:next w:val="BodyText"/>
    <w:uiPriority w:val="9"/>
    <w:semiHidden/>
    <w:unhideWhenUsed/>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FootnoteText">
    <w:name w:val="footnote text"/>
    <w:basedOn w:val="Normal"/>
    <w:pPr>
      <w:suppressLineNumbers/>
      <w:ind w:left="339" w:hanging="339"/>
    </w:pPr>
    <w:rPr>
      <w:sz w:val="20"/>
      <w:szCs w:val="2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suppressLineNumbers/>
      <w:tabs>
        <w:tab w:val="center" w:pos="7283"/>
        <w:tab w:val="right" w:pos="14566"/>
      </w:tabs>
    </w:pPr>
  </w:style>
  <w:style w:type="paragraph" w:styleId="Header">
    <w:name w:val="header"/>
    <w:basedOn w:val="Normal"/>
    <w:pPr>
      <w:suppressLineNumbers/>
      <w:tabs>
        <w:tab w:val="center" w:pos="7283"/>
        <w:tab w:val="right" w:pos="14566"/>
      </w:tabs>
    </w:pPr>
  </w:style>
  <w:style w:type="table" w:styleId="TableGrid">
    <w:name w:val="Table Grid"/>
    <w:basedOn w:val="TableNormal"/>
    <w:uiPriority w:val="39"/>
    <w:rsid w:val="00795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D86424-CDBE-924F-94E3-F4938825F433}">
  <we:reference id="f518cb36-c901-4d52-a9e7-4331342e485d" version="1.2.0.0" store="EXCatalog" storeType="EXCatalog"/>
  <we:alternateReferences>
    <we:reference id="WA200001011" version="1.2.0.0" store="en-AU"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309</TotalTime>
  <Pages>1</Pages>
  <Words>4109</Words>
  <Characters>23426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Chandravadhana Ramesh</cp:lastModifiedBy>
  <cp:revision>66</cp:revision>
  <cp:lastPrinted>2017-01-04T14:30:00Z</cp:lastPrinted>
  <dcterms:created xsi:type="dcterms:W3CDTF">2022-12-11T01:14:00Z</dcterms:created>
  <dcterms:modified xsi:type="dcterms:W3CDTF">2023-06-09T11:20:00Z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ort Date">
    <vt:lpwstr>2022-12-11T01:14:18</vt:lpwstr>
  </property>
  <property fmtid="{D5CDD505-2E9C-101B-9397-08002B2CF9AE}" pid="3" name="Folder Description">
    <vt:lpwstr>&lt;Folder Description&gt;</vt:lpwstr>
  </property>
  <property fmtid="{D5CDD505-2E9C-101B-9397-08002B2CF9AE}" pid="4" name="Folder Title">
    <vt:lpwstr>&lt;Folder Title&gt;</vt:lpwstr>
  </property>
  <property fmtid="{D5CDD505-2E9C-101B-9397-08002B2CF9AE}" pid="5" name="Header Description">
    <vt:lpwstr>&lt;Description&gt;</vt:lpwstr>
  </property>
  <property fmtid="{D5CDD505-2E9C-101B-9397-08002B2CF9AE}" pid="6" name="Header Name">
    <vt:lpwstr>&lt;Name&gt;</vt:lpwstr>
  </property>
  <property fmtid="{D5CDD505-2E9C-101B-9397-08002B2CF9AE}" pid="7" name="Header References">
    <vt:lpwstr>&lt;References&gt;</vt:lpwstr>
  </property>
  <property fmtid="{D5CDD505-2E9C-101B-9397-08002B2CF9AE}" pid="8" name="Header Sources">
    <vt:lpwstr>&lt;Sources&gt;</vt:lpwstr>
  </property>
  <property fmtid="{D5CDD505-2E9C-101B-9397-08002B2CF9AE}" pid="9" name="Item Description">
    <vt:lpwstr>&lt;description&gt;</vt:lpwstr>
  </property>
  <property fmtid="{D5CDD505-2E9C-101B-9397-08002B2CF9AE}" pid="10" name="Item Name">
    <vt:lpwstr>&lt;item&gt;</vt:lpwstr>
  </property>
  <property fmtid="{D5CDD505-2E9C-101B-9397-08002B2CF9AE}" pid="11" name="Item References">
    <vt:lpwstr>&lt;refs&gt;</vt:lpwstr>
  </property>
  <property fmtid="{D5CDD505-2E9C-101B-9397-08002B2CF9AE}" pid="12" name="Item Sources">
    <vt:lpwstr>&lt;sources&gt;</vt:lpwstr>
  </property>
  <property fmtid="{D5CDD505-2E9C-101B-9397-08002B2CF9AE}" pid="13" name="Project Name">
    <vt:lpwstr>SW thesis</vt:lpwstr>
  </property>
  <property fmtid="{D5CDD505-2E9C-101B-9397-08002B2CF9AE}" pid="14" name="grammarly_documentId">
    <vt:lpwstr>documentId_1784</vt:lpwstr>
  </property>
  <property fmtid="{D5CDD505-2E9C-101B-9397-08002B2CF9AE}" pid="15" name="grammarly_documentContext">
    <vt:lpwstr>{"goals":[],"domain":"general","emotions":[],"dialect":"american"}</vt:lpwstr>
  </property>
</Properties>
</file>