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53F30" w14:textId="5D15B0B5" w:rsidR="00CA1327" w:rsidRPr="0086301E" w:rsidRDefault="002B1E87" w:rsidP="00BE7D4E">
      <w:pPr>
        <w:pStyle w:val="timenewroman"/>
        <w:spacing w:line="480" w:lineRule="auto"/>
        <w:jc w:val="center"/>
        <w:rPr>
          <w:rFonts w:eastAsiaTheme="minorEastAsia"/>
          <w:b/>
          <w:bCs w:val="0"/>
          <w:color w:val="000000" w:themeColor="text1"/>
          <w:sz w:val="36"/>
          <w:szCs w:val="44"/>
        </w:rPr>
      </w:pPr>
      <w:r w:rsidRPr="0086301E">
        <w:rPr>
          <w:rFonts w:eastAsiaTheme="minorEastAsia" w:hint="eastAsia"/>
          <w:b/>
          <w:bCs w:val="0"/>
          <w:color w:val="000000" w:themeColor="text1"/>
          <w:sz w:val="36"/>
          <w:szCs w:val="44"/>
        </w:rPr>
        <w:t>S</w:t>
      </w:r>
      <w:r w:rsidRPr="0086301E">
        <w:rPr>
          <w:rFonts w:eastAsiaTheme="minorEastAsia"/>
          <w:b/>
          <w:bCs w:val="0"/>
          <w:color w:val="000000" w:themeColor="text1"/>
          <w:sz w:val="36"/>
          <w:szCs w:val="44"/>
        </w:rPr>
        <w:t>upplementary figures and tables</w:t>
      </w:r>
    </w:p>
    <w:p w14:paraId="2405ED74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3CD8303A" wp14:editId="4CBEFFC7">
            <wp:extent cx="5666811" cy="6047509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944" cy="604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34CE4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 xml:space="preserve">Figure S1. Identification of tumor antigens associated with GBM prognosis. a-i </w:t>
      </w:r>
      <w:r w:rsidRPr="0086301E">
        <w:rPr>
          <w:rFonts w:eastAsiaTheme="minorEastAsia"/>
          <w:color w:val="000000" w:themeColor="text1"/>
        </w:rPr>
        <w:t>Kaplan-Meier curves comparing RFS for groups with different expression of ADAMTSL4 (</w:t>
      </w:r>
      <w:r w:rsidRPr="0086301E">
        <w:rPr>
          <w:rFonts w:eastAsiaTheme="minorEastAsia"/>
          <w:b/>
          <w:bCs w:val="0"/>
          <w:color w:val="000000" w:themeColor="text1"/>
        </w:rPr>
        <w:t>a</w:t>
      </w:r>
      <w:r w:rsidRPr="0086301E">
        <w:rPr>
          <w:rFonts w:eastAsiaTheme="minorEastAsia"/>
          <w:color w:val="000000" w:themeColor="text1"/>
        </w:rPr>
        <w:t>), COL6A1 (</w:t>
      </w:r>
      <w:r w:rsidRPr="0086301E">
        <w:rPr>
          <w:rFonts w:eastAsiaTheme="minorEastAsia"/>
          <w:b/>
          <w:bCs w:val="0"/>
          <w:color w:val="000000" w:themeColor="text1"/>
        </w:rPr>
        <w:t>b</w:t>
      </w:r>
      <w:r w:rsidRPr="0086301E">
        <w:rPr>
          <w:rFonts w:eastAsiaTheme="minorEastAsia"/>
          <w:color w:val="000000" w:themeColor="text1"/>
        </w:rPr>
        <w:t>), CTSL (</w:t>
      </w:r>
      <w:r w:rsidRPr="0086301E">
        <w:rPr>
          <w:rFonts w:eastAsiaTheme="minorEastAsia"/>
          <w:b/>
          <w:bCs w:val="0"/>
          <w:color w:val="000000" w:themeColor="text1"/>
        </w:rPr>
        <w:t>c</w:t>
      </w:r>
      <w:r w:rsidRPr="0086301E">
        <w:rPr>
          <w:rFonts w:eastAsiaTheme="minorEastAsia"/>
          <w:color w:val="000000" w:themeColor="text1"/>
        </w:rPr>
        <w:t>), CYTH4 (</w:t>
      </w:r>
      <w:r w:rsidRPr="0086301E">
        <w:rPr>
          <w:rFonts w:eastAsiaTheme="minorEastAsia"/>
          <w:b/>
          <w:bCs w:val="0"/>
          <w:color w:val="000000" w:themeColor="text1"/>
        </w:rPr>
        <w:t>d</w:t>
      </w:r>
      <w:r w:rsidRPr="0086301E">
        <w:rPr>
          <w:rFonts w:eastAsiaTheme="minorEastAsia"/>
          <w:color w:val="000000" w:themeColor="text1"/>
        </w:rPr>
        <w:t>), EGFLAM (</w:t>
      </w:r>
      <w:r w:rsidRPr="0086301E">
        <w:rPr>
          <w:rFonts w:eastAsiaTheme="minorEastAsia"/>
          <w:b/>
          <w:bCs w:val="0"/>
          <w:color w:val="000000" w:themeColor="text1"/>
        </w:rPr>
        <w:t>e</w:t>
      </w:r>
      <w:r w:rsidRPr="0086301E">
        <w:rPr>
          <w:rFonts w:eastAsiaTheme="minorEastAsia"/>
          <w:color w:val="000000" w:themeColor="text1"/>
        </w:rPr>
        <w:t>), LILRB2 (</w:t>
      </w:r>
      <w:r w:rsidRPr="0086301E">
        <w:rPr>
          <w:rFonts w:eastAsiaTheme="minor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color w:val="000000" w:themeColor="text1"/>
        </w:rPr>
        <w:t>), MPZL2 (</w:t>
      </w:r>
      <w:r w:rsidRPr="0086301E">
        <w:rPr>
          <w:rFonts w:eastAsiaTheme="minorEastAsia"/>
          <w:b/>
          <w:bCs w:val="0"/>
          <w:color w:val="000000" w:themeColor="text1"/>
        </w:rPr>
        <w:t>g</w:t>
      </w:r>
      <w:r w:rsidRPr="0086301E">
        <w:rPr>
          <w:rFonts w:eastAsiaTheme="minorEastAsia"/>
          <w:color w:val="000000" w:themeColor="text1"/>
        </w:rPr>
        <w:t>), SAA2 (</w:t>
      </w:r>
      <w:r w:rsidRPr="0086301E">
        <w:rPr>
          <w:rFonts w:eastAsiaTheme="minorEastAsia"/>
          <w:b/>
          <w:bCs w:val="0"/>
          <w:color w:val="000000" w:themeColor="text1"/>
        </w:rPr>
        <w:t>h</w:t>
      </w:r>
      <w:r w:rsidRPr="0086301E">
        <w:rPr>
          <w:rFonts w:eastAsiaTheme="minorEastAsia"/>
          <w:color w:val="000000" w:themeColor="text1"/>
        </w:rPr>
        <w:t>), and LSP1 (</w:t>
      </w:r>
      <w:r w:rsidRPr="0086301E">
        <w:rPr>
          <w:rFonts w:eastAsiaTheme="minorEastAsia"/>
          <w:b/>
          <w:bCs w:val="0"/>
          <w:color w:val="000000" w:themeColor="text1"/>
        </w:rPr>
        <w:t>i</w:t>
      </w:r>
      <w:r w:rsidRPr="0086301E">
        <w:rPr>
          <w:rFonts w:eastAsiaTheme="minorEastAsia"/>
          <w:color w:val="000000" w:themeColor="text1"/>
        </w:rPr>
        <w:t>) in GBM.</w:t>
      </w:r>
      <w:r w:rsidRPr="0086301E">
        <w:rPr>
          <w:color w:val="000000" w:themeColor="text1"/>
        </w:rPr>
        <w:t xml:space="preserve"> </w:t>
      </w:r>
      <w:r w:rsidRPr="0086301E">
        <w:rPr>
          <w:rFonts w:eastAsiaTheme="minorEastAsia"/>
          <w:color w:val="000000" w:themeColor="text1"/>
        </w:rPr>
        <w:t>Red lines represented high gene expression, blue represented low gene expression.</w:t>
      </w:r>
    </w:p>
    <w:p w14:paraId="6C5980D2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566765E9" wp14:editId="57BD75B5">
            <wp:extent cx="6385560" cy="645936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983" cy="6461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E8C2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 xml:space="preserve">Figure S2. Identification of tumor antigens associated with infiltration of antigen-presenting cells in TCGA cohort. a-i </w:t>
      </w:r>
      <w:r w:rsidRPr="0086301E">
        <w:rPr>
          <w:rFonts w:eastAsiaTheme="minorEastAsia"/>
          <w:color w:val="000000" w:themeColor="text1"/>
        </w:rPr>
        <w:t>The correlation between the expression levels of ADAMTSL4 (</w:t>
      </w:r>
      <w:r w:rsidRPr="0086301E">
        <w:rPr>
          <w:rFonts w:eastAsiaTheme="minorEastAsia"/>
          <w:b/>
          <w:bCs w:val="0"/>
          <w:color w:val="000000" w:themeColor="text1"/>
        </w:rPr>
        <w:t>a</w:t>
      </w:r>
      <w:r w:rsidRPr="0086301E">
        <w:rPr>
          <w:rFonts w:eastAsiaTheme="minorEastAsia"/>
          <w:color w:val="000000" w:themeColor="text1"/>
        </w:rPr>
        <w:t>), COL6A1 (</w:t>
      </w:r>
      <w:r w:rsidRPr="0086301E">
        <w:rPr>
          <w:rFonts w:eastAsiaTheme="minorEastAsia"/>
          <w:b/>
          <w:bCs w:val="0"/>
          <w:color w:val="000000" w:themeColor="text1"/>
        </w:rPr>
        <w:t>b</w:t>
      </w:r>
      <w:r w:rsidRPr="0086301E">
        <w:rPr>
          <w:rFonts w:eastAsiaTheme="minorEastAsia"/>
          <w:color w:val="000000" w:themeColor="text1"/>
        </w:rPr>
        <w:t>), CTSL (</w:t>
      </w:r>
      <w:r w:rsidRPr="0086301E">
        <w:rPr>
          <w:rFonts w:eastAsiaTheme="minorEastAsia"/>
          <w:b/>
          <w:bCs w:val="0"/>
          <w:color w:val="000000" w:themeColor="text1"/>
        </w:rPr>
        <w:t>c</w:t>
      </w:r>
      <w:r w:rsidRPr="0086301E">
        <w:rPr>
          <w:rFonts w:eastAsiaTheme="minorEastAsia"/>
          <w:color w:val="000000" w:themeColor="text1"/>
        </w:rPr>
        <w:t>), CYTH4 (</w:t>
      </w:r>
      <w:r w:rsidRPr="0086301E">
        <w:rPr>
          <w:rFonts w:eastAsiaTheme="minorEastAsia"/>
          <w:b/>
          <w:bCs w:val="0"/>
          <w:color w:val="000000" w:themeColor="text1"/>
        </w:rPr>
        <w:t>d</w:t>
      </w:r>
      <w:r w:rsidRPr="0086301E">
        <w:rPr>
          <w:rFonts w:eastAsiaTheme="minorEastAsia"/>
          <w:color w:val="000000" w:themeColor="text1"/>
        </w:rPr>
        <w:t>), EGFLAM (</w:t>
      </w:r>
      <w:r w:rsidRPr="0086301E">
        <w:rPr>
          <w:rFonts w:eastAsiaTheme="minorEastAsia"/>
          <w:b/>
          <w:bCs w:val="0"/>
          <w:color w:val="000000" w:themeColor="text1"/>
        </w:rPr>
        <w:t>e</w:t>
      </w:r>
      <w:r w:rsidRPr="0086301E">
        <w:rPr>
          <w:rFonts w:eastAsiaTheme="minorEastAsia"/>
          <w:color w:val="000000" w:themeColor="text1"/>
        </w:rPr>
        <w:t>), LILRB2 (</w:t>
      </w:r>
      <w:r w:rsidRPr="0086301E">
        <w:rPr>
          <w:rFonts w:eastAsiaTheme="minor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color w:val="000000" w:themeColor="text1"/>
        </w:rPr>
        <w:t>), MPZL2 (</w:t>
      </w:r>
      <w:r w:rsidRPr="0086301E">
        <w:rPr>
          <w:rFonts w:eastAsiaTheme="minorEastAsia"/>
          <w:b/>
          <w:bCs w:val="0"/>
          <w:color w:val="000000" w:themeColor="text1"/>
        </w:rPr>
        <w:t>g</w:t>
      </w:r>
      <w:r w:rsidRPr="0086301E">
        <w:rPr>
          <w:rFonts w:eastAsiaTheme="minorEastAsia"/>
          <w:color w:val="000000" w:themeColor="text1"/>
        </w:rPr>
        <w:t>), SAA2 (</w:t>
      </w:r>
      <w:r w:rsidRPr="0086301E">
        <w:rPr>
          <w:rFonts w:eastAsiaTheme="minorEastAsia"/>
          <w:b/>
          <w:bCs w:val="0"/>
          <w:color w:val="000000" w:themeColor="text1"/>
        </w:rPr>
        <w:t>h</w:t>
      </w:r>
      <w:r w:rsidRPr="0086301E">
        <w:rPr>
          <w:rFonts w:eastAsiaTheme="minorEastAsia"/>
          <w:color w:val="000000" w:themeColor="text1"/>
        </w:rPr>
        <w:t>)</w:t>
      </w:r>
      <w:r w:rsidRPr="0086301E">
        <w:rPr>
          <w:rFonts w:eastAsia="DengXian"/>
          <w:color w:val="000000" w:themeColor="text1"/>
        </w:rPr>
        <w:t xml:space="preserve">, and LSP1 </w:t>
      </w:r>
      <w:r w:rsidRPr="0086301E">
        <w:rPr>
          <w:rFonts w:eastAsiaTheme="minorEastAsia"/>
          <w:color w:val="000000" w:themeColor="text1"/>
        </w:rPr>
        <w:t>(</w:t>
      </w:r>
      <w:r w:rsidRPr="0086301E">
        <w:rPr>
          <w:rFonts w:eastAsiaTheme="minorEastAsia"/>
          <w:b/>
          <w:bCs w:val="0"/>
          <w:color w:val="000000" w:themeColor="text1"/>
        </w:rPr>
        <w:t>i</w:t>
      </w:r>
      <w:r w:rsidRPr="0086301E">
        <w:rPr>
          <w:rFonts w:eastAsiaTheme="minorEastAsia"/>
          <w:color w:val="000000" w:themeColor="text1"/>
        </w:rPr>
        <w:t>) and infiltration levels of dendritic cells and macrophages in GBM.</w:t>
      </w:r>
    </w:p>
    <w:p w14:paraId="378126AE" w14:textId="2D9C1E8C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594CBD8B" w14:textId="656070DF" w:rsidR="00D8162B" w:rsidRPr="0086301E" w:rsidRDefault="00D8162B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7E5B20DF" wp14:editId="7E448A1A">
            <wp:extent cx="5274310" cy="394144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70D6D" w14:textId="63ACCF92" w:rsidR="00D8162B" w:rsidRPr="0086301E" w:rsidRDefault="00D8162B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 xml:space="preserve">Figure S3. A two gene signature based on LSP1 and ADAMTSL4, risk score = LSP1*0.33421+ ADAMTSL4*0.12244. a </w:t>
      </w:r>
      <w:r w:rsidRPr="0086301E">
        <w:rPr>
          <w:rFonts w:eastAsiaTheme="minorEastAsia"/>
          <w:color w:val="000000" w:themeColor="text1"/>
        </w:rPr>
        <w:t xml:space="preserve">Risk distribution, survival status and LSP1 and ADAMTSL4 expression in GBM patients. </w:t>
      </w:r>
      <w:r w:rsidRPr="0086301E">
        <w:rPr>
          <w:rFonts w:eastAsiaTheme="minorEastAsia"/>
          <w:b/>
          <w:bCs w:val="0"/>
          <w:color w:val="000000" w:themeColor="text1"/>
        </w:rPr>
        <w:t xml:space="preserve">b </w:t>
      </w:r>
      <w:r w:rsidRPr="0086301E">
        <w:rPr>
          <w:rFonts w:eastAsiaTheme="minorEastAsia"/>
          <w:color w:val="000000" w:themeColor="text1"/>
        </w:rPr>
        <w:t xml:space="preserve">Kaplan-Meier curve comparing OS of different risk in GBM patients. </w:t>
      </w:r>
      <w:r w:rsidRPr="0086301E">
        <w:rPr>
          <w:rFonts w:eastAsiaTheme="minorEastAsia"/>
          <w:b/>
          <w:bCs w:val="0"/>
          <w:color w:val="000000" w:themeColor="text1"/>
        </w:rPr>
        <w:t xml:space="preserve">c </w:t>
      </w:r>
      <w:r w:rsidRPr="0086301E">
        <w:rPr>
          <w:rFonts w:eastAsiaTheme="minorEastAsia"/>
          <w:color w:val="000000" w:themeColor="text1"/>
        </w:rPr>
        <w:t>ROC curve showing good predictive performance.</w:t>
      </w:r>
    </w:p>
    <w:p w14:paraId="77A40EEB" w14:textId="57531D3A" w:rsidR="00D8162B" w:rsidRPr="0086301E" w:rsidRDefault="00D8162B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2A9516E8" w14:textId="77777777" w:rsidR="00D8162B" w:rsidRPr="0086301E" w:rsidRDefault="00D8162B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70B5B0A2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1A598755" wp14:editId="77A994E7">
            <wp:extent cx="5452257" cy="3068782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682" cy="306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62560" w14:textId="54EC5B49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4</w:t>
      </w:r>
      <w:r w:rsidRPr="0086301E">
        <w:rPr>
          <w:rFonts w:eastAsiaTheme="minorEastAsia"/>
          <w:b/>
          <w:bCs w:val="0"/>
          <w:color w:val="000000" w:themeColor="text1"/>
        </w:rPr>
        <w:t>.</w:t>
      </w:r>
      <w:r w:rsidRPr="0086301E">
        <w:rPr>
          <w:color w:val="000000" w:themeColor="text1"/>
        </w:rPr>
        <w:t xml:space="preserve"> </w:t>
      </w:r>
      <w:r w:rsidRPr="0086301E">
        <w:rPr>
          <w:rFonts w:eastAsiaTheme="minorEastAsia"/>
          <w:b/>
          <w:bCs w:val="0"/>
          <w:color w:val="000000" w:themeColor="text1"/>
        </w:rPr>
        <w:t xml:space="preserve">Correlation between immune subtypes and prognosis of GBM. a </w:t>
      </w:r>
      <w:r w:rsidRPr="0086301E">
        <w:rPr>
          <w:rFonts w:eastAsiaTheme="minorEastAsia"/>
          <w:color w:val="000000" w:themeColor="text1"/>
        </w:rPr>
        <w:t xml:space="preserve">Kaplan-Meier curve comparing OS of different immune subtypes in the TCGA cohort. </w:t>
      </w:r>
      <w:r w:rsidRPr="0086301E">
        <w:rPr>
          <w:rFonts w:eastAsiaTheme="minorEastAsia"/>
          <w:b/>
          <w:bCs w:val="0"/>
          <w:color w:val="000000" w:themeColor="text1"/>
        </w:rPr>
        <w:t xml:space="preserve">b </w:t>
      </w:r>
      <w:r w:rsidRPr="0086301E">
        <w:rPr>
          <w:rFonts w:eastAsiaTheme="minorEastAsia"/>
          <w:color w:val="000000" w:themeColor="text1"/>
        </w:rPr>
        <w:t xml:space="preserve">Kaplan-Meier curve comparing OS of different immune subtypes in the REMBRANDT cohort. </w:t>
      </w:r>
    </w:p>
    <w:p w14:paraId="6F14845A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3FC257A1" wp14:editId="1DA8A31E">
            <wp:extent cx="5608320" cy="631324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09" cy="631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65E8B" w14:textId="62E33003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5</w:t>
      </w:r>
      <w:r w:rsidRPr="0086301E">
        <w:rPr>
          <w:rFonts w:eastAsiaTheme="minorEastAsia"/>
          <w:b/>
          <w:bCs w:val="0"/>
          <w:color w:val="000000" w:themeColor="text1"/>
        </w:rPr>
        <w:t xml:space="preserve">. Association of immune subtypes with TMB and mutation in GBM. a,b </w:t>
      </w:r>
      <w:r w:rsidRPr="0086301E">
        <w:rPr>
          <w:rFonts w:eastAsiaTheme="minorEastAsia"/>
          <w:color w:val="000000" w:themeColor="text1"/>
        </w:rPr>
        <w:t>TMB (</w:t>
      </w:r>
      <w:r w:rsidRPr="0086301E">
        <w:rPr>
          <w:rFonts w:eastAsiaTheme="minorEastAsia"/>
          <w:b/>
          <w:bCs w:val="0"/>
          <w:color w:val="000000" w:themeColor="text1"/>
        </w:rPr>
        <w:t>a</w:t>
      </w:r>
      <w:r w:rsidRPr="0086301E">
        <w:rPr>
          <w:rFonts w:eastAsiaTheme="minorEastAsia"/>
          <w:color w:val="000000" w:themeColor="text1"/>
        </w:rPr>
        <w:t>) and mutation number (</w:t>
      </w:r>
      <w:r w:rsidRPr="0086301E">
        <w:rPr>
          <w:rFonts w:eastAsiaTheme="minorEastAsia"/>
          <w:b/>
          <w:bCs w:val="0"/>
          <w:color w:val="000000" w:themeColor="text1"/>
        </w:rPr>
        <w:t>b</w:t>
      </w:r>
      <w:r w:rsidRPr="0086301E">
        <w:rPr>
          <w:rFonts w:eastAsiaTheme="minorEastAsia"/>
          <w:color w:val="000000" w:themeColor="text1"/>
        </w:rPr>
        <w:t>) of different immune subtypes in GBM.</w:t>
      </w:r>
      <w:r w:rsidRPr="0086301E">
        <w:rPr>
          <w:rFonts w:eastAsiaTheme="minorEastAsia"/>
          <w:b/>
          <w:bCs w:val="0"/>
          <w:color w:val="000000" w:themeColor="text1"/>
        </w:rPr>
        <w:t xml:space="preserve"> c </w:t>
      </w:r>
      <w:r w:rsidRPr="0086301E">
        <w:rPr>
          <w:rFonts w:eastAsiaTheme="minorEastAsia"/>
          <w:color w:val="000000" w:themeColor="text1"/>
        </w:rPr>
        <w:t xml:space="preserve">The top 10 frequently mutated genes in GBM immune subtypes. </w:t>
      </w:r>
    </w:p>
    <w:p w14:paraId="3805B910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4E9967FD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69867164" wp14:editId="65B8EBB5">
            <wp:extent cx="2393126" cy="3893128"/>
            <wp:effectExtent l="0" t="0" r="762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883" cy="390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73DA8" w14:textId="23D3A1A3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6</w:t>
      </w:r>
      <w:r w:rsidRPr="0086301E">
        <w:rPr>
          <w:rFonts w:eastAsiaTheme="minorEastAsia"/>
          <w:b/>
          <w:bCs w:val="0"/>
          <w:color w:val="000000" w:themeColor="text1"/>
        </w:rPr>
        <w:t>. Correlation between principal component 1/2 and 21 immune-related molecular signatures.</w:t>
      </w:r>
    </w:p>
    <w:p w14:paraId="584553AF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02376B8E" wp14:editId="2325D02C">
            <wp:extent cx="5274310" cy="3898265"/>
            <wp:effectExtent l="0" t="0" r="2540" b="698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851F0" w14:textId="27963F6B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lastRenderedPageBreak/>
        <w:t>Figure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7</w:t>
      </w:r>
      <w:r w:rsidRPr="0086301E">
        <w:rPr>
          <w:rFonts w:eastAsiaTheme="minorEastAsia"/>
          <w:b/>
          <w:bCs w:val="0"/>
          <w:color w:val="000000" w:themeColor="text1"/>
        </w:rPr>
        <w:t>. Identification of functional immune genes modules in GBM.</w:t>
      </w:r>
      <w:r w:rsidRPr="0086301E">
        <w:rPr>
          <w:color w:val="000000" w:themeColor="text1"/>
        </w:rPr>
        <w:t xml:space="preserve"> </w:t>
      </w:r>
      <w:r w:rsidRPr="0086301E">
        <w:rPr>
          <w:rFonts w:eastAsiaTheme="minorEastAsia"/>
          <w:b/>
          <w:bCs w:val="0"/>
          <w:color w:val="000000" w:themeColor="text1"/>
        </w:rPr>
        <w:t xml:space="preserve">a-c </w:t>
      </w:r>
      <w:r w:rsidRPr="0086301E">
        <w:rPr>
          <w:rFonts w:eastAsiaTheme="minorEastAsia"/>
          <w:color w:val="000000" w:themeColor="text1"/>
        </w:rPr>
        <w:t>Cumulative distribution function curve (</w:t>
      </w:r>
      <w:r w:rsidRPr="0086301E">
        <w:rPr>
          <w:rFonts w:eastAsiaTheme="minorEastAsia"/>
          <w:b/>
          <w:bCs w:val="0"/>
          <w:color w:val="000000" w:themeColor="text1"/>
        </w:rPr>
        <w:t>a</w:t>
      </w:r>
      <w:r w:rsidRPr="0086301E">
        <w:rPr>
          <w:rFonts w:eastAsiaTheme="minorEastAsia"/>
          <w:color w:val="000000" w:themeColor="text1"/>
        </w:rPr>
        <w:t>), delta area curve (</w:t>
      </w:r>
      <w:r w:rsidRPr="0086301E">
        <w:rPr>
          <w:rFonts w:eastAsiaTheme="minorEastAsia"/>
          <w:b/>
          <w:bCs w:val="0"/>
          <w:color w:val="000000" w:themeColor="text1"/>
        </w:rPr>
        <w:t>b</w:t>
      </w:r>
      <w:r w:rsidRPr="0086301E">
        <w:rPr>
          <w:rFonts w:eastAsiaTheme="minorEastAsia"/>
          <w:color w:val="000000" w:themeColor="text1"/>
        </w:rPr>
        <w:t>), and consensus heatmap (</w:t>
      </w:r>
      <w:r w:rsidRPr="0086301E">
        <w:rPr>
          <w:rFonts w:eastAsiaTheme="minorEastAsia"/>
          <w:b/>
          <w:bCs w:val="0"/>
          <w:color w:val="000000" w:themeColor="text1"/>
        </w:rPr>
        <w:t>c</w:t>
      </w:r>
      <w:r w:rsidRPr="0086301E">
        <w:rPr>
          <w:rFonts w:eastAsiaTheme="minorEastAsia"/>
          <w:color w:val="000000" w:themeColor="text1"/>
        </w:rPr>
        <w:t>) of immune-related gene expression profile in the TCGA cohort.</w:t>
      </w:r>
    </w:p>
    <w:p w14:paraId="325C5D93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1C7E8DC5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7CAFFA8E" wp14:editId="062C10E0">
            <wp:extent cx="5274310" cy="687959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7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18F57" w14:textId="7CFE6075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b/>
          <w:bCs w:val="0"/>
          <w:color w:val="000000" w:themeColor="text1"/>
        </w:rPr>
        <w:t>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8</w:t>
      </w:r>
      <w:r w:rsidRPr="0086301E">
        <w:rPr>
          <w:rFonts w:eastAsiaTheme="minorEastAsia"/>
          <w:b/>
          <w:bCs w:val="0"/>
          <w:color w:val="000000" w:themeColor="text1"/>
        </w:rPr>
        <w:t xml:space="preserve">. Relationship between GMs and prognosis of GBM patients in the </w:t>
      </w:r>
      <w:r w:rsidRPr="0086301E">
        <w:rPr>
          <w:rFonts w:eastAsiaTheme="minorEastAsia"/>
          <w:b/>
          <w:bCs w:val="0"/>
          <w:color w:val="000000" w:themeColor="text1"/>
        </w:rPr>
        <w:lastRenderedPageBreak/>
        <w:t xml:space="preserve">TCGA cohort. a-f </w:t>
      </w:r>
      <w:r w:rsidRPr="0086301E">
        <w:rPr>
          <w:rFonts w:eastAsiaTheme="minorEastAsia"/>
          <w:color w:val="000000" w:themeColor="text1"/>
        </w:rPr>
        <w:t>Kaplan-Meier curves showing OS analysis of GM1 (</w:t>
      </w:r>
      <w:r w:rsidRPr="0086301E">
        <w:rPr>
          <w:rFonts w:eastAsiaTheme="minorEastAsia"/>
          <w:b/>
          <w:bCs w:val="0"/>
          <w:color w:val="000000" w:themeColor="text1"/>
        </w:rPr>
        <w:t>a</w:t>
      </w:r>
      <w:r w:rsidRPr="0086301E">
        <w:rPr>
          <w:rFonts w:eastAsiaTheme="minorEastAsia"/>
          <w:color w:val="000000" w:themeColor="text1"/>
        </w:rPr>
        <w:t>), GM3 (</w:t>
      </w:r>
      <w:r w:rsidRPr="0086301E">
        <w:rPr>
          <w:rFonts w:eastAsiaTheme="minorEastAsia"/>
          <w:b/>
          <w:bCs w:val="0"/>
          <w:color w:val="000000" w:themeColor="text1"/>
        </w:rPr>
        <w:t>b</w:t>
      </w:r>
      <w:r w:rsidRPr="0086301E">
        <w:rPr>
          <w:rFonts w:eastAsiaTheme="minorEastAsia"/>
          <w:color w:val="000000" w:themeColor="text1"/>
        </w:rPr>
        <w:t>), GM4 (</w:t>
      </w:r>
      <w:r w:rsidRPr="0086301E">
        <w:rPr>
          <w:rFonts w:eastAsiaTheme="minorEastAsia"/>
          <w:b/>
          <w:bCs w:val="0"/>
          <w:color w:val="000000" w:themeColor="text1"/>
        </w:rPr>
        <w:t>c</w:t>
      </w:r>
      <w:r w:rsidRPr="0086301E">
        <w:rPr>
          <w:rFonts w:eastAsiaTheme="minorEastAsia"/>
          <w:color w:val="000000" w:themeColor="text1"/>
        </w:rPr>
        <w:t>), GM5 (</w:t>
      </w:r>
      <w:r w:rsidRPr="0086301E">
        <w:rPr>
          <w:rFonts w:eastAsiaTheme="minorEastAsia"/>
          <w:b/>
          <w:bCs w:val="0"/>
          <w:color w:val="000000" w:themeColor="text1"/>
        </w:rPr>
        <w:t>d</w:t>
      </w:r>
      <w:r w:rsidRPr="0086301E">
        <w:rPr>
          <w:rFonts w:eastAsiaTheme="minorEastAsia"/>
          <w:color w:val="000000" w:themeColor="text1"/>
        </w:rPr>
        <w:t>), GM6 (</w:t>
      </w:r>
      <w:r w:rsidRPr="0086301E">
        <w:rPr>
          <w:rFonts w:eastAsiaTheme="minorEastAsia"/>
          <w:b/>
          <w:bCs w:val="0"/>
          <w:color w:val="000000" w:themeColor="text1"/>
        </w:rPr>
        <w:t>e</w:t>
      </w:r>
      <w:r w:rsidRPr="0086301E">
        <w:rPr>
          <w:rFonts w:eastAsiaTheme="minorEastAsia"/>
          <w:color w:val="000000" w:themeColor="text1"/>
        </w:rPr>
        <w:t>) and GM7 (</w:t>
      </w:r>
      <w:r w:rsidRPr="0086301E">
        <w:rPr>
          <w:rFonts w:eastAsiaTheme="minor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color w:val="000000" w:themeColor="text1"/>
        </w:rPr>
        <w:t>) in the TCGA cohort.</w:t>
      </w:r>
      <w:r w:rsidRPr="0086301E">
        <w:rPr>
          <w:color w:val="000000" w:themeColor="text1"/>
        </w:rPr>
        <w:t xml:space="preserve"> </w:t>
      </w:r>
      <w:r w:rsidRPr="0086301E">
        <w:rPr>
          <w:rFonts w:eastAsiaTheme="minorEastAsia"/>
          <w:color w:val="000000" w:themeColor="text1"/>
        </w:rPr>
        <w:t>Red lines represented high GM scores, blue represented low GM scores.</w:t>
      </w:r>
    </w:p>
    <w:p w14:paraId="42B4CF1A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2D79F1C3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3A3C8D19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3FFDC7F5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</w:p>
    <w:p w14:paraId="05ECCD9C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63901B71" wp14:editId="2A79B57D">
            <wp:extent cx="2898251" cy="27432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522" cy="274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897B6" w14:textId="672A41A9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9</w:t>
      </w:r>
      <w:r w:rsidRPr="0086301E">
        <w:rPr>
          <w:rFonts w:eastAsiaTheme="minorEastAsia"/>
          <w:b/>
          <w:bCs w:val="0"/>
          <w:color w:val="000000" w:themeColor="text1"/>
        </w:rPr>
        <w:t>. Kaplan-Meier curve showing OS analysis of GM2 in the REMBRANDT cohort.</w:t>
      </w:r>
      <w:r w:rsidRPr="0086301E">
        <w:rPr>
          <w:rFonts w:eastAsiaTheme="minorEastAsia"/>
          <w:b/>
          <w:bCs w:val="0"/>
          <w:color w:val="000000" w:themeColor="text1"/>
        </w:rPr>
        <w:tab/>
      </w:r>
    </w:p>
    <w:p w14:paraId="41010A3E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1A34446B" wp14:editId="623185B3">
            <wp:extent cx="6621942" cy="4966855"/>
            <wp:effectExtent l="0" t="0" r="7620" b="57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97" cy="497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2C04B" w14:textId="638D16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</w:t>
      </w:r>
      <w:r w:rsidR="00D8162B" w:rsidRPr="0086301E">
        <w:rPr>
          <w:rFonts w:eastAsiaTheme="minorEastAsia"/>
          <w:b/>
          <w:bCs w:val="0"/>
          <w:color w:val="000000" w:themeColor="text1"/>
        </w:rPr>
        <w:t>10</w:t>
      </w:r>
      <w:r w:rsidRPr="0086301E">
        <w:rPr>
          <w:rFonts w:eastAsiaTheme="minorEastAsia"/>
          <w:b/>
          <w:bCs w:val="0"/>
          <w:color w:val="000000" w:themeColor="text1"/>
        </w:rPr>
        <w:t>.</w:t>
      </w:r>
      <w:r w:rsidRPr="0086301E">
        <w:rPr>
          <w:rFonts w:eastAsiaTheme="minorEastAsia"/>
          <w:color w:val="000000" w:themeColor="text1"/>
        </w:rPr>
        <w:t xml:space="preserve"> </w:t>
      </w:r>
      <w:r w:rsidRPr="0086301E">
        <w:rPr>
          <w:rFonts w:eastAsiaTheme="minorEastAsia"/>
          <w:b/>
          <w:bCs w:val="0"/>
          <w:color w:val="000000" w:themeColor="text1"/>
        </w:rPr>
        <w:t>Protein-protein interaction network for GM1 genes.</w:t>
      </w:r>
    </w:p>
    <w:p w14:paraId="7EC7D9EE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20E31326" wp14:editId="42625A98">
            <wp:extent cx="6444321" cy="4833628"/>
            <wp:effectExtent l="0" t="0" r="0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651" cy="483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073C0" w14:textId="6645F472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S1</w:t>
      </w:r>
      <w:r w:rsidR="00D8162B" w:rsidRPr="0086301E">
        <w:rPr>
          <w:rFonts w:eastAsiaTheme="minorEastAsia"/>
          <w:b/>
          <w:bCs w:val="0"/>
          <w:color w:val="000000" w:themeColor="text1"/>
        </w:rPr>
        <w:t>1</w:t>
      </w:r>
      <w:r w:rsidRPr="0086301E">
        <w:rPr>
          <w:rFonts w:eastAsiaTheme="minorEastAsia"/>
          <w:b/>
          <w:bCs w:val="0"/>
          <w:color w:val="000000" w:themeColor="text1"/>
        </w:rPr>
        <w:t>.</w:t>
      </w:r>
      <w:r w:rsidRPr="0086301E">
        <w:rPr>
          <w:rFonts w:eastAsiaTheme="minorEastAsia"/>
          <w:color w:val="000000" w:themeColor="text1"/>
        </w:rPr>
        <w:t xml:space="preserve"> </w:t>
      </w:r>
      <w:r w:rsidRPr="0086301E">
        <w:rPr>
          <w:rFonts w:eastAsiaTheme="minorEastAsia"/>
          <w:b/>
          <w:bCs w:val="0"/>
          <w:color w:val="000000" w:themeColor="text1"/>
        </w:rPr>
        <w:t>Protein-protein interaction network for GM2 genes.</w:t>
      </w:r>
    </w:p>
    <w:p w14:paraId="306562FE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523A3F20" wp14:editId="1F949A86">
            <wp:extent cx="5524500" cy="6989098"/>
            <wp:effectExtent l="0" t="0" r="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209" cy="698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386BC" w14:textId="06C7FAC4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S1</w:t>
      </w:r>
      <w:r w:rsidR="00D8162B" w:rsidRPr="0086301E">
        <w:rPr>
          <w:rFonts w:eastAsiaTheme="minorEastAsia"/>
          <w:b/>
          <w:bCs w:val="0"/>
          <w:color w:val="000000" w:themeColor="text1"/>
        </w:rPr>
        <w:t>2</w:t>
      </w:r>
      <w:r w:rsidRPr="0086301E">
        <w:rPr>
          <w:rFonts w:eastAsiaTheme="minorEastAsia"/>
          <w:b/>
          <w:bCs w:val="0"/>
          <w:color w:val="000000" w:themeColor="text1"/>
        </w:rPr>
        <w:t>. Immune hub genes in GBM. a</w:t>
      </w:r>
      <w:r w:rsidRPr="0086301E">
        <w:rPr>
          <w:color w:val="000000" w:themeColor="text1"/>
        </w:rPr>
        <w:t xml:space="preserve"> </w:t>
      </w:r>
      <w:r w:rsidRPr="0086301E">
        <w:rPr>
          <w:rFonts w:eastAsiaTheme="minorEastAsia"/>
          <w:color w:val="000000" w:themeColor="text1"/>
        </w:rPr>
        <w:t>51 hub genes in GM1.</w:t>
      </w:r>
      <w:r w:rsidRPr="0086301E">
        <w:rPr>
          <w:rFonts w:eastAsiaTheme="minorEastAsia"/>
          <w:b/>
          <w:bCs w:val="0"/>
          <w:color w:val="000000" w:themeColor="text1"/>
        </w:rPr>
        <w:t xml:space="preserve"> b </w:t>
      </w:r>
      <w:r w:rsidRPr="0086301E">
        <w:rPr>
          <w:rFonts w:eastAsiaTheme="minorEastAsia"/>
          <w:color w:val="000000" w:themeColor="text1"/>
        </w:rPr>
        <w:t>The top 10 hub genes in GM2.</w:t>
      </w:r>
    </w:p>
    <w:p w14:paraId="02A4B9AF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04742AD2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22F8CFBD" wp14:editId="3E463CF5">
            <wp:extent cx="5274310" cy="6277610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7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B6F43" w14:textId="1FA4B3A5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S1</w:t>
      </w:r>
      <w:r w:rsidR="00D8162B" w:rsidRPr="0086301E">
        <w:rPr>
          <w:rFonts w:eastAsiaTheme="minorEastAsia"/>
          <w:b/>
          <w:bCs w:val="0"/>
          <w:color w:val="000000" w:themeColor="text1"/>
        </w:rPr>
        <w:t>3</w:t>
      </w:r>
      <w:r w:rsidRPr="0086301E">
        <w:rPr>
          <w:rFonts w:eastAsiaTheme="minorEastAsia"/>
          <w:b/>
          <w:bCs w:val="0"/>
          <w:color w:val="000000" w:themeColor="text1"/>
        </w:rPr>
        <w:t xml:space="preserve">. KEGG pathway analysis of DEGs between responders and non-responders. a </w:t>
      </w:r>
      <w:r w:rsidRPr="0086301E">
        <w:rPr>
          <w:rFonts w:eastAsiaTheme="minorEastAsia"/>
          <w:color w:val="000000" w:themeColor="text1"/>
        </w:rPr>
        <w:t xml:space="preserve">KEGG pathway analysis of DEGs in pre-anti-PD-1 treatment samples. </w:t>
      </w:r>
      <w:r w:rsidRPr="0086301E">
        <w:rPr>
          <w:rFonts w:eastAsiaTheme="minorEastAsia"/>
          <w:b/>
          <w:bCs w:val="0"/>
          <w:color w:val="000000" w:themeColor="text1"/>
        </w:rPr>
        <w:t xml:space="preserve">b </w:t>
      </w:r>
      <w:r w:rsidRPr="0086301E">
        <w:rPr>
          <w:rFonts w:eastAsiaTheme="minorEastAsia"/>
          <w:color w:val="000000" w:themeColor="text1"/>
        </w:rPr>
        <w:t>KEGG pathway analysis of DEGs in post-anti-PD-1 treatment samples.</w:t>
      </w:r>
    </w:p>
    <w:p w14:paraId="21085E49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5915D1F0" w14:textId="77777777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279D5ECB" wp14:editId="5B4A58C7">
            <wp:extent cx="3483610" cy="328295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3BF9A" w14:textId="0281D3C8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/>
          <w:b/>
          <w:bCs w:val="0"/>
          <w:color w:val="000000" w:themeColor="text1"/>
        </w:rPr>
        <w:t>Figure S1</w:t>
      </w:r>
      <w:r w:rsidR="00D8162B" w:rsidRPr="0086301E">
        <w:rPr>
          <w:rFonts w:eastAsiaTheme="minorEastAsia"/>
          <w:b/>
          <w:bCs w:val="0"/>
          <w:color w:val="000000" w:themeColor="text1"/>
        </w:rPr>
        <w:t>4</w:t>
      </w:r>
      <w:r w:rsidRPr="0086301E">
        <w:rPr>
          <w:rFonts w:eastAsiaTheme="minorEastAsia"/>
          <w:b/>
          <w:bCs w:val="0"/>
          <w:color w:val="000000" w:themeColor="text1"/>
        </w:rPr>
        <w:t>. Seven candidate antigens detected in the TCGA cohort in relation to T cell receptors Shannon, richness and evenness.</w:t>
      </w:r>
    </w:p>
    <w:p w14:paraId="6F4DAA71" w14:textId="77777777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682F9B12" w14:textId="4722AC88" w:rsidR="00CA1327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096FF614" wp14:editId="3F6237BE">
            <wp:extent cx="5274310" cy="249682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7B772" w14:textId="2C459321" w:rsidR="00BE7D4E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b/>
          <w:bCs w:val="0"/>
          <w:color w:val="000000" w:themeColor="text1"/>
        </w:rPr>
        <w:t xml:space="preserve">igure S15. Association of immune subtypes with TMB and mutation in IDH-wildtype GBM. a,b </w:t>
      </w:r>
      <w:r w:rsidRPr="0086301E">
        <w:rPr>
          <w:rFonts w:eastAsiaTheme="minorEastAsia"/>
          <w:color w:val="000000" w:themeColor="text1"/>
        </w:rPr>
        <w:t>TMB (</w:t>
      </w:r>
      <w:r w:rsidRPr="0086301E">
        <w:rPr>
          <w:rFonts w:eastAsiaTheme="minorEastAsia"/>
          <w:b/>
          <w:bCs w:val="0"/>
          <w:color w:val="000000" w:themeColor="text1"/>
        </w:rPr>
        <w:t>a</w:t>
      </w:r>
      <w:r w:rsidRPr="0086301E">
        <w:rPr>
          <w:rFonts w:eastAsiaTheme="minorEastAsia"/>
          <w:color w:val="000000" w:themeColor="text1"/>
        </w:rPr>
        <w:t>) and mutation number (</w:t>
      </w:r>
      <w:r w:rsidRPr="0086301E">
        <w:rPr>
          <w:rFonts w:eastAsiaTheme="minorEastAsia"/>
          <w:b/>
          <w:bCs w:val="0"/>
          <w:color w:val="000000" w:themeColor="text1"/>
        </w:rPr>
        <w:t>b</w:t>
      </w:r>
      <w:r w:rsidRPr="0086301E">
        <w:rPr>
          <w:rFonts w:eastAsiaTheme="minorEastAsia"/>
          <w:color w:val="000000" w:themeColor="text1"/>
        </w:rPr>
        <w:t>) of different immune subtypes in IDH-wildtype GBM.</w:t>
      </w:r>
    </w:p>
    <w:p w14:paraId="0E6E035C" w14:textId="77777777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47795F99" w14:textId="77777777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728680A6" w14:textId="3CA6462F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284E54D1" wp14:editId="5673EFC8">
            <wp:extent cx="5274310" cy="37820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4DC9" w14:textId="08C18E76" w:rsidR="00631742" w:rsidRPr="0086301E" w:rsidRDefault="00DD2B96" w:rsidP="00631742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b/>
          <w:bCs w:val="0"/>
          <w:color w:val="000000" w:themeColor="text1"/>
        </w:rPr>
        <w:t>igure S16.</w:t>
      </w:r>
      <w:r w:rsidR="00631742" w:rsidRPr="0086301E">
        <w:rPr>
          <w:b/>
          <w:color w:val="000000" w:themeColor="text1"/>
        </w:rPr>
        <w:t xml:space="preserve"> </w:t>
      </w:r>
      <w:r w:rsidR="00631742" w:rsidRPr="0086301E">
        <w:rPr>
          <w:rFonts w:eastAsiaTheme="minorEastAsia"/>
          <w:b/>
          <w:bCs w:val="0"/>
          <w:color w:val="000000" w:themeColor="text1"/>
        </w:rPr>
        <w:t xml:space="preserve">Association between immune subtypes and immunomodulators in IDH-wildtype GBM. a </w:t>
      </w:r>
      <w:r w:rsidR="00631742" w:rsidRPr="0086301E">
        <w:rPr>
          <w:rFonts w:eastAsiaTheme="minorEastAsia"/>
          <w:color w:val="000000" w:themeColor="text1"/>
        </w:rPr>
        <w:t xml:space="preserve">Differences in expression levels of ICP-related genes among immune subtypes in IDH-wildtype GBM. </w:t>
      </w:r>
      <w:r w:rsidR="00631742" w:rsidRPr="0086301E">
        <w:rPr>
          <w:rFonts w:eastAsiaTheme="minorEastAsia"/>
          <w:b/>
          <w:bCs w:val="0"/>
          <w:color w:val="000000" w:themeColor="text1"/>
        </w:rPr>
        <w:t>b</w:t>
      </w:r>
      <w:r w:rsidR="00631742" w:rsidRPr="0086301E">
        <w:rPr>
          <w:rFonts w:eastAsiaTheme="minorEastAsia"/>
          <w:color w:val="000000" w:themeColor="text1"/>
        </w:rPr>
        <w:t xml:space="preserve"> Differences in expression levels of ICD-related genes among immune subtypes in</w:t>
      </w:r>
      <w:r w:rsidR="00631742" w:rsidRPr="0086301E">
        <w:rPr>
          <w:rFonts w:eastAsiaTheme="minorEastAsia"/>
          <w:b/>
          <w:bCs w:val="0"/>
          <w:color w:val="000000" w:themeColor="text1"/>
        </w:rPr>
        <w:t xml:space="preserve"> </w:t>
      </w:r>
      <w:r w:rsidR="00631742" w:rsidRPr="0086301E">
        <w:rPr>
          <w:rFonts w:eastAsiaTheme="minorEastAsia"/>
          <w:color w:val="000000" w:themeColor="text1"/>
        </w:rPr>
        <w:t xml:space="preserve">IDH-wildtype GBM. 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 xml:space="preserve"> &lt; 0.05, **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 xml:space="preserve"> &lt; 0.01, ***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 xml:space="preserve"> &lt; 0.001, ****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> &lt; 0.0001</w:t>
      </w:r>
    </w:p>
    <w:p w14:paraId="51DF4679" w14:textId="5BA0F049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4782F320" w14:textId="26DAC529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31CA6F11" w14:textId="6939C5EC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48489319" wp14:editId="24A89D55">
            <wp:extent cx="5274310" cy="69640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6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DEC4B" w14:textId="7CBCE501" w:rsidR="00631742" w:rsidRPr="0086301E" w:rsidRDefault="00DD2B96" w:rsidP="00631742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b/>
          <w:bCs w:val="0"/>
          <w:color w:val="000000" w:themeColor="text1"/>
        </w:rPr>
        <w:t>igure S17.</w:t>
      </w:r>
      <w:r w:rsidR="00631742" w:rsidRPr="0086301E">
        <w:rPr>
          <w:b/>
          <w:color w:val="000000" w:themeColor="text1"/>
        </w:rPr>
        <w:t xml:space="preserve"> </w:t>
      </w:r>
      <w:r w:rsidR="00631742" w:rsidRPr="0086301E">
        <w:rPr>
          <w:rFonts w:eastAsiaTheme="minorEastAsia"/>
          <w:b/>
          <w:bCs w:val="0"/>
          <w:color w:val="000000" w:themeColor="text1"/>
        </w:rPr>
        <w:t xml:space="preserve">Cellular and molecular characteristic of immune subtypes in IDH-wildtype GBM. a </w:t>
      </w:r>
      <w:r w:rsidR="00631742" w:rsidRPr="0086301E">
        <w:rPr>
          <w:rFonts w:eastAsiaTheme="minorEastAsia"/>
          <w:color w:val="000000" w:themeColor="text1"/>
        </w:rPr>
        <w:t>Heatmap of 28 previously reported immune cell signatures scores among immune subtypes in IDH-wildtype GBM.</w:t>
      </w:r>
      <w:r w:rsidR="00631742" w:rsidRPr="0086301E">
        <w:rPr>
          <w:rFonts w:eastAsiaTheme="minorEastAsia"/>
          <w:b/>
          <w:bCs w:val="0"/>
          <w:color w:val="000000" w:themeColor="text1"/>
        </w:rPr>
        <w:t xml:space="preserve"> b </w:t>
      </w:r>
      <w:r w:rsidR="00631742" w:rsidRPr="0086301E">
        <w:rPr>
          <w:rFonts w:eastAsiaTheme="minorEastAsia"/>
          <w:color w:val="000000" w:themeColor="text1"/>
        </w:rPr>
        <w:t xml:space="preserve">Differences of 28 immune cell signatures scores among immune subtypes in IDH-wildtype GBM. </w:t>
      </w:r>
      <w:r w:rsidR="00631742" w:rsidRPr="0086301E">
        <w:rPr>
          <w:rFonts w:eastAsiaTheme="minorEastAsia" w:hint="eastAsia"/>
          <w:b/>
          <w:bCs w:val="0"/>
          <w:color w:val="000000" w:themeColor="text1"/>
        </w:rPr>
        <w:t>c</w:t>
      </w:r>
      <w:r w:rsidR="00631742" w:rsidRPr="0086301E">
        <w:rPr>
          <w:rFonts w:eastAsiaTheme="minorEastAsia"/>
          <w:color w:val="000000" w:themeColor="text1"/>
        </w:rPr>
        <w:t xml:space="preserve"> The distribution </w:t>
      </w:r>
      <w:r w:rsidR="00631742" w:rsidRPr="0086301E">
        <w:rPr>
          <w:rFonts w:eastAsiaTheme="minorEastAsia"/>
          <w:color w:val="000000" w:themeColor="text1"/>
        </w:rPr>
        <w:lastRenderedPageBreak/>
        <w:t xml:space="preserve">of </w:t>
      </w:r>
      <w:r w:rsidR="006F04AB" w:rsidRPr="0086301E">
        <w:rPr>
          <w:rFonts w:eastAsiaTheme="minorEastAsia"/>
          <w:b/>
          <w:bCs w:val="0"/>
          <w:color w:val="000000" w:themeColor="text1"/>
        </w:rPr>
        <w:t>I</w:t>
      </w:r>
      <w:r w:rsidR="006F04AB" w:rsidRPr="0086301E">
        <w:rPr>
          <w:rFonts w:eastAsiaTheme="minorEastAsia"/>
          <w:color w:val="000000" w:themeColor="text1"/>
        </w:rPr>
        <w:t>DH-wildtype GBM</w:t>
      </w:r>
      <w:r w:rsidR="00631742" w:rsidRPr="0086301E">
        <w:rPr>
          <w:rFonts w:eastAsiaTheme="minorEastAsia"/>
          <w:color w:val="000000" w:themeColor="text1"/>
        </w:rPr>
        <w:t xml:space="preserve"> four immune subtypes in the pan-</w:t>
      </w:r>
      <w:r w:rsidR="00631742" w:rsidRPr="0086301E">
        <w:rPr>
          <w:rFonts w:eastAsiaTheme="minorEastAsia" w:hint="eastAsia"/>
          <w:color w:val="000000" w:themeColor="text1"/>
        </w:rPr>
        <w:t>cancer</w:t>
      </w:r>
      <w:r w:rsidR="00631742" w:rsidRPr="0086301E">
        <w:rPr>
          <w:rFonts w:eastAsiaTheme="minorEastAsia"/>
          <w:color w:val="000000" w:themeColor="text1"/>
        </w:rPr>
        <w:t xml:space="preserve"> immune subtypes. </w:t>
      </w:r>
      <w:bookmarkStart w:id="0" w:name="_Hlk77026329"/>
      <w:r w:rsidR="006F04AB" w:rsidRPr="0086301E">
        <w:rPr>
          <w:rFonts w:eastAsiaTheme="minorEastAsia"/>
          <w:b/>
          <w:bCs w:val="0"/>
          <w:color w:val="000000" w:themeColor="text1"/>
        </w:rPr>
        <w:t>d</w:t>
      </w:r>
      <w:r w:rsidR="00631742" w:rsidRPr="0086301E">
        <w:rPr>
          <w:rFonts w:eastAsiaTheme="minorEastAsia"/>
          <w:color w:val="000000" w:themeColor="text1"/>
        </w:rPr>
        <w:t xml:space="preserve"> 21 immune-related molecular signatures with significant differences among </w:t>
      </w:r>
      <w:r w:rsidR="006F04AB" w:rsidRPr="0086301E">
        <w:rPr>
          <w:rFonts w:eastAsiaTheme="minorEastAsia"/>
          <w:color w:val="000000" w:themeColor="text1"/>
        </w:rPr>
        <w:t xml:space="preserve">IDH-wildtype </w:t>
      </w:r>
      <w:r w:rsidR="00631742" w:rsidRPr="0086301E">
        <w:rPr>
          <w:rFonts w:eastAsiaTheme="minorEastAsia"/>
          <w:color w:val="000000" w:themeColor="text1"/>
        </w:rPr>
        <w:t>GBM immune subtypes</w:t>
      </w:r>
      <w:bookmarkEnd w:id="0"/>
      <w:r w:rsidR="00631742" w:rsidRPr="0086301E">
        <w:rPr>
          <w:rFonts w:eastAsiaTheme="minorEastAsia"/>
          <w:color w:val="000000" w:themeColor="text1"/>
        </w:rPr>
        <w:t xml:space="preserve">. 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 xml:space="preserve"> &lt; 0.05, **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 xml:space="preserve"> &lt; 0.01, ***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 xml:space="preserve"> &lt; 0.001, **** </w:t>
      </w:r>
      <w:r w:rsidR="00631742" w:rsidRPr="0086301E">
        <w:rPr>
          <w:rFonts w:eastAsiaTheme="minorEastAsia"/>
          <w:i/>
          <w:iCs/>
          <w:color w:val="000000" w:themeColor="text1"/>
        </w:rPr>
        <w:t>p</w:t>
      </w:r>
      <w:r w:rsidR="00631742" w:rsidRPr="0086301E">
        <w:rPr>
          <w:rFonts w:eastAsiaTheme="minorEastAsia"/>
          <w:color w:val="000000" w:themeColor="text1"/>
        </w:rPr>
        <w:t> &lt; 0.0001</w:t>
      </w:r>
    </w:p>
    <w:p w14:paraId="0057F4B4" w14:textId="2B9EDFAD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00D85DA3" w14:textId="31914EF5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lastRenderedPageBreak/>
        <w:drawing>
          <wp:inline distT="0" distB="0" distL="0" distR="0" wp14:anchorId="5072225A" wp14:editId="2A8707D4">
            <wp:extent cx="5274310" cy="761619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1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8608F" w14:textId="664C3638" w:rsidR="006F04AB" w:rsidRPr="0086301E" w:rsidRDefault="00DD2B96" w:rsidP="006F04AB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b/>
          <w:bCs w:val="0"/>
          <w:color w:val="000000" w:themeColor="text1"/>
        </w:rPr>
        <w:t>igure S18.</w:t>
      </w:r>
      <w:r w:rsidR="006F04AB" w:rsidRPr="0086301E">
        <w:rPr>
          <w:b/>
          <w:color w:val="000000" w:themeColor="text1"/>
        </w:rPr>
        <w:t xml:space="preserve"> 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The immune landscape of IDH-wildtype GBM. a </w:t>
      </w:r>
      <w:r w:rsidR="006F04AB" w:rsidRPr="0086301E">
        <w:rPr>
          <w:rFonts w:eastAsiaTheme="minorEastAsia"/>
          <w:color w:val="000000" w:themeColor="text1"/>
        </w:rPr>
        <w:t xml:space="preserve">The immune landscape of IDH-wildtype GBM. Each dot represents a patient, and different colors represent different immune subtypes. The horizontal axis represents the principal </w:t>
      </w:r>
      <w:r w:rsidR="006F04AB" w:rsidRPr="0086301E">
        <w:rPr>
          <w:rFonts w:eastAsiaTheme="minorEastAsia"/>
          <w:color w:val="000000" w:themeColor="text1"/>
        </w:rPr>
        <w:lastRenderedPageBreak/>
        <w:t>component 1, and the vertical axis represents the principal component 2.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b </w:t>
      </w:r>
      <w:r w:rsidR="006F04AB" w:rsidRPr="0086301E">
        <w:rPr>
          <w:rFonts w:eastAsiaTheme="minorEastAsia"/>
          <w:color w:val="000000" w:themeColor="text1"/>
        </w:rPr>
        <w:t>Correlation between principal component 1/2 and 28 immune cell enrichment scores.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c </w:t>
      </w:r>
      <w:r w:rsidR="006F04AB" w:rsidRPr="0086301E">
        <w:rPr>
          <w:rFonts w:eastAsiaTheme="minorEastAsia"/>
          <w:color w:val="000000" w:themeColor="text1"/>
        </w:rPr>
        <w:t>Immune landscape of the subgroups of IDH-wildtype GBM immune subtypes.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d,e </w:t>
      </w:r>
      <w:r w:rsidR="006F04AB" w:rsidRPr="0086301E">
        <w:rPr>
          <w:rFonts w:eastAsiaTheme="minorEastAsia"/>
          <w:color w:val="000000" w:themeColor="text1"/>
        </w:rPr>
        <w:t xml:space="preserve">Differences of 28 immune cells enrichment scores in the subgroups of IS3 </w:t>
      </w:r>
      <w:r w:rsidR="006F04AB" w:rsidRPr="0086301E">
        <w:rPr>
          <w:rFonts w:eastAsiaTheme="minorEastAsia"/>
          <w:b/>
          <w:bCs w:val="0"/>
          <w:color w:val="000000" w:themeColor="text1"/>
        </w:rPr>
        <w:t>(d)</w:t>
      </w:r>
      <w:r w:rsidR="006F04AB" w:rsidRPr="0086301E">
        <w:rPr>
          <w:rFonts w:eastAsiaTheme="minorEastAsia"/>
          <w:color w:val="000000" w:themeColor="text1"/>
        </w:rPr>
        <w:t xml:space="preserve"> and IS4 </w:t>
      </w:r>
      <w:r w:rsidR="006F04AB" w:rsidRPr="0086301E">
        <w:rPr>
          <w:rFonts w:eastAsiaTheme="minorEastAsia"/>
          <w:b/>
          <w:bCs w:val="0"/>
          <w:color w:val="000000" w:themeColor="text1"/>
        </w:rPr>
        <w:t>(e)</w:t>
      </w:r>
      <w:r w:rsidR="006F04AB" w:rsidRPr="0086301E">
        <w:rPr>
          <w:rFonts w:eastAsiaTheme="minorEastAsia"/>
          <w:color w:val="000000" w:themeColor="text1"/>
        </w:rPr>
        <w:t>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f,g </w:t>
      </w:r>
      <w:r w:rsidR="006F04AB" w:rsidRPr="0086301E">
        <w:rPr>
          <w:rFonts w:eastAsiaTheme="minorEastAsia"/>
          <w:color w:val="000000" w:themeColor="text1"/>
        </w:rPr>
        <w:t>Immune landscape of samples from three extreme locations (</w:t>
      </w:r>
      <w:r w:rsidR="006F04AB" w:rsidRPr="0086301E">
        <w:rPr>
          <w:rFonts w:eastAsiaTheme="minorEastAsia"/>
          <w:b/>
          <w:bCs w:val="0"/>
          <w:color w:val="000000" w:themeColor="text1"/>
        </w:rPr>
        <w:t>f</w:t>
      </w:r>
      <w:r w:rsidR="006F04AB" w:rsidRPr="0086301E">
        <w:rPr>
          <w:rFonts w:eastAsiaTheme="minorEastAsia"/>
          <w:color w:val="000000" w:themeColor="text1"/>
        </w:rPr>
        <w:t>) and their prognostic status (</w:t>
      </w:r>
      <w:r w:rsidR="006F04AB" w:rsidRPr="0086301E">
        <w:rPr>
          <w:rFonts w:eastAsiaTheme="minorEastAsia"/>
          <w:b/>
          <w:bCs w:val="0"/>
          <w:color w:val="000000" w:themeColor="text1"/>
        </w:rPr>
        <w:t>g</w:t>
      </w:r>
      <w:r w:rsidR="006F04AB" w:rsidRPr="0086301E">
        <w:rPr>
          <w:rFonts w:eastAsiaTheme="minorEastAsia"/>
          <w:color w:val="000000" w:themeColor="text1"/>
        </w:rPr>
        <w:t>).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</w:t>
      </w:r>
      <w:r w:rsidR="006F04AB" w:rsidRPr="0086301E">
        <w:rPr>
          <w:rFonts w:eastAsiaTheme="minorEastAsia"/>
          <w:color w:val="000000" w:themeColor="text1"/>
        </w:rPr>
        <w:t xml:space="preserve">- </w:t>
      </w:r>
      <w:r w:rsidR="006F04AB" w:rsidRPr="0086301E">
        <w:rPr>
          <w:rFonts w:eastAsiaTheme="minorEastAsia"/>
          <w:i/>
          <w:iCs/>
          <w:color w:val="000000" w:themeColor="text1"/>
        </w:rPr>
        <w:t>p </w:t>
      </w:r>
      <w:r w:rsidR="006F04AB" w:rsidRPr="0086301E">
        <w:rPr>
          <w:rFonts w:eastAsiaTheme="minorEastAsia"/>
          <w:color w:val="000000" w:themeColor="text1"/>
        </w:rPr>
        <w:t>≥ 0.1, ·</w:t>
      </w:r>
      <w:r w:rsidR="006F04AB" w:rsidRPr="0086301E">
        <w:rPr>
          <w:rFonts w:eastAsiaTheme="minorEastAsia"/>
          <w:i/>
          <w:iCs/>
          <w:color w:val="000000" w:themeColor="text1"/>
        </w:rPr>
        <w:t>p</w:t>
      </w:r>
      <w:r w:rsidR="006F04AB" w:rsidRPr="0086301E">
        <w:rPr>
          <w:rFonts w:eastAsiaTheme="minorEastAsia"/>
          <w:color w:val="000000" w:themeColor="text1"/>
        </w:rPr>
        <w:t xml:space="preserve"> &lt; 0.1, * </w:t>
      </w:r>
      <w:r w:rsidR="006F04AB" w:rsidRPr="0086301E">
        <w:rPr>
          <w:rFonts w:eastAsiaTheme="minorEastAsia"/>
          <w:i/>
          <w:iCs/>
          <w:color w:val="000000" w:themeColor="text1"/>
        </w:rPr>
        <w:t>p</w:t>
      </w:r>
      <w:r w:rsidR="006F04AB" w:rsidRPr="0086301E">
        <w:rPr>
          <w:rFonts w:eastAsiaTheme="minorEastAsia"/>
          <w:color w:val="000000" w:themeColor="text1"/>
        </w:rPr>
        <w:t xml:space="preserve"> &lt; 0.05, ** </w:t>
      </w:r>
      <w:r w:rsidR="006F04AB" w:rsidRPr="0086301E">
        <w:rPr>
          <w:rFonts w:eastAsiaTheme="minorEastAsia"/>
          <w:i/>
          <w:iCs/>
          <w:color w:val="000000" w:themeColor="text1"/>
        </w:rPr>
        <w:t>p</w:t>
      </w:r>
      <w:r w:rsidR="006F04AB" w:rsidRPr="0086301E">
        <w:rPr>
          <w:rFonts w:eastAsiaTheme="minorEastAsia"/>
          <w:color w:val="000000" w:themeColor="text1"/>
        </w:rPr>
        <w:t xml:space="preserve"> &lt; 0.01, *** </w:t>
      </w:r>
      <w:r w:rsidR="006F04AB" w:rsidRPr="0086301E">
        <w:rPr>
          <w:rFonts w:eastAsiaTheme="minorEastAsia"/>
          <w:i/>
          <w:iCs/>
          <w:color w:val="000000" w:themeColor="text1"/>
        </w:rPr>
        <w:t>p</w:t>
      </w:r>
      <w:r w:rsidR="006F04AB" w:rsidRPr="0086301E">
        <w:rPr>
          <w:rFonts w:eastAsiaTheme="minorEastAsia"/>
          <w:color w:val="000000" w:themeColor="text1"/>
        </w:rPr>
        <w:t xml:space="preserve"> &lt; 0.001</w:t>
      </w:r>
    </w:p>
    <w:p w14:paraId="21504DF6" w14:textId="1EBE4630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049752B1" w14:textId="66402696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noProof/>
          <w:color w:val="000000" w:themeColor="text1"/>
          <w:lang w:eastAsia="en-US"/>
        </w:rPr>
        <w:drawing>
          <wp:inline distT="0" distB="0" distL="0" distR="0" wp14:anchorId="721A8603" wp14:editId="45417FA9">
            <wp:extent cx="4762500" cy="5635185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451" cy="563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08630" w14:textId="2177CBBD" w:rsidR="006F04AB" w:rsidRPr="0086301E" w:rsidRDefault="00DD2B96" w:rsidP="006F04AB">
      <w:pPr>
        <w:pStyle w:val="timenewroman"/>
        <w:tabs>
          <w:tab w:val="left" w:pos="2617"/>
        </w:tabs>
        <w:spacing w:line="480" w:lineRule="auto"/>
        <w:rPr>
          <w:rFonts w:eastAsiaTheme="minorEastAsia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F</w:t>
      </w:r>
      <w:r w:rsidRPr="0086301E">
        <w:rPr>
          <w:rFonts w:eastAsiaTheme="minorEastAsia"/>
          <w:b/>
          <w:bCs w:val="0"/>
          <w:color w:val="000000" w:themeColor="text1"/>
        </w:rPr>
        <w:t>igure S19</w:t>
      </w:r>
      <w:r w:rsidR="006F04AB" w:rsidRPr="0086301E">
        <w:rPr>
          <w:rFonts w:eastAsiaTheme="minorEastAsia"/>
          <w:b/>
          <w:bCs w:val="0"/>
          <w:color w:val="000000" w:themeColor="text1"/>
        </w:rPr>
        <w:t>.</w:t>
      </w:r>
      <w:r w:rsidR="006F04AB" w:rsidRPr="0086301E">
        <w:rPr>
          <w:b/>
          <w:color w:val="000000" w:themeColor="text1"/>
        </w:rPr>
        <w:t xml:space="preserve"> 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Functional immune genes modules in IDH-wildtype GBM. a </w:t>
      </w:r>
      <w:r w:rsidR="006F04AB" w:rsidRPr="0086301E">
        <w:rPr>
          <w:rFonts w:eastAsiaTheme="minorEastAsia"/>
          <w:color w:val="000000" w:themeColor="text1"/>
        </w:rPr>
        <w:t xml:space="preserve">Heatmap </w:t>
      </w:r>
      <w:r w:rsidR="006F04AB" w:rsidRPr="0086301E">
        <w:rPr>
          <w:rFonts w:eastAsiaTheme="minorEastAsia"/>
          <w:color w:val="000000" w:themeColor="text1"/>
        </w:rPr>
        <w:lastRenderedPageBreak/>
        <w:t>of four immune subtypes and seven gene modules in IDH-wildtype GBM. Genes are ordered based on the gene modules, and patients are arranged based on their immune subtypes.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b </w:t>
      </w:r>
      <w:r w:rsidR="006F04AB" w:rsidRPr="0086301E">
        <w:rPr>
          <w:rFonts w:eastAsiaTheme="minorEastAsia"/>
          <w:color w:val="000000" w:themeColor="text1"/>
        </w:rPr>
        <w:t xml:space="preserve">Box plots of the expression patterns of seven gene modules of four immune subtypes in </w:t>
      </w:r>
      <w:r w:rsidR="0004302D" w:rsidRPr="0086301E">
        <w:rPr>
          <w:rFonts w:eastAsiaTheme="minorEastAsia"/>
          <w:color w:val="000000" w:themeColor="text1"/>
        </w:rPr>
        <w:t>IDH-wildtype GBM.</w:t>
      </w:r>
      <w:r w:rsidR="006F04AB" w:rsidRPr="0086301E">
        <w:rPr>
          <w:rFonts w:eastAsiaTheme="minorEastAsia"/>
          <w:b/>
          <w:bCs w:val="0"/>
          <w:color w:val="000000" w:themeColor="text1"/>
        </w:rPr>
        <w:t xml:space="preserve"> </w:t>
      </w:r>
      <w:r w:rsidR="006F04AB" w:rsidRPr="0086301E">
        <w:rPr>
          <w:rFonts w:eastAsiaTheme="minorEastAsia"/>
          <w:color w:val="000000" w:themeColor="text1"/>
        </w:rPr>
        <w:t xml:space="preserve">**** </w:t>
      </w:r>
      <w:r w:rsidR="006F04AB" w:rsidRPr="0086301E">
        <w:rPr>
          <w:rFonts w:eastAsiaTheme="minorEastAsia"/>
          <w:i/>
          <w:iCs/>
          <w:color w:val="000000" w:themeColor="text1"/>
        </w:rPr>
        <w:t>p</w:t>
      </w:r>
      <w:r w:rsidR="006F04AB" w:rsidRPr="0086301E">
        <w:rPr>
          <w:rFonts w:eastAsiaTheme="minorEastAsia"/>
          <w:color w:val="000000" w:themeColor="text1"/>
        </w:rPr>
        <w:t> &lt; 0.0001</w:t>
      </w:r>
    </w:p>
    <w:p w14:paraId="08827489" w14:textId="77777777" w:rsidR="00DD2B96" w:rsidRPr="0086301E" w:rsidRDefault="00DD2B96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</w:p>
    <w:p w14:paraId="5B88EE29" w14:textId="6C96DC18" w:rsidR="00CA1327" w:rsidRPr="0086301E" w:rsidRDefault="00CA1327" w:rsidP="00CA1327">
      <w:pPr>
        <w:pStyle w:val="timenewroman"/>
        <w:tabs>
          <w:tab w:val="left" w:pos="2617"/>
        </w:tabs>
        <w:spacing w:line="480" w:lineRule="auto"/>
        <w:rPr>
          <w:rFonts w:eastAsiaTheme="minorEastAsia"/>
          <w:b/>
          <w:bCs w:val="0"/>
          <w:color w:val="000000" w:themeColor="text1"/>
        </w:rPr>
      </w:pPr>
      <w:r w:rsidRPr="0086301E">
        <w:rPr>
          <w:rFonts w:eastAsiaTheme="minorEastAsia" w:hint="eastAsia"/>
          <w:b/>
          <w:bCs w:val="0"/>
          <w:color w:val="000000" w:themeColor="text1"/>
        </w:rPr>
        <w:t>Supplementary</w:t>
      </w:r>
      <w:r w:rsidRPr="0086301E">
        <w:rPr>
          <w:rFonts w:eastAsiaTheme="minorEastAsia"/>
          <w:b/>
          <w:bCs w:val="0"/>
          <w:color w:val="000000" w:themeColor="text1"/>
        </w:rPr>
        <w:t xml:space="preserve"> </w:t>
      </w:r>
      <w:r w:rsidRPr="0086301E">
        <w:rPr>
          <w:rFonts w:eastAsiaTheme="minorEastAsia" w:hint="eastAsia"/>
          <w:b/>
          <w:bCs w:val="0"/>
          <w:color w:val="000000" w:themeColor="text1"/>
        </w:rPr>
        <w:t>tables</w:t>
      </w:r>
    </w:p>
    <w:p w14:paraId="2F258286" w14:textId="77777777" w:rsidR="00CA1327" w:rsidRPr="0086301E" w:rsidRDefault="00CA1327" w:rsidP="00CA1327">
      <w:pPr>
        <w:widowControl/>
        <w:spacing w:before="166" w:after="166"/>
        <w:jc w:val="left"/>
        <w:rPr>
          <w:rFonts w:ascii="Times New Roman" w:eastAsia="SimSun" w:hAnsi="Times New Roman"/>
          <w:color w:val="000000" w:themeColor="text1"/>
          <w:kern w:val="0"/>
          <w:sz w:val="24"/>
          <w:szCs w:val="24"/>
        </w:rPr>
      </w:pPr>
      <w:r w:rsidRPr="0086301E">
        <w:rPr>
          <w:rFonts w:ascii="Times New Roman" w:eastAsia="SimSun" w:hAnsi="Times New Roman"/>
          <w:color w:val="000000" w:themeColor="text1"/>
          <w:kern w:val="0"/>
          <w:sz w:val="24"/>
          <w:szCs w:val="24"/>
        </w:rPr>
        <w:t>Table S1. Clinical characteristics of GBM patients in the TCGA cohort, REMBRANDT cohort and PD-1 inhibitor cohort.</w:t>
      </w:r>
    </w:p>
    <w:tbl>
      <w:tblPr>
        <w:tblStyle w:val="1"/>
        <w:tblW w:w="8306" w:type="dxa"/>
        <w:tblLook w:val="04A0" w:firstRow="1" w:lastRow="0" w:firstColumn="1" w:lastColumn="0" w:noHBand="0" w:noVBand="1"/>
      </w:tblPr>
      <w:tblGrid>
        <w:gridCol w:w="2302"/>
        <w:gridCol w:w="1897"/>
        <w:gridCol w:w="2180"/>
        <w:gridCol w:w="1927"/>
      </w:tblGrid>
      <w:tr w:rsidR="0086301E" w:rsidRPr="0086301E" w14:paraId="220B2DEA" w14:textId="77777777" w:rsidTr="00C53BB1"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0D0A2C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C1C5E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TCGA cohort (N=143)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9089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REMBRANDT cohort (N=181)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B0C15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D-1 inhibitor cohort</w:t>
            </w:r>
            <w:r w:rsidRPr="0086301E">
              <w:rPr>
                <w:rFonts w:ascii="Times New Roman" w:eastAsia="SimSun" w:hAnsi="Times New Roman" w:hint="eastAsia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(N=17)</w:t>
            </w:r>
          </w:p>
        </w:tc>
      </w:tr>
      <w:tr w:rsidR="0086301E" w:rsidRPr="0086301E" w14:paraId="69BCDBFB" w14:textId="77777777" w:rsidTr="00C53BB1"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ED2AE6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 xml:space="preserve">Age 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937892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2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1~89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8549A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7C352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3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</w:t>
            </w: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86301E" w:rsidRPr="0086301E" w14:paraId="186B5353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0D50190F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≤60 years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54DE0500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77 (53.85%)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6472C5D0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221B9D39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9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(52.94%)</w:t>
            </w:r>
          </w:p>
        </w:tc>
      </w:tr>
      <w:tr w:rsidR="0086301E" w:rsidRPr="0086301E" w14:paraId="629BB65C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686852CB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&gt;60 years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053D2611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66 (46.15%)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15EA185F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50B59ED8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8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(47.06%)</w:t>
            </w:r>
          </w:p>
        </w:tc>
      </w:tr>
      <w:tr w:rsidR="0086301E" w:rsidRPr="0086301E" w14:paraId="609B6D1B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0AAFC4DC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141FF2CF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28B29C3C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72063A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6301E" w:rsidRPr="0086301E" w14:paraId="2506D136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45B59F8B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63B65F33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94 (65.73%)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666F2135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5059EDDB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9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(52.94%)</w:t>
            </w:r>
          </w:p>
        </w:tc>
      </w:tr>
      <w:tr w:rsidR="0086301E" w:rsidRPr="0086301E" w14:paraId="5C7D606F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1194D89D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1646CA4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49 (34.27%)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34CA544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510F8C12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8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(47.06%)</w:t>
            </w:r>
          </w:p>
        </w:tc>
      </w:tr>
      <w:tr w:rsidR="0086301E" w:rsidRPr="0086301E" w14:paraId="2EB31EB9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50E9709E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 xml:space="preserve">IDH1 status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269245A0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5485D800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2DBC5FC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6301E" w:rsidRPr="0086301E" w14:paraId="6B7C52F8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28AE7959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Mutant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872128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6 (4.20%)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5B3D1ADB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523C39A5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61BA61D7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1B87E0BE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Wild-type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6C59B2F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133 (93.00%)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25DF42D3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01136FF3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17100053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46486786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N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62B84CA1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4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(2.80%)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5360AB3B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3E95E21B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6B55E3D7" w14:textId="77777777" w:rsidTr="0004302D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5BE933D0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MGMT status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1C758D3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64B7BBA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77A7618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6301E" w:rsidRPr="0086301E" w14:paraId="6129008C" w14:textId="77777777" w:rsidTr="0004302D"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2A0EC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Methylated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4544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49 (34.27%)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1F9C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7A31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6F0A348C" w14:textId="77777777" w:rsidTr="0004302D">
        <w:tc>
          <w:tcPr>
            <w:tcW w:w="23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06EE78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lastRenderedPageBreak/>
              <w:t>Unmethylated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77C3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62 (43.36%)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4FEF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5C09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016FFF5C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758EDAF0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N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0472219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3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2 (22.37%)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297FC08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2509BBA2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59F1A768" w14:textId="77777777" w:rsidTr="00BE7D4E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40A4272A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CIMP status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747F5FAE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55869151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2681BB0D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6301E" w:rsidRPr="0086301E" w14:paraId="20500B7D" w14:textId="77777777" w:rsidTr="0004302D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26B017C6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G-CIMP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C8CDC59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8 (5.60%)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52EE1EDE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8 (4.42%)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14231101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525E623F" w14:textId="77777777" w:rsidTr="0004302D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39D56FC3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Non-G-CIMP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C2D4BE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135 (94.40%)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00C5C260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173 (95.58%)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3DBE8E1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492C73EF" w14:textId="77777777" w:rsidTr="0004302D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09EBF849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Vital status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3CA0C37D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7E786A5F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C95C82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6301E" w:rsidRPr="0086301E" w14:paraId="3DB805DB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496863BA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Alive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4C6B07C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50 (34.97%)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156D5DB1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9 (4.97%)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1FAFFE35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9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(52.94%)</w:t>
            </w:r>
          </w:p>
        </w:tc>
      </w:tr>
      <w:tr w:rsidR="0086301E" w:rsidRPr="0086301E" w14:paraId="77B63441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57C56ACA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Dead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B9EA51E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93 (65.03%)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203152A8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172 (95.03%)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1F3CB9F2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8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 (47.06%)</w:t>
            </w:r>
          </w:p>
        </w:tc>
      </w:tr>
      <w:tr w:rsidR="0086301E" w:rsidRPr="0086301E" w14:paraId="3ED23EF6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23FF9C6C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b/>
                <w:bCs/>
                <w:color w:val="000000" w:themeColor="text1"/>
                <w:sz w:val="24"/>
                <w:szCs w:val="24"/>
              </w:rPr>
              <w:t>Subtype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2020A9FC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2025FEB7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CA987F9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6301E" w:rsidRPr="0086301E" w14:paraId="664AD34B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22C6459A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Classical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2B68DD71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55 (38.46%)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7104103D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63 (34.81%)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3EFEC58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637224CD" w14:textId="77777777" w:rsidTr="00C53BB1"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</w:tcPr>
          <w:p w14:paraId="5F98D097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Mesenchymal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048723B9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48 (33.57%)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</w:tcPr>
          <w:p w14:paraId="4F723524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59 (32.60%)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B6D841C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86301E" w:rsidRPr="0086301E" w14:paraId="54562D95" w14:textId="77777777" w:rsidTr="00C53BB1"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AA56A" w14:textId="77777777" w:rsidR="00CA1327" w:rsidRPr="0086301E" w:rsidRDefault="00CA1327" w:rsidP="00C53BB1">
            <w:pPr>
              <w:widowControl/>
              <w:spacing w:before="166" w:after="166"/>
              <w:jc w:val="left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Proneural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A89E4A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40 (27.97%)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D3B00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59 (32.59%)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5D38BB" w14:textId="77777777" w:rsidR="00CA1327" w:rsidRPr="0086301E" w:rsidRDefault="00CA1327" w:rsidP="00C53BB1">
            <w:pPr>
              <w:widowControl/>
              <w:spacing w:before="166" w:after="166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091F8A32" w14:textId="77777777" w:rsidR="00CA1327" w:rsidRPr="0086301E" w:rsidRDefault="00CA1327" w:rsidP="00CA1327">
      <w:pPr>
        <w:widowControl/>
        <w:spacing w:before="166" w:after="166" w:line="480" w:lineRule="auto"/>
        <w:jc w:val="left"/>
        <w:rPr>
          <w:rFonts w:ascii="Times New Roman" w:eastAsia="SimSun" w:hAnsi="Times New Roman"/>
          <w:color w:val="000000" w:themeColor="text1"/>
          <w:kern w:val="0"/>
          <w:sz w:val="24"/>
          <w:szCs w:val="24"/>
        </w:rPr>
      </w:pPr>
      <w:r w:rsidRPr="0086301E">
        <w:rPr>
          <w:rFonts w:ascii="Times New Roman" w:eastAsia="SimSun" w:hAnsi="Times New Roman"/>
          <w:color w:val="000000" w:themeColor="text1"/>
          <w:kern w:val="0"/>
          <w:sz w:val="24"/>
          <w:szCs w:val="24"/>
        </w:rPr>
        <w:t>-, data unavailable; NA, nodata.</w:t>
      </w:r>
    </w:p>
    <w:p w14:paraId="1A054435" w14:textId="705B629F" w:rsidR="00CA1327" w:rsidRPr="0086301E" w:rsidRDefault="00CA1327" w:rsidP="00CA1327">
      <w:pPr>
        <w:widowControl/>
        <w:spacing w:before="166" w:after="166" w:line="480" w:lineRule="auto"/>
        <w:jc w:val="left"/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</w:pPr>
      <w:r w:rsidRPr="0086301E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Table S</w:t>
      </w:r>
      <w:r w:rsidR="004D1DCF" w:rsidRPr="0086301E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4</w:t>
      </w:r>
      <w:r w:rsidRPr="0086301E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</w:rPr>
        <w:t>. IGP was estimated for each immune subtype in the validation cohort.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489"/>
        <w:gridCol w:w="1490"/>
        <w:gridCol w:w="1490"/>
        <w:gridCol w:w="1490"/>
      </w:tblGrid>
      <w:tr w:rsidR="0086301E" w:rsidRPr="0086301E" w14:paraId="23D1B351" w14:textId="77777777" w:rsidTr="00C53BB1"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571666E4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Immune subtype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14:paraId="1176172A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I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S1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7A637408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I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S2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54674593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I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S3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</w:tcPr>
          <w:p w14:paraId="18E4FD2F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I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S4</w:t>
            </w:r>
          </w:p>
        </w:tc>
      </w:tr>
      <w:tr w:rsidR="00CA1327" w:rsidRPr="0086301E" w14:paraId="6769CD43" w14:textId="77777777" w:rsidTr="00C53BB1">
        <w:tc>
          <w:tcPr>
            <w:tcW w:w="1838" w:type="dxa"/>
            <w:tcBorders>
              <w:top w:val="single" w:sz="4" w:space="0" w:color="auto"/>
            </w:tcBorders>
          </w:tcPr>
          <w:p w14:paraId="3ED8E997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I</w:t>
            </w: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 xml:space="preserve">GP </w:t>
            </w:r>
            <w:r w:rsidRPr="0086301E">
              <w:rPr>
                <w:rFonts w:ascii="Times New Roman" w:eastAsia="SimSun" w:hAnsi="Times New Roman" w:hint="eastAsia"/>
                <w:color w:val="000000" w:themeColor="text1"/>
                <w:sz w:val="24"/>
                <w:szCs w:val="24"/>
              </w:rPr>
              <w:t>value</w:t>
            </w: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2286246B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0.737</w:t>
            </w: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0F2FD931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0.852</w:t>
            </w: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39ABE8BE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0.774</w:t>
            </w:r>
          </w:p>
        </w:tc>
        <w:tc>
          <w:tcPr>
            <w:tcW w:w="1490" w:type="dxa"/>
            <w:tcBorders>
              <w:top w:val="single" w:sz="4" w:space="0" w:color="auto"/>
            </w:tcBorders>
          </w:tcPr>
          <w:p w14:paraId="130CA6DB" w14:textId="77777777" w:rsidR="00CA1327" w:rsidRPr="0086301E" w:rsidRDefault="00CA1327" w:rsidP="00C53BB1">
            <w:pPr>
              <w:widowControl/>
              <w:spacing w:before="166" w:after="166" w:line="480" w:lineRule="auto"/>
              <w:jc w:val="center"/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eastAsia="SimSun" w:hAnsi="Times New Roman"/>
                <w:color w:val="000000" w:themeColor="text1"/>
                <w:sz w:val="24"/>
                <w:szCs w:val="24"/>
              </w:rPr>
              <w:t>0.495</w:t>
            </w:r>
          </w:p>
        </w:tc>
      </w:tr>
    </w:tbl>
    <w:p w14:paraId="60F47BE6" w14:textId="77777777" w:rsidR="00CA1327" w:rsidRPr="0086301E" w:rsidRDefault="00CA1327" w:rsidP="00CA1327">
      <w:pPr>
        <w:rPr>
          <w:rFonts w:ascii="DengXian" w:eastAsia="DengXian" w:hAnsi="DengXian" w:cs="Times New Roman"/>
          <w:color w:val="000000" w:themeColor="text1"/>
        </w:rPr>
      </w:pPr>
    </w:p>
    <w:p w14:paraId="1E420A5D" w14:textId="77777777" w:rsidR="00CA1327" w:rsidRPr="0086301E" w:rsidRDefault="00CA1327" w:rsidP="00CA1327">
      <w:pPr>
        <w:rPr>
          <w:rFonts w:ascii="DengXian" w:eastAsia="DengXian" w:hAnsi="DengXian" w:cs="Times New Roman"/>
          <w:color w:val="000000" w:themeColor="text1"/>
        </w:rPr>
      </w:pPr>
    </w:p>
    <w:p w14:paraId="66944329" w14:textId="77777777" w:rsidR="00CA1327" w:rsidRPr="0086301E" w:rsidRDefault="00CA1327" w:rsidP="00CA1327">
      <w:pPr>
        <w:rPr>
          <w:rFonts w:ascii="DengXian" w:eastAsia="DengXian" w:hAnsi="DengXian" w:cs="Times New Roman"/>
          <w:color w:val="000000" w:themeColor="text1"/>
        </w:rPr>
      </w:pPr>
    </w:p>
    <w:p w14:paraId="60E170A2" w14:textId="0A69883E" w:rsidR="00CA1327" w:rsidRPr="0086301E" w:rsidRDefault="00CA1327" w:rsidP="00CA1327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 w:rsidRPr="0086301E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Table S</w:t>
      </w:r>
      <w:r w:rsidR="004D1DCF" w:rsidRPr="0086301E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5</w:t>
      </w:r>
      <w:r w:rsidRPr="0086301E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. Functional enrichment analysis of gene modules.</w:t>
      </w:r>
    </w:p>
    <w:tbl>
      <w:tblPr>
        <w:tblStyle w:val="TableGrid"/>
        <w:tblW w:w="10065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032"/>
        <w:gridCol w:w="6473"/>
      </w:tblGrid>
      <w:tr w:rsidR="0086301E" w:rsidRPr="0086301E" w14:paraId="62D7F6A6" w14:textId="77777777" w:rsidTr="00C53BB1">
        <w:trPr>
          <w:jc w:val="center"/>
        </w:trPr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AAD08A" w14:textId="77777777" w:rsidR="00CA1327" w:rsidRPr="0086301E" w:rsidRDefault="00CA1327" w:rsidP="00C53BB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Gene module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B0F283C" w14:textId="77777777" w:rsidR="00CA1327" w:rsidRPr="0086301E" w:rsidRDefault="00CA1327" w:rsidP="00C53BB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Annotation</w:t>
            </w:r>
          </w:p>
        </w:tc>
        <w:tc>
          <w:tcPr>
            <w:tcW w:w="647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F874110" w14:textId="77777777" w:rsidR="00CA1327" w:rsidRPr="0086301E" w:rsidRDefault="00CA1327" w:rsidP="00C53BB1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Top 5 enriched biological processes</w:t>
            </w:r>
          </w:p>
        </w:tc>
      </w:tr>
      <w:tr w:rsidR="0086301E" w:rsidRPr="0086301E" w14:paraId="637C346C" w14:textId="77777777" w:rsidTr="00C53BB1">
        <w:trPr>
          <w:jc w:val="center"/>
        </w:trPr>
        <w:tc>
          <w:tcPr>
            <w:tcW w:w="1560" w:type="dxa"/>
            <w:tcBorders>
              <w:top w:val="single" w:sz="6" w:space="0" w:color="auto"/>
            </w:tcBorders>
            <w:vAlign w:val="center"/>
          </w:tcPr>
          <w:p w14:paraId="121E3778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GM1</w:t>
            </w:r>
          </w:p>
        </w:tc>
        <w:tc>
          <w:tcPr>
            <w:tcW w:w="2032" w:type="dxa"/>
            <w:tcBorders>
              <w:top w:val="single" w:sz="6" w:space="0" w:color="auto"/>
            </w:tcBorders>
            <w:vAlign w:val="center"/>
          </w:tcPr>
          <w:p w14:paraId="2C429F0E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 cell</w:t>
            </w:r>
          </w:p>
        </w:tc>
        <w:tc>
          <w:tcPr>
            <w:tcW w:w="6473" w:type="dxa"/>
            <w:tcBorders>
              <w:top w:val="single" w:sz="6" w:space="0" w:color="auto"/>
            </w:tcBorders>
            <w:vAlign w:val="center"/>
          </w:tcPr>
          <w:p w14:paraId="12DCB93A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GO:0042110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 cell activation</w:t>
            </w:r>
          </w:p>
          <w:p w14:paraId="38BA9114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GO:0051249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regulation of lymphocyte activation</w:t>
            </w:r>
          </w:p>
          <w:p w14:paraId="685C9025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GO:0007159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leukocyte cell-cell adhesion </w:t>
            </w:r>
          </w:p>
          <w:p w14:paraId="4212BA27" w14:textId="77777777" w:rsidR="00CA1327" w:rsidRPr="0086301E" w:rsidRDefault="00CA1327" w:rsidP="00C53BB1">
            <w:pPr>
              <w:spacing w:after="120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GO:0050867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positive regulation of cell activation GO:1903039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positive regulation of leukocyte cell-cell adhesion</w:t>
            </w:r>
          </w:p>
        </w:tc>
      </w:tr>
      <w:tr w:rsidR="0086301E" w:rsidRPr="0086301E" w14:paraId="6FCA83BB" w14:textId="77777777" w:rsidTr="00C53BB1">
        <w:trPr>
          <w:jc w:val="center"/>
        </w:trPr>
        <w:tc>
          <w:tcPr>
            <w:tcW w:w="1560" w:type="dxa"/>
            <w:vAlign w:val="center"/>
          </w:tcPr>
          <w:p w14:paraId="2EF3ED4D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 2</w:t>
            </w:r>
          </w:p>
        </w:tc>
        <w:tc>
          <w:tcPr>
            <w:tcW w:w="2032" w:type="dxa"/>
            <w:vAlign w:val="center"/>
          </w:tcPr>
          <w:p w14:paraId="5EE3632F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Reactive stroma</w:t>
            </w:r>
          </w:p>
        </w:tc>
        <w:tc>
          <w:tcPr>
            <w:tcW w:w="6473" w:type="dxa"/>
            <w:vAlign w:val="center"/>
          </w:tcPr>
          <w:p w14:paraId="5460F576" w14:textId="77777777" w:rsidR="00CA1327" w:rsidRPr="0086301E" w:rsidRDefault="00CA1327" w:rsidP="00C53BB1">
            <w:pPr>
              <w:spacing w:before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GO:0030198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extracellular matrix organization </w:t>
            </w:r>
          </w:p>
          <w:p w14:paraId="26B5A595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GO:0043062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extracellular structure organization </w:t>
            </w:r>
          </w:p>
          <w:p w14:paraId="219E0652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GO:0001667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ameboidal-type cell migration </w:t>
            </w:r>
          </w:p>
          <w:p w14:paraId="46652C50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GO:0050900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leukocyte migration </w:t>
            </w:r>
          </w:p>
          <w:p w14:paraId="3261DF91" w14:textId="77777777" w:rsidR="00CA1327" w:rsidRPr="0086301E" w:rsidRDefault="00CA1327" w:rsidP="00C53BB1">
            <w:pPr>
              <w:spacing w:after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GO:0031589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cell-substrate adhesion </w:t>
            </w:r>
          </w:p>
        </w:tc>
      </w:tr>
      <w:tr w:rsidR="0086301E" w:rsidRPr="0086301E" w14:paraId="30916B9B" w14:textId="77777777" w:rsidTr="00C53BB1">
        <w:trPr>
          <w:jc w:val="center"/>
        </w:trPr>
        <w:tc>
          <w:tcPr>
            <w:tcW w:w="1560" w:type="dxa"/>
            <w:vAlign w:val="center"/>
          </w:tcPr>
          <w:p w14:paraId="472C96C4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 3</w:t>
            </w:r>
          </w:p>
        </w:tc>
        <w:tc>
          <w:tcPr>
            <w:tcW w:w="2032" w:type="dxa"/>
            <w:vAlign w:val="center"/>
          </w:tcPr>
          <w:p w14:paraId="14A0C488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Angiogenesis</w:t>
            </w:r>
          </w:p>
        </w:tc>
        <w:tc>
          <w:tcPr>
            <w:tcW w:w="6473" w:type="dxa"/>
            <w:vAlign w:val="center"/>
          </w:tcPr>
          <w:p w14:paraId="76A05B63" w14:textId="77777777" w:rsidR="00CA1327" w:rsidRPr="0086301E" w:rsidRDefault="00CA1327" w:rsidP="00C53BB1">
            <w:pPr>
              <w:spacing w:before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GO:1901342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vasculature development </w:t>
            </w:r>
          </w:p>
          <w:p w14:paraId="00DED7D6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GO:0045765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angiogenesis </w:t>
            </w:r>
          </w:p>
          <w:p w14:paraId="000ACB64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GO:0001667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ameboidal-type cell migration </w:t>
            </w:r>
          </w:p>
          <w:p w14:paraId="392979F8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GO:0040013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negative regulation of locomotion </w:t>
            </w:r>
          </w:p>
          <w:p w14:paraId="0738FEBE" w14:textId="77777777" w:rsidR="00CA1327" w:rsidRPr="0086301E" w:rsidRDefault="00CA1327" w:rsidP="00C53BB1">
            <w:pPr>
              <w:spacing w:after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GO:0031589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cell-substrate adhesion </w:t>
            </w:r>
          </w:p>
        </w:tc>
      </w:tr>
      <w:tr w:rsidR="0086301E" w:rsidRPr="0086301E" w14:paraId="1BCCE52E" w14:textId="77777777" w:rsidTr="00C53BB1">
        <w:trPr>
          <w:jc w:val="center"/>
        </w:trPr>
        <w:tc>
          <w:tcPr>
            <w:tcW w:w="1560" w:type="dxa"/>
            <w:vAlign w:val="center"/>
          </w:tcPr>
          <w:p w14:paraId="55D9F612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 4</w:t>
            </w:r>
          </w:p>
        </w:tc>
        <w:tc>
          <w:tcPr>
            <w:tcW w:w="2032" w:type="dxa"/>
            <w:vAlign w:val="center"/>
          </w:tcPr>
          <w:p w14:paraId="25C1E56F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" w:name="_Hlk75202241"/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Cell morphogenesis</w:t>
            </w:r>
            <w:bookmarkEnd w:id="1"/>
          </w:p>
        </w:tc>
        <w:tc>
          <w:tcPr>
            <w:tcW w:w="6473" w:type="dxa"/>
            <w:vAlign w:val="center"/>
          </w:tcPr>
          <w:p w14:paraId="1A8BA573" w14:textId="77777777" w:rsidR="00CA1327" w:rsidRPr="0086301E" w:rsidRDefault="00CA1327" w:rsidP="00C53BB1">
            <w:pPr>
              <w:spacing w:before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GO:0022604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cell morphogenesis </w:t>
            </w:r>
          </w:p>
          <w:p w14:paraId="7A56E33F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GO:0048638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developmental growth </w:t>
            </w:r>
          </w:p>
          <w:p w14:paraId="7258EA1C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GO:0007409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axonogenesis </w:t>
            </w:r>
          </w:p>
          <w:p w14:paraId="581A28AF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GO:0007411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axon guidance </w:t>
            </w:r>
          </w:p>
          <w:p w14:paraId="7E97ACCB" w14:textId="77777777" w:rsidR="00CA1327" w:rsidRPr="0086301E" w:rsidRDefault="00CA1327" w:rsidP="00C53BB1">
            <w:pPr>
              <w:spacing w:after="120"/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GO:0010769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cell morphogenesis involved in differentiation </w:t>
            </w:r>
          </w:p>
        </w:tc>
      </w:tr>
      <w:tr w:rsidR="0086301E" w:rsidRPr="0086301E" w14:paraId="6ECACF93" w14:textId="77777777" w:rsidTr="00C53BB1">
        <w:trPr>
          <w:jc w:val="center"/>
        </w:trPr>
        <w:tc>
          <w:tcPr>
            <w:tcW w:w="1560" w:type="dxa"/>
            <w:vAlign w:val="center"/>
          </w:tcPr>
          <w:p w14:paraId="1E80CBE3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 5</w:t>
            </w:r>
          </w:p>
        </w:tc>
        <w:tc>
          <w:tcPr>
            <w:tcW w:w="2032" w:type="dxa"/>
            <w:vAlign w:val="center"/>
          </w:tcPr>
          <w:p w14:paraId="4E1A8374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" w:name="_Hlk75202257"/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IFN-γ</w:t>
            </w:r>
            <w:bookmarkEnd w:id="2"/>
          </w:p>
        </w:tc>
        <w:tc>
          <w:tcPr>
            <w:tcW w:w="6473" w:type="dxa"/>
            <w:vAlign w:val="center"/>
          </w:tcPr>
          <w:p w14:paraId="6A31D79F" w14:textId="77777777" w:rsidR="00CA1327" w:rsidRPr="0086301E" w:rsidRDefault="00CA1327" w:rsidP="00C53BB1">
            <w:pPr>
              <w:spacing w:before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GO:0060337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type I interferon signaling pathway </w:t>
            </w:r>
          </w:p>
          <w:p w14:paraId="1529F0D7" w14:textId="77777777" w:rsidR="00CA1327" w:rsidRPr="0086301E" w:rsidRDefault="00CA1327" w:rsidP="00C53BB1">
            <w:pPr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GO:0051607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defense response to virus </w:t>
            </w:r>
          </w:p>
          <w:p w14:paraId="0509282C" w14:textId="77777777" w:rsidR="00CA1327" w:rsidRPr="0086301E" w:rsidRDefault="00CA1327" w:rsidP="00C53BB1">
            <w:pPr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GO:0071357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cellular response to type I interferon</w:t>
            </w:r>
          </w:p>
          <w:p w14:paraId="4B56DF13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GO:0060333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interferon-gamma-mediated signaling pathway </w:t>
            </w:r>
          </w:p>
          <w:p w14:paraId="5EB8B37E" w14:textId="77777777" w:rsidR="00CA1327" w:rsidRPr="0086301E" w:rsidRDefault="00CA1327" w:rsidP="00C53BB1">
            <w:pPr>
              <w:spacing w:after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GO:0009615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response to virus </w:t>
            </w:r>
          </w:p>
        </w:tc>
      </w:tr>
      <w:tr w:rsidR="0086301E" w:rsidRPr="0086301E" w14:paraId="03E15924" w14:textId="77777777" w:rsidTr="00C53BB1">
        <w:trPr>
          <w:jc w:val="center"/>
        </w:trPr>
        <w:tc>
          <w:tcPr>
            <w:tcW w:w="1560" w:type="dxa"/>
            <w:vAlign w:val="center"/>
          </w:tcPr>
          <w:p w14:paraId="758A1C55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 6</w:t>
            </w:r>
          </w:p>
        </w:tc>
        <w:tc>
          <w:tcPr>
            <w:tcW w:w="2032" w:type="dxa"/>
            <w:vAlign w:val="center"/>
          </w:tcPr>
          <w:p w14:paraId="4E6DD24D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3" w:name="_Hlk75202272"/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SMAD protein phosphorylation</w:t>
            </w:r>
            <w:bookmarkEnd w:id="3"/>
          </w:p>
        </w:tc>
        <w:tc>
          <w:tcPr>
            <w:tcW w:w="6473" w:type="dxa"/>
            <w:vAlign w:val="center"/>
          </w:tcPr>
          <w:p w14:paraId="6629C3B0" w14:textId="77777777" w:rsidR="00CA1327" w:rsidRPr="0086301E" w:rsidRDefault="00CA1327" w:rsidP="00C53BB1">
            <w:pPr>
              <w:spacing w:before="120"/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GO:0010862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positive regulation of pathway-restricted SMAD protein phosphorylation </w:t>
            </w:r>
          </w:p>
          <w:p w14:paraId="6B453078" w14:textId="77777777" w:rsidR="00CA1327" w:rsidRPr="0086301E" w:rsidRDefault="00CA1327" w:rsidP="00C53BB1">
            <w:pPr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GO:0060393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pathway-restricted SMAD protein phosphorylation </w:t>
            </w:r>
          </w:p>
          <w:p w14:paraId="58615D42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GO:0060389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pathway-restricted SMAD protein phosphorylation </w:t>
            </w:r>
          </w:p>
          <w:p w14:paraId="2A439BF2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GO:0007409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axonogenesis </w:t>
            </w:r>
          </w:p>
          <w:p w14:paraId="7EC26D20" w14:textId="77777777" w:rsidR="00CA1327" w:rsidRPr="0086301E" w:rsidRDefault="00CA1327" w:rsidP="00C53BB1">
            <w:pPr>
              <w:spacing w:after="1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GO:0019932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second-messenger-mediated signaling </w:t>
            </w:r>
          </w:p>
        </w:tc>
      </w:tr>
      <w:tr w:rsidR="00CA1327" w:rsidRPr="0086301E" w14:paraId="52BF5F99" w14:textId="77777777" w:rsidTr="00C53BB1">
        <w:trPr>
          <w:jc w:val="center"/>
        </w:trPr>
        <w:tc>
          <w:tcPr>
            <w:tcW w:w="1560" w:type="dxa"/>
            <w:vAlign w:val="center"/>
          </w:tcPr>
          <w:p w14:paraId="77257EEF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GM 7</w:t>
            </w:r>
          </w:p>
        </w:tc>
        <w:tc>
          <w:tcPr>
            <w:tcW w:w="2032" w:type="dxa"/>
            <w:vAlign w:val="center"/>
          </w:tcPr>
          <w:p w14:paraId="74839440" w14:textId="77777777" w:rsidR="00CA1327" w:rsidRPr="0086301E" w:rsidRDefault="00CA1327" w:rsidP="00C53BB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" w:name="_Hlk75202283"/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Antigen processing and presentation</w:t>
            </w:r>
            <w:bookmarkEnd w:id="4"/>
          </w:p>
        </w:tc>
        <w:tc>
          <w:tcPr>
            <w:tcW w:w="6473" w:type="dxa"/>
            <w:vAlign w:val="center"/>
          </w:tcPr>
          <w:p w14:paraId="76DB5E26" w14:textId="77777777" w:rsidR="00CA1327" w:rsidRPr="0086301E" w:rsidRDefault="00CA1327" w:rsidP="00C53BB1">
            <w:pPr>
              <w:spacing w:before="120"/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GO:0002474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antigen processing and presentation of peptide antigen via MHC class I </w:t>
            </w:r>
          </w:p>
          <w:p w14:paraId="58B7BE3B" w14:textId="77777777" w:rsidR="00CA1327" w:rsidRPr="0086301E" w:rsidRDefault="00CA1327" w:rsidP="00C53BB1">
            <w:pPr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GO:0002479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antigen processing and presentation of exogenous peptide antigen via MHC class I, TAP-dependent </w:t>
            </w:r>
          </w:p>
          <w:p w14:paraId="1C09C2F7" w14:textId="77777777" w:rsidR="00CA1327" w:rsidRPr="0086301E" w:rsidRDefault="00CA1327" w:rsidP="00C53BB1">
            <w:pPr>
              <w:ind w:left="1440" w:hangingChars="600" w:hanging="14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GO:0042590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antigen processing and presentation of exogenous 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peptide antigen via MHC class I </w:t>
            </w:r>
          </w:p>
          <w:p w14:paraId="3D8935ED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GO:0002831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regulation of response to biotic stimulus </w:t>
            </w:r>
          </w:p>
          <w:p w14:paraId="53E6A7C7" w14:textId="77777777" w:rsidR="00CA1327" w:rsidRPr="0086301E" w:rsidRDefault="00CA1327" w:rsidP="00C53BB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GO:0031349</w:t>
            </w:r>
            <w:r w:rsidRPr="0086301E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~</w:t>
            </w:r>
            <w:r w:rsidRPr="00863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positive regulation of defense response</w:t>
            </w:r>
            <w:bookmarkStart w:id="5" w:name="_GoBack"/>
            <w:bookmarkEnd w:id="5"/>
          </w:p>
        </w:tc>
      </w:tr>
    </w:tbl>
    <w:p w14:paraId="2B964B63" w14:textId="77777777" w:rsidR="00DA6924" w:rsidRPr="0086301E" w:rsidRDefault="00DA6924">
      <w:pPr>
        <w:rPr>
          <w:color w:val="000000" w:themeColor="text1"/>
        </w:rPr>
      </w:pPr>
    </w:p>
    <w:sectPr w:rsidR="00DA6924" w:rsidRPr="0086301E" w:rsidSect="0086301E">
      <w:footerReference w:type="even" r:id="rId25"/>
      <w:footerReference w:type="default" r:id="rId2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67C1B" w14:textId="77777777" w:rsidR="00E35CC7" w:rsidRDefault="00E35CC7">
      <w:r>
        <w:separator/>
      </w:r>
    </w:p>
  </w:endnote>
  <w:endnote w:type="continuationSeparator" w:id="0">
    <w:p w14:paraId="58ACA4A9" w14:textId="77777777" w:rsidR="00E35CC7" w:rsidRDefault="00E3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253628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3CABA0" w14:textId="77777777" w:rsidR="00CB0BBF" w:rsidRDefault="00BE7D4E" w:rsidP="00047C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890F118" w14:textId="77777777" w:rsidR="00CB0BBF" w:rsidRDefault="0086301E" w:rsidP="00565AC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521359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6C548A" w14:textId="77777777" w:rsidR="00CB0BBF" w:rsidRDefault="00BE7D4E" w:rsidP="00047C4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6301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1F41D5B" w14:textId="77777777" w:rsidR="00CB0BBF" w:rsidRDefault="0086301E" w:rsidP="00565AC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7D840F" w14:textId="77777777" w:rsidR="00E35CC7" w:rsidRDefault="00E35CC7">
      <w:r>
        <w:separator/>
      </w:r>
    </w:p>
  </w:footnote>
  <w:footnote w:type="continuationSeparator" w:id="0">
    <w:p w14:paraId="61D6A1BE" w14:textId="77777777" w:rsidR="00E35CC7" w:rsidRDefault="00E35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4C"/>
    <w:rsid w:val="0004302D"/>
    <w:rsid w:val="002B1E87"/>
    <w:rsid w:val="004D1DCF"/>
    <w:rsid w:val="005F0BF9"/>
    <w:rsid w:val="00631742"/>
    <w:rsid w:val="006F04AB"/>
    <w:rsid w:val="0086301E"/>
    <w:rsid w:val="00BE7D4E"/>
    <w:rsid w:val="00C21ED2"/>
    <w:rsid w:val="00CA1327"/>
    <w:rsid w:val="00CA4AA9"/>
    <w:rsid w:val="00D62F4C"/>
    <w:rsid w:val="00D8162B"/>
    <w:rsid w:val="00DA6924"/>
    <w:rsid w:val="00DD2B96"/>
    <w:rsid w:val="00E3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C6433B"/>
  <w14:defaultImageDpi w14:val="32767"/>
  <w15:chartTrackingRefBased/>
  <w15:docId w15:val="{EA9F5D8F-0801-40F2-8BD9-050ED177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32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newroman">
    <w:name w:val="time new roman"/>
    <w:basedOn w:val="Normal"/>
    <w:link w:val="timenewroman0"/>
    <w:rsid w:val="00CA1327"/>
    <w:rPr>
      <w:rFonts w:ascii="Times New Roman" w:eastAsia="Times New Roman" w:hAnsi="Times New Roman" w:cs="Times New Roman"/>
      <w:bCs/>
      <w:sz w:val="24"/>
      <w:szCs w:val="32"/>
    </w:rPr>
  </w:style>
  <w:style w:type="character" w:customStyle="1" w:styleId="timenewroman0">
    <w:name w:val="time new roman 字符"/>
    <w:basedOn w:val="DefaultParagraphFont"/>
    <w:link w:val="timenewroman"/>
    <w:rsid w:val="00CA1327"/>
    <w:rPr>
      <w:rFonts w:ascii="Times New Roman" w:eastAsia="Times New Roman" w:hAnsi="Times New Roman" w:cs="Times New Roman"/>
      <w:bCs/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CA13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A132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1327"/>
  </w:style>
  <w:style w:type="table" w:styleId="TableGrid">
    <w:name w:val="Table Grid"/>
    <w:basedOn w:val="TableNormal"/>
    <w:uiPriority w:val="39"/>
    <w:qFormat/>
    <w:rsid w:val="00CA1327"/>
    <w:rPr>
      <w:rFonts w:ascii="DengXian" w:eastAsia="DengXian" w:hAnsi="DengXi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qFormat/>
    <w:rsid w:val="00CA132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A1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6.tif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tif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22</Pages>
  <Words>1204</Words>
  <Characters>6864</Characters>
  <Application>Microsoft Office Word</Application>
  <DocSecurity>0</DocSecurity>
  <Lines>57</Lines>
  <Paragraphs>16</Paragraphs>
  <ScaleCrop>false</ScaleCrop>
  <Company/>
  <LinksUpToDate>false</LinksUpToDate>
  <CharactersWithSpaces>8052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Changwu</dc:creator>
  <cp:keywords/>
  <dc:description/>
  <cp:lastModifiedBy>Afifa Farhin M.</cp:lastModifiedBy>
  <cp:revision>8</cp:revision>
  <dcterms:created xsi:type="dcterms:W3CDTF">2021-11-25T02:15:00Z</dcterms:created>
  <dcterms:modified xsi:type="dcterms:W3CDTF">2022-07-04T09:24:00Z</dcterms:modified>
</cp:coreProperties>
</file>