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05260" w14:textId="77777777" w:rsidR="006C633F" w:rsidRDefault="006C633F" w:rsidP="006C633F">
      <w:pPr>
        <w:widowControl/>
        <w:rPr>
          <w:rFonts w:ascii="Arial" w:hAnsi="Arial" w:cs="Arial"/>
          <w:b/>
          <w:bCs/>
          <w:szCs w:val="21"/>
        </w:rPr>
      </w:pPr>
      <w:r w:rsidRPr="00835F30">
        <w:rPr>
          <w:rFonts w:ascii="Arial" w:hAnsi="Arial" w:cs="Arial" w:hint="eastAsia"/>
          <w:b/>
          <w:bCs/>
          <w:szCs w:val="21"/>
        </w:rPr>
        <w:t>S</w:t>
      </w:r>
      <w:r w:rsidRPr="00835F30">
        <w:rPr>
          <w:rFonts w:ascii="Arial" w:hAnsi="Arial" w:cs="Arial"/>
          <w:b/>
          <w:bCs/>
          <w:szCs w:val="21"/>
        </w:rPr>
        <w:t>upplementary figures</w:t>
      </w:r>
    </w:p>
    <w:p w14:paraId="0925163A" w14:textId="77777777" w:rsidR="006C633F" w:rsidRDefault="006C633F" w:rsidP="006C633F">
      <w:pPr>
        <w:widowControl/>
        <w:jc w:val="center"/>
        <w:rPr>
          <w:rFonts w:ascii="Arial" w:hAnsi="Arial" w:cs="Arial"/>
          <w:b/>
          <w:bCs/>
          <w:szCs w:val="21"/>
        </w:rPr>
      </w:pPr>
      <w:r>
        <w:rPr>
          <w:noProof/>
        </w:rPr>
        <w:drawing>
          <wp:inline distT="0" distB="0" distL="0" distR="0" wp14:anchorId="4674A461" wp14:editId="03D2E88C">
            <wp:extent cx="5390984" cy="2223127"/>
            <wp:effectExtent l="0" t="0" r="635" b="6350"/>
            <wp:docPr id="470324206" name="图片 1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324206" name="图片 1" descr="图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612" cy="2248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27161" w14:textId="77777777" w:rsidR="006C633F" w:rsidRDefault="006C633F" w:rsidP="006C633F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/>
          <w:b/>
          <w:bCs/>
          <w:szCs w:val="21"/>
        </w:rPr>
        <w:t xml:space="preserve">Supplementary Fig. 1: </w:t>
      </w:r>
      <w:r w:rsidRPr="00524D88">
        <w:rPr>
          <w:rFonts w:ascii="Arial" w:hAnsi="Arial" w:cs="Arial"/>
          <w:szCs w:val="21"/>
        </w:rPr>
        <w:t>(A) Significant batch effects were observed across samples from distinct patients in GSE30979. (B) Emplo</w:t>
      </w:r>
      <w:r w:rsidRPr="00DC3A3F">
        <w:rPr>
          <w:rFonts w:ascii="Arial" w:hAnsi="Arial" w:cs="Arial"/>
          <w:szCs w:val="21"/>
        </w:rPr>
        <w:t>y</w:t>
      </w:r>
      <w:r>
        <w:rPr>
          <w:rFonts w:ascii="Arial" w:hAnsi="Arial" w:cs="Arial"/>
          <w:szCs w:val="21"/>
        </w:rPr>
        <w:t>ing</w:t>
      </w:r>
      <w:r w:rsidRPr="00DC3A3F">
        <w:rPr>
          <w:rFonts w:ascii="Arial" w:hAnsi="Arial" w:cs="Arial"/>
          <w:szCs w:val="21"/>
        </w:rPr>
        <w:t xml:space="preserve"> the “</w:t>
      </w:r>
      <w:proofErr w:type="spellStart"/>
      <w:r w:rsidRPr="00DC3A3F">
        <w:rPr>
          <w:rFonts w:ascii="Arial" w:hAnsi="Arial" w:cs="Arial"/>
          <w:szCs w:val="21"/>
        </w:rPr>
        <w:t>sva</w:t>
      </w:r>
      <w:proofErr w:type="spellEnd"/>
      <w:r w:rsidRPr="00DC3A3F">
        <w:rPr>
          <w:rFonts w:ascii="Arial" w:hAnsi="Arial" w:cs="Arial"/>
          <w:szCs w:val="21"/>
        </w:rPr>
        <w:t>” package to remove batch effects</w:t>
      </w:r>
      <w:r>
        <w:rPr>
          <w:rFonts w:ascii="Arial" w:hAnsi="Arial" w:cs="Arial"/>
          <w:szCs w:val="21"/>
        </w:rPr>
        <w:t>.</w:t>
      </w:r>
    </w:p>
    <w:p w14:paraId="1A548CED" w14:textId="77777777" w:rsidR="006C633F" w:rsidRDefault="006C633F" w:rsidP="006C633F">
      <w:pPr>
        <w:widowControl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br w:type="page"/>
      </w:r>
    </w:p>
    <w:p w14:paraId="38AF2F26" w14:textId="77777777" w:rsidR="006C633F" w:rsidRDefault="006C633F" w:rsidP="006C633F">
      <w:pPr>
        <w:widowControl/>
        <w:jc w:val="center"/>
        <w:rPr>
          <w:rFonts w:ascii="Arial" w:hAnsi="Arial" w:cs="Arial"/>
          <w:szCs w:val="21"/>
        </w:rPr>
      </w:pPr>
      <w:r>
        <w:rPr>
          <w:noProof/>
        </w:rPr>
        <w:lastRenderedPageBreak/>
        <w:drawing>
          <wp:inline distT="0" distB="0" distL="0" distR="0" wp14:anchorId="4D2FE507" wp14:editId="417210CA">
            <wp:extent cx="5006658" cy="3151915"/>
            <wp:effectExtent l="0" t="0" r="3810" b="0"/>
            <wp:docPr id="985684668" name="图片 12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684668" name="图片 12" descr="图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45" cy="315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0907C" w14:textId="77777777" w:rsidR="006C633F" w:rsidRDefault="006C633F" w:rsidP="006C633F">
      <w:pPr>
        <w:widowControl/>
        <w:spacing w:line="360" w:lineRule="auto"/>
        <w:rPr>
          <w:rFonts w:ascii="Arial" w:hAnsi="Arial" w:cs="Arial"/>
          <w:szCs w:val="21"/>
        </w:rPr>
      </w:pPr>
      <w:r w:rsidRPr="00FD31CB">
        <w:rPr>
          <w:rFonts w:ascii="Arial" w:hAnsi="Arial" w:cs="Arial"/>
          <w:b/>
          <w:bCs/>
          <w:szCs w:val="21"/>
        </w:rPr>
        <w:t>Supplementary Fig.</w:t>
      </w:r>
      <w:r>
        <w:rPr>
          <w:rFonts w:ascii="Arial" w:hAnsi="Arial" w:cs="Arial"/>
          <w:b/>
          <w:bCs/>
          <w:szCs w:val="21"/>
        </w:rPr>
        <w:t xml:space="preserve"> 2</w:t>
      </w:r>
      <w:r w:rsidRPr="00FD31CB">
        <w:rPr>
          <w:rFonts w:ascii="Arial" w:hAnsi="Arial" w:cs="Arial"/>
          <w:b/>
          <w:bCs/>
          <w:szCs w:val="21"/>
        </w:rPr>
        <w:t>:</w:t>
      </w:r>
      <w:r>
        <w:rPr>
          <w:rFonts w:ascii="Arial" w:hAnsi="Arial" w:cs="Arial"/>
          <w:szCs w:val="21"/>
        </w:rPr>
        <w:t xml:space="preserve"> </w:t>
      </w:r>
      <w:r w:rsidRPr="00884696">
        <w:rPr>
          <w:rFonts w:ascii="Arial" w:hAnsi="Arial" w:cs="Arial"/>
          <w:szCs w:val="21"/>
        </w:rPr>
        <w:t>A power of β = 5 was chosen as the optimal soft threshold to ensure a scale-free co-expression network</w:t>
      </w:r>
      <w:r>
        <w:rPr>
          <w:rFonts w:ascii="Arial" w:hAnsi="Arial" w:cs="Arial"/>
          <w:szCs w:val="21"/>
        </w:rPr>
        <w:t>.</w:t>
      </w:r>
    </w:p>
    <w:p w14:paraId="17A3AA0F" w14:textId="77777777" w:rsidR="006C633F" w:rsidRDefault="006C633F" w:rsidP="006C633F">
      <w:pPr>
        <w:widowControl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br w:type="page"/>
      </w:r>
    </w:p>
    <w:p w14:paraId="7CBFC016" w14:textId="77777777" w:rsidR="006C633F" w:rsidRDefault="006C633F" w:rsidP="006C633F">
      <w:pPr>
        <w:widowControl/>
        <w:spacing w:line="360" w:lineRule="auto"/>
        <w:jc w:val="center"/>
        <w:rPr>
          <w:rFonts w:ascii="Arial" w:hAnsi="Arial" w:cs="Arial"/>
          <w:szCs w:val="21"/>
        </w:rPr>
      </w:pPr>
      <w:r>
        <w:rPr>
          <w:noProof/>
        </w:rPr>
        <w:lastRenderedPageBreak/>
        <w:drawing>
          <wp:inline distT="0" distB="0" distL="0" distR="0" wp14:anchorId="4FFAE7A7" wp14:editId="6795DC70">
            <wp:extent cx="5274310" cy="4747895"/>
            <wp:effectExtent l="0" t="0" r="2540" b="0"/>
            <wp:docPr id="2034334086" name="图片 2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334086" name="图片 2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4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90680" w14:textId="77777777" w:rsidR="006C633F" w:rsidRDefault="006C633F" w:rsidP="006C633F">
      <w:pPr>
        <w:widowControl/>
        <w:spacing w:line="360" w:lineRule="auto"/>
        <w:rPr>
          <w:rFonts w:ascii="Arial" w:hAnsi="Arial" w:cs="Arial"/>
          <w:szCs w:val="21"/>
        </w:rPr>
      </w:pPr>
      <w:r w:rsidRPr="00FD31CB">
        <w:rPr>
          <w:rFonts w:ascii="Arial" w:hAnsi="Arial" w:cs="Arial"/>
          <w:b/>
          <w:bCs/>
          <w:szCs w:val="21"/>
        </w:rPr>
        <w:t>Supplementary Fig.</w:t>
      </w:r>
      <w:r>
        <w:rPr>
          <w:rFonts w:ascii="Arial" w:hAnsi="Arial" w:cs="Arial"/>
          <w:b/>
          <w:bCs/>
          <w:szCs w:val="21"/>
        </w:rPr>
        <w:t xml:space="preserve"> 3</w:t>
      </w:r>
      <w:r w:rsidRPr="00FD31CB">
        <w:rPr>
          <w:rFonts w:ascii="Arial" w:hAnsi="Arial" w:cs="Arial"/>
          <w:b/>
          <w:bCs/>
          <w:szCs w:val="21"/>
        </w:rPr>
        <w:t>:</w:t>
      </w:r>
      <w:r>
        <w:rPr>
          <w:rFonts w:ascii="Arial" w:hAnsi="Arial" w:cs="Arial"/>
          <w:szCs w:val="21"/>
        </w:rPr>
        <w:t xml:space="preserve"> </w:t>
      </w:r>
      <w:r w:rsidRPr="00524D88">
        <w:rPr>
          <w:rFonts w:ascii="Arial" w:hAnsi="Arial" w:cs="Arial"/>
          <w:szCs w:val="21"/>
        </w:rPr>
        <w:t xml:space="preserve">(A) The WGCNA algorithm was used to construct a scale-free co-expression network with the transcriptome data. (B) Among the identified gene modules, the blue module exhibited the most significant correlation with hypoxic status (r = 0.98, p = 1e-14). (C) The blue module was considered as a hypoxic module. Following a filtering threshold of MM &gt; 0.9 and GS &gt; 0.9, 279 genes were identified as the hub genes associated with hypoxia. (D) </w:t>
      </w:r>
      <w:proofErr w:type="spellStart"/>
      <w:r w:rsidRPr="00524D88">
        <w:rPr>
          <w:rFonts w:ascii="Arial" w:hAnsi="Arial" w:cs="Arial"/>
          <w:szCs w:val="21"/>
        </w:rPr>
        <w:t>Reactome</w:t>
      </w:r>
      <w:proofErr w:type="spellEnd"/>
      <w:r w:rsidRPr="00524D88">
        <w:rPr>
          <w:rFonts w:ascii="Arial" w:hAnsi="Arial" w:cs="Arial"/>
          <w:szCs w:val="21"/>
        </w:rPr>
        <w:t xml:space="preserve"> enrichment analysis showed that the 279 genes are mainly enriched in “Cell cycle”. (E) All the 279 genes were involved in the differentially expressed genes (DEGs) associated with hypoxia and </w:t>
      </w:r>
      <w:proofErr w:type="spellStart"/>
      <w:r w:rsidRPr="00524D88">
        <w:rPr>
          <w:rFonts w:ascii="Arial" w:hAnsi="Arial" w:cs="Arial"/>
          <w:szCs w:val="21"/>
        </w:rPr>
        <w:t>normoxia</w:t>
      </w:r>
      <w:proofErr w:type="spellEnd"/>
      <w:r w:rsidRPr="00524D88">
        <w:rPr>
          <w:rFonts w:ascii="Arial" w:hAnsi="Arial" w:cs="Arial"/>
          <w:szCs w:val="21"/>
        </w:rPr>
        <w:t xml:space="preserve">. (F) A pie chart depicted the distribution of upregulated genes under hypoxic or </w:t>
      </w:r>
      <w:proofErr w:type="spellStart"/>
      <w:r w:rsidRPr="00524D88">
        <w:rPr>
          <w:rFonts w:ascii="Arial" w:hAnsi="Arial" w:cs="Arial"/>
          <w:szCs w:val="21"/>
        </w:rPr>
        <w:t>normoxic</w:t>
      </w:r>
      <w:proofErr w:type="spellEnd"/>
      <w:r w:rsidRPr="00524D88">
        <w:rPr>
          <w:rFonts w:ascii="Arial" w:hAnsi="Arial" w:cs="Arial"/>
          <w:szCs w:val="21"/>
        </w:rPr>
        <w:t xml:space="preserve"> conditions. (G) A formula was established to quantify the hypoxic status for each sample.</w:t>
      </w:r>
    </w:p>
    <w:p w14:paraId="1DBB35BE" w14:textId="77777777" w:rsidR="006C633F" w:rsidRDefault="006C633F" w:rsidP="006C633F">
      <w:pPr>
        <w:widowControl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br w:type="page"/>
      </w:r>
    </w:p>
    <w:p w14:paraId="32097A50" w14:textId="77777777" w:rsidR="006C633F" w:rsidRPr="00AE6B20" w:rsidRDefault="006C633F" w:rsidP="006C633F">
      <w:pPr>
        <w:widowControl/>
        <w:spacing w:line="360" w:lineRule="auto"/>
        <w:rPr>
          <w:rFonts w:ascii="Arial" w:hAnsi="Arial" w:cs="Arial"/>
          <w:szCs w:val="21"/>
        </w:rPr>
      </w:pPr>
    </w:p>
    <w:p w14:paraId="30A6230F" w14:textId="77777777" w:rsidR="006C633F" w:rsidRDefault="006C633F" w:rsidP="006C633F">
      <w:pPr>
        <w:widowControl/>
        <w:jc w:val="center"/>
        <w:rPr>
          <w:rFonts w:ascii="Arial" w:hAnsi="Arial" w:cs="Arial"/>
          <w:szCs w:val="21"/>
        </w:rPr>
      </w:pPr>
      <w:r>
        <w:rPr>
          <w:noProof/>
        </w:rPr>
        <w:drawing>
          <wp:inline distT="0" distB="0" distL="0" distR="0" wp14:anchorId="7B36AEAB" wp14:editId="7BD7CB3B">
            <wp:extent cx="4444779" cy="5569354"/>
            <wp:effectExtent l="0" t="0" r="0" b="0"/>
            <wp:docPr id="761977853" name="图片 3" descr="日历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977853" name="图片 3" descr="日历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445" cy="5571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BC1AD" w14:textId="77777777" w:rsidR="006C633F" w:rsidRDefault="006C633F" w:rsidP="006C633F">
      <w:pPr>
        <w:widowControl/>
        <w:spacing w:line="360" w:lineRule="auto"/>
        <w:rPr>
          <w:rFonts w:ascii="Arial" w:hAnsi="Arial" w:cs="Arial"/>
          <w:szCs w:val="21"/>
        </w:rPr>
      </w:pPr>
      <w:r w:rsidRPr="00FD31CB">
        <w:rPr>
          <w:rFonts w:ascii="Arial" w:hAnsi="Arial" w:cs="Arial"/>
          <w:b/>
          <w:bCs/>
          <w:szCs w:val="21"/>
        </w:rPr>
        <w:t xml:space="preserve">Supplementary Fig. </w:t>
      </w:r>
      <w:r>
        <w:rPr>
          <w:rFonts w:ascii="Arial" w:hAnsi="Arial" w:cs="Arial"/>
          <w:b/>
          <w:bCs/>
          <w:szCs w:val="21"/>
        </w:rPr>
        <w:t>4</w:t>
      </w:r>
      <w:r w:rsidRPr="00FD31CB">
        <w:rPr>
          <w:rFonts w:ascii="Arial" w:hAnsi="Arial" w:cs="Arial"/>
          <w:b/>
          <w:bCs/>
          <w:szCs w:val="21"/>
        </w:rPr>
        <w:t>:</w:t>
      </w:r>
      <w:r>
        <w:rPr>
          <w:rFonts w:ascii="Arial" w:hAnsi="Arial" w:cs="Arial"/>
          <w:szCs w:val="21"/>
        </w:rPr>
        <w:t xml:space="preserve"> (A - D) More details of the frequently mutated genes in each subtype across the pan-cancer cohort. (E) A landscape of focal SCNA levels in the four subtypes in the TCGA-LUAD cohort.</w:t>
      </w:r>
    </w:p>
    <w:p w14:paraId="2261F1C6" w14:textId="77777777" w:rsidR="006C633F" w:rsidRDefault="006C633F" w:rsidP="006C633F">
      <w:pPr>
        <w:widowControl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br w:type="page"/>
      </w:r>
    </w:p>
    <w:p w14:paraId="22851060" w14:textId="77777777" w:rsidR="006C633F" w:rsidRDefault="006C633F" w:rsidP="006C633F">
      <w:pPr>
        <w:widowControl/>
        <w:jc w:val="center"/>
        <w:rPr>
          <w:rFonts w:ascii="Arial" w:hAnsi="Arial" w:cs="Arial"/>
          <w:szCs w:val="21"/>
        </w:rPr>
      </w:pPr>
      <w:r>
        <w:rPr>
          <w:noProof/>
        </w:rPr>
        <w:lastRenderedPageBreak/>
        <w:drawing>
          <wp:inline distT="0" distB="0" distL="0" distR="0" wp14:anchorId="209C930B" wp14:editId="31C1C32C">
            <wp:extent cx="5274310" cy="4937125"/>
            <wp:effectExtent l="0" t="0" r="2540" b="0"/>
            <wp:docPr id="87921206" name="图片 14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21206" name="图片 14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3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1E560" w14:textId="77777777" w:rsidR="006C633F" w:rsidRDefault="006C633F" w:rsidP="006C633F">
      <w:pPr>
        <w:widowControl/>
        <w:spacing w:line="360" w:lineRule="auto"/>
        <w:rPr>
          <w:rFonts w:ascii="Arial" w:hAnsi="Arial" w:cs="Arial"/>
          <w:szCs w:val="21"/>
        </w:rPr>
      </w:pPr>
      <w:r w:rsidRPr="00FD31CB">
        <w:rPr>
          <w:rFonts w:ascii="Arial" w:hAnsi="Arial" w:cs="Arial"/>
          <w:b/>
          <w:bCs/>
          <w:szCs w:val="21"/>
        </w:rPr>
        <w:t xml:space="preserve">Supplementary Fig. </w:t>
      </w:r>
      <w:r>
        <w:rPr>
          <w:rFonts w:ascii="Arial" w:hAnsi="Arial" w:cs="Arial"/>
          <w:b/>
          <w:bCs/>
          <w:szCs w:val="21"/>
        </w:rPr>
        <w:t>5</w:t>
      </w:r>
      <w:r w:rsidRPr="00FD31CB">
        <w:rPr>
          <w:rFonts w:ascii="Arial" w:hAnsi="Arial" w:cs="Arial"/>
          <w:b/>
          <w:bCs/>
          <w:szCs w:val="21"/>
        </w:rPr>
        <w:t>:</w:t>
      </w:r>
      <w:r>
        <w:rPr>
          <w:rFonts w:ascii="Arial" w:hAnsi="Arial" w:cs="Arial"/>
          <w:b/>
          <w:bCs/>
          <w:szCs w:val="21"/>
        </w:rPr>
        <w:t xml:space="preserve"> </w:t>
      </w:r>
      <w:r w:rsidRPr="0011515F">
        <w:rPr>
          <w:rFonts w:ascii="Arial" w:hAnsi="Arial" w:cs="Arial"/>
          <w:szCs w:val="21"/>
        </w:rPr>
        <w:t>(A) In the hypoxic gene signature, we observed significant correlations between PDK1 expression and glycolysis in the majority of solid cancers.</w:t>
      </w:r>
      <w:r>
        <w:rPr>
          <w:rFonts w:ascii="Arial" w:hAnsi="Arial" w:cs="Arial"/>
          <w:szCs w:val="21"/>
        </w:rPr>
        <w:t xml:space="preserve"> (B)</w:t>
      </w:r>
      <w:r w:rsidRPr="0011515F">
        <w:rPr>
          <w:rFonts w:ascii="Arial" w:hAnsi="Arial" w:cs="Arial"/>
          <w:szCs w:val="21"/>
        </w:rPr>
        <w:t xml:space="preserve"> A protein-protein interaction (PPI) network was constructed for PDK1</w:t>
      </w:r>
      <w:r>
        <w:rPr>
          <w:rFonts w:ascii="Arial" w:hAnsi="Arial" w:cs="Arial"/>
          <w:szCs w:val="21"/>
        </w:rPr>
        <w:t>.</w:t>
      </w:r>
      <w:r w:rsidRPr="0011515F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(C) S</w:t>
      </w:r>
      <w:r w:rsidRPr="0011515F">
        <w:rPr>
          <w:rFonts w:ascii="Arial" w:hAnsi="Arial" w:cs="Arial"/>
          <w:szCs w:val="21"/>
        </w:rPr>
        <w:t>ubstantial and positive correlation</w:t>
      </w:r>
      <w:r>
        <w:rPr>
          <w:rFonts w:ascii="Arial" w:hAnsi="Arial" w:cs="Arial"/>
          <w:szCs w:val="21"/>
        </w:rPr>
        <w:t>s</w:t>
      </w:r>
      <w:r w:rsidRPr="0011515F">
        <w:rPr>
          <w:rFonts w:ascii="Arial" w:hAnsi="Arial" w:cs="Arial"/>
          <w:szCs w:val="21"/>
        </w:rPr>
        <w:t xml:space="preserve"> between PDK1 and various hypoxic and glycolysis markers.</w:t>
      </w:r>
      <w:r>
        <w:rPr>
          <w:rFonts w:ascii="Arial" w:hAnsi="Arial" w:cs="Arial"/>
          <w:szCs w:val="21"/>
        </w:rPr>
        <w:t xml:space="preserve"> (D)</w:t>
      </w:r>
      <w:r w:rsidRPr="0011515F">
        <w:rPr>
          <w:rFonts w:ascii="Arial" w:hAnsi="Arial" w:cs="Arial"/>
          <w:szCs w:val="21"/>
        </w:rPr>
        <w:t xml:space="preserve"> </w:t>
      </w:r>
      <w:r w:rsidRPr="00A36098">
        <w:rPr>
          <w:rFonts w:ascii="Arial" w:hAnsi="Arial" w:cs="Arial"/>
          <w:szCs w:val="21"/>
        </w:rPr>
        <w:t xml:space="preserve">Dissection of various cell types with corresponding markers from the </w:t>
      </w:r>
      <w:r w:rsidRPr="0011515F">
        <w:rPr>
          <w:rFonts w:ascii="Arial" w:hAnsi="Arial" w:cs="Arial"/>
          <w:szCs w:val="21"/>
        </w:rPr>
        <w:t>LUAD-</w:t>
      </w:r>
      <w:proofErr w:type="spellStart"/>
      <w:r w:rsidRPr="0011515F">
        <w:rPr>
          <w:rFonts w:ascii="Arial" w:hAnsi="Arial" w:cs="Arial"/>
          <w:szCs w:val="21"/>
        </w:rPr>
        <w:t>mBrain</w:t>
      </w:r>
      <w:proofErr w:type="spellEnd"/>
      <w:r w:rsidRPr="00A36098">
        <w:rPr>
          <w:rFonts w:ascii="Arial" w:hAnsi="Arial" w:cs="Arial"/>
          <w:szCs w:val="21"/>
        </w:rPr>
        <w:t xml:space="preserve"> samples was depicted in a UMAP plot, </w:t>
      </w:r>
      <w:r>
        <w:rPr>
          <w:rFonts w:ascii="Arial" w:hAnsi="Arial" w:cs="Arial"/>
          <w:szCs w:val="21"/>
        </w:rPr>
        <w:t xml:space="preserve">(E) </w:t>
      </w:r>
      <w:r w:rsidRPr="00A36098">
        <w:rPr>
          <w:rFonts w:ascii="Arial" w:hAnsi="Arial" w:cs="Arial"/>
          <w:szCs w:val="21"/>
        </w:rPr>
        <w:t>revealing that PDK1 was enriched only in a subset of malignant LUAD cells (highlighted in a dotted circle). Notably, the hypoxic score (</w:t>
      </w:r>
      <w:r>
        <w:rPr>
          <w:rFonts w:ascii="Arial" w:hAnsi="Arial" w:cs="Arial"/>
          <w:szCs w:val="21"/>
        </w:rPr>
        <w:t>F</w:t>
      </w:r>
      <w:r w:rsidRPr="00A36098">
        <w:rPr>
          <w:rFonts w:ascii="Arial" w:hAnsi="Arial" w:cs="Arial"/>
          <w:szCs w:val="21"/>
        </w:rPr>
        <w:t>) and glycolytic activity (</w:t>
      </w:r>
      <w:r>
        <w:rPr>
          <w:rFonts w:ascii="Arial" w:hAnsi="Arial" w:cs="Arial"/>
          <w:szCs w:val="21"/>
        </w:rPr>
        <w:t>G</w:t>
      </w:r>
      <w:r w:rsidRPr="00A36098">
        <w:rPr>
          <w:rFonts w:ascii="Arial" w:hAnsi="Arial" w:cs="Arial"/>
          <w:szCs w:val="21"/>
        </w:rPr>
        <w:t>) were also prominently manifested in the same area</w:t>
      </w:r>
      <w:r>
        <w:rPr>
          <w:rFonts w:ascii="Arial" w:hAnsi="Arial" w:cs="Arial"/>
          <w:szCs w:val="21"/>
        </w:rPr>
        <w:t>.</w:t>
      </w:r>
    </w:p>
    <w:p w14:paraId="40597E0C" w14:textId="77777777" w:rsidR="006C633F" w:rsidRDefault="006C633F" w:rsidP="006C633F">
      <w:pPr>
        <w:widowControl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br w:type="page"/>
      </w:r>
    </w:p>
    <w:p w14:paraId="44457AF6" w14:textId="77777777" w:rsidR="006C633F" w:rsidRDefault="006C633F" w:rsidP="006C633F">
      <w:pPr>
        <w:widowControl/>
        <w:spacing w:line="360" w:lineRule="auto"/>
        <w:jc w:val="center"/>
        <w:rPr>
          <w:rFonts w:ascii="Arial" w:hAnsi="Arial" w:cs="Arial"/>
          <w:b/>
          <w:bCs/>
          <w:szCs w:val="21"/>
        </w:rPr>
      </w:pPr>
      <w:r>
        <w:rPr>
          <w:noProof/>
        </w:rPr>
        <w:lastRenderedPageBreak/>
        <w:drawing>
          <wp:inline distT="0" distB="0" distL="0" distR="0" wp14:anchorId="71692EF8" wp14:editId="6B3BE4F0">
            <wp:extent cx="4455852" cy="1494845"/>
            <wp:effectExtent l="0" t="0" r="1905" b="0"/>
            <wp:docPr id="1194894857" name="图片 5" descr="图片包含 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894857" name="图片 5" descr="图片包含 表格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290" cy="150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AF8B9" w14:textId="77777777" w:rsidR="006C633F" w:rsidRPr="007F5529" w:rsidRDefault="006C633F" w:rsidP="006C633F">
      <w:pPr>
        <w:widowControl/>
        <w:spacing w:line="360" w:lineRule="auto"/>
        <w:rPr>
          <w:rFonts w:ascii="Arial" w:hAnsi="Arial" w:cs="Arial"/>
          <w:b/>
          <w:bCs/>
          <w:szCs w:val="21"/>
        </w:rPr>
      </w:pPr>
      <w:r w:rsidRPr="00FD31CB">
        <w:rPr>
          <w:rFonts w:ascii="Arial" w:hAnsi="Arial" w:cs="Arial"/>
          <w:b/>
          <w:bCs/>
          <w:szCs w:val="21"/>
        </w:rPr>
        <w:t xml:space="preserve">Supplementary Fig. </w:t>
      </w:r>
      <w:r>
        <w:rPr>
          <w:rFonts w:ascii="Arial" w:hAnsi="Arial" w:cs="Arial"/>
          <w:b/>
          <w:bCs/>
          <w:szCs w:val="21"/>
        </w:rPr>
        <w:t xml:space="preserve">6: </w:t>
      </w:r>
      <w:r w:rsidRPr="00176CA9">
        <w:rPr>
          <w:rFonts w:ascii="Arial" w:hAnsi="Arial" w:cs="Arial"/>
          <w:szCs w:val="21"/>
        </w:rPr>
        <w:t>The experimental procedure is depicted in the flowchart.</w:t>
      </w:r>
      <w:r>
        <w:rPr>
          <w:rFonts w:ascii="Arial" w:hAnsi="Arial" w:cs="Arial"/>
          <w:szCs w:val="21"/>
        </w:rPr>
        <w:t xml:space="preserve"> </w:t>
      </w:r>
      <w:r w:rsidRPr="001572F5">
        <w:rPr>
          <w:rFonts w:ascii="Arial" w:hAnsi="Arial" w:cs="Arial"/>
          <w:szCs w:val="21"/>
        </w:rPr>
        <w:t>Th</w:t>
      </w:r>
      <w:r w:rsidRPr="00176CA9">
        <w:rPr>
          <w:rFonts w:ascii="Arial" w:hAnsi="Arial" w:cs="Arial"/>
          <w:szCs w:val="21"/>
        </w:rPr>
        <w:t>e mouse LUAD cell line LLC</w:t>
      </w:r>
      <w:r>
        <w:rPr>
          <w:rFonts w:ascii="Arial" w:hAnsi="Arial" w:cs="Arial"/>
          <w:szCs w:val="21"/>
        </w:rPr>
        <w:t xml:space="preserve"> was employed</w:t>
      </w:r>
      <w:r w:rsidRPr="00176CA9">
        <w:rPr>
          <w:rFonts w:ascii="Arial" w:hAnsi="Arial" w:cs="Arial"/>
          <w:szCs w:val="21"/>
        </w:rPr>
        <w:t xml:space="preserve"> to establish subcutaneous xenografts in immunocompetent C57BL/6 mice. The mice were then subjected to </w:t>
      </w:r>
      <w:r>
        <w:rPr>
          <w:rFonts w:ascii="Arial" w:hAnsi="Arial" w:cs="Arial"/>
          <w:szCs w:val="21"/>
        </w:rPr>
        <w:t xml:space="preserve">four different </w:t>
      </w:r>
      <w:r w:rsidRPr="00176CA9">
        <w:rPr>
          <w:rFonts w:ascii="Arial" w:hAnsi="Arial" w:cs="Arial"/>
          <w:szCs w:val="21"/>
        </w:rPr>
        <w:t>treatment</w:t>
      </w:r>
      <w:r>
        <w:rPr>
          <w:rFonts w:ascii="Arial" w:hAnsi="Arial" w:cs="Arial"/>
          <w:szCs w:val="21"/>
        </w:rPr>
        <w:t>s:</w:t>
      </w:r>
      <w:r w:rsidRPr="00176CA9">
        <w:rPr>
          <w:rFonts w:ascii="Arial" w:hAnsi="Arial" w:cs="Arial"/>
          <w:szCs w:val="21"/>
        </w:rPr>
        <w:t xml:space="preserve"> anti-PD-1 monoclonal antibody (</w:t>
      </w:r>
      <w:proofErr w:type="spellStart"/>
      <w:r w:rsidRPr="00176CA9">
        <w:rPr>
          <w:rFonts w:ascii="Arial" w:hAnsi="Arial" w:cs="Arial"/>
          <w:szCs w:val="21"/>
        </w:rPr>
        <w:t>mAb</w:t>
      </w:r>
      <w:proofErr w:type="spellEnd"/>
      <w:r w:rsidRPr="00176CA9">
        <w:rPr>
          <w:rFonts w:ascii="Arial" w:hAnsi="Arial" w:cs="Arial"/>
          <w:szCs w:val="21"/>
        </w:rPr>
        <w:t xml:space="preserve">), IgG isotype control, PDK1 inhibitor, and a combination of the PDK1 inhibitor and the anti-PD-1 </w:t>
      </w:r>
      <w:proofErr w:type="spellStart"/>
      <w:r w:rsidRPr="00176CA9">
        <w:rPr>
          <w:rFonts w:ascii="Arial" w:hAnsi="Arial" w:cs="Arial"/>
          <w:szCs w:val="21"/>
        </w:rPr>
        <w:t>mAb</w:t>
      </w:r>
      <w:proofErr w:type="spellEnd"/>
      <w:r w:rsidRPr="00176CA9">
        <w:rPr>
          <w:rFonts w:ascii="Arial" w:hAnsi="Arial" w:cs="Arial"/>
          <w:szCs w:val="21"/>
        </w:rPr>
        <w:t>.</w:t>
      </w:r>
    </w:p>
    <w:p w14:paraId="472F5591" w14:textId="77777777" w:rsidR="006A0815" w:rsidRDefault="006A0815"/>
    <w:sectPr w:rsidR="006A0815" w:rsidSect="00516727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6087936"/>
      <w:docPartObj>
        <w:docPartGallery w:val="Page Numbers (Bottom of Page)"/>
        <w:docPartUnique/>
      </w:docPartObj>
    </w:sdtPr>
    <w:sdtEndPr/>
    <w:sdtContent>
      <w:p w14:paraId="73CACD56" w14:textId="77777777" w:rsidR="006811C2" w:rsidRDefault="0003102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63449B6" w14:textId="77777777" w:rsidR="006811C2" w:rsidRDefault="0003102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33F"/>
    <w:rsid w:val="006A0815"/>
    <w:rsid w:val="006C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EBF77"/>
  <w15:chartTrackingRefBased/>
  <w15:docId w15:val="{7A3024ED-4F90-4516-BFA4-3A8C20C38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33F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C633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C633F"/>
    <w:rPr>
      <w:rFonts w:eastAsiaTheme="minorEastAsia"/>
      <w:kern w:val="2"/>
      <w:sz w:val="18"/>
      <w:szCs w:val="18"/>
      <w:lang w:val="en-US"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fontTable" Target="fontTable.xml"/><Relationship Id="rId5" Type="http://schemas.openxmlformats.org/officeDocument/2006/relationships/image" Target="media/image2.tiff"/><Relationship Id="rId10" Type="http://schemas.openxmlformats.org/officeDocument/2006/relationships/footer" Target="footer1.xml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368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Dhansen Veerappan (integra)</dc:creator>
  <cp:keywords/>
  <dc:description/>
  <cp:lastModifiedBy>Dhansen Veerappan (integra)</cp:lastModifiedBy>
  <cp:revision>2</cp:revision>
  <dcterms:created xsi:type="dcterms:W3CDTF">2024-06-03T10:30:00Z</dcterms:created>
  <dcterms:modified xsi:type="dcterms:W3CDTF">2024-06-03T10:30:00Z</dcterms:modified>
</cp:coreProperties>
</file>