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7F6F3" w14:textId="3BCBF9EC" w:rsidR="00627B11" w:rsidRPr="00F47B7D" w:rsidRDefault="00EF5814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8"/>
          <w:szCs w:val="24"/>
        </w:rPr>
        <w:t>Supplemental Figure L</w:t>
      </w:r>
      <w:r w:rsidR="00627B11" w:rsidRPr="00F47B7D">
        <w:rPr>
          <w:rFonts w:ascii="Times New Roman" w:hAnsi="Times New Roman" w:cs="Times New Roman"/>
          <w:b/>
          <w:sz w:val="28"/>
          <w:szCs w:val="24"/>
        </w:rPr>
        <w:t>egends</w:t>
      </w:r>
      <w:r w:rsidR="00627B11" w:rsidRPr="00F47B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06D919" w14:textId="77777777" w:rsidR="00F071A0" w:rsidRPr="00F47B7D" w:rsidRDefault="00F071A0" w:rsidP="00F071A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31048FA1" w14:textId="62DFB5F2" w:rsidR="00F071A0" w:rsidRPr="00F47B7D" w:rsidRDefault="00F071A0" w:rsidP="00F071A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47B7D">
        <w:rPr>
          <w:rFonts w:ascii="Times New Roman" w:hAnsi="Times New Roman"/>
          <w:b/>
          <w:sz w:val="24"/>
          <w:szCs w:val="24"/>
        </w:rPr>
        <w:t>Figure</w:t>
      </w:r>
      <w:r w:rsidR="001354CB" w:rsidRPr="00F47B7D">
        <w:rPr>
          <w:rFonts w:ascii="Times New Roman" w:hAnsi="Times New Roman"/>
          <w:b/>
          <w:sz w:val="24"/>
          <w:szCs w:val="24"/>
        </w:rPr>
        <w:t xml:space="preserve"> S1</w:t>
      </w:r>
      <w:r w:rsidRPr="00F47B7D">
        <w:rPr>
          <w:rFonts w:ascii="Times New Roman" w:hAnsi="Times New Roman"/>
          <w:b/>
          <w:sz w:val="24"/>
          <w:szCs w:val="24"/>
        </w:rPr>
        <w:t xml:space="preserve">: </w:t>
      </w:r>
      <w:r w:rsidRPr="00F47B7D">
        <w:rPr>
          <w:rFonts w:ascii="Times New Roman" w:hAnsi="Times New Roman"/>
          <w:sz w:val="24"/>
          <w:szCs w:val="24"/>
        </w:rPr>
        <w:t>Workflow of this study (cartoons created with BioRender.com).</w:t>
      </w:r>
      <w:r w:rsidRPr="00F47B7D">
        <w:rPr>
          <w:rFonts w:ascii="Times New Roman" w:hAnsi="Times New Roman"/>
          <w:b/>
          <w:sz w:val="24"/>
          <w:szCs w:val="24"/>
        </w:rPr>
        <w:t xml:space="preserve"> </w:t>
      </w:r>
    </w:p>
    <w:p w14:paraId="700F2022" w14:textId="77777777" w:rsidR="001354CB" w:rsidRPr="00F47B7D" w:rsidRDefault="001354CB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98FBBCF" w14:textId="6B4FB930" w:rsidR="00F071A0" w:rsidRPr="00F47B7D" w:rsidRDefault="001354CB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 xml:space="preserve">Figure S2. </w:t>
      </w:r>
      <w:r w:rsidRPr="00F47B7D">
        <w:rPr>
          <w:rFonts w:ascii="Times New Roman" w:hAnsi="Times New Roman" w:cs="Times New Roman"/>
          <w:sz w:val="24"/>
          <w:szCs w:val="24"/>
        </w:rPr>
        <w:t>The PCA plots (A) and density plots (B) before and after batch effect correction of the training cohort.</w:t>
      </w:r>
    </w:p>
    <w:p w14:paraId="0DAAE490" w14:textId="77777777" w:rsidR="001354CB" w:rsidRPr="00F47B7D" w:rsidRDefault="001354CB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7995FB" w14:textId="20C9C084" w:rsidR="00627B11" w:rsidRPr="00F47B7D" w:rsidRDefault="00627B11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1354CB" w:rsidRPr="00F47B7D">
        <w:rPr>
          <w:rFonts w:ascii="Times New Roman" w:hAnsi="Times New Roman" w:cs="Times New Roman"/>
          <w:b/>
          <w:sz w:val="24"/>
          <w:szCs w:val="24"/>
        </w:rPr>
        <w:t>3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Related to </w:t>
      </w:r>
      <w:r w:rsidR="002B5E74" w:rsidRPr="00F47B7D">
        <w:rPr>
          <w:rFonts w:ascii="Times New Roman" w:hAnsi="Times New Roman" w:cs="Times New Roman"/>
          <w:b/>
          <w:sz w:val="24"/>
          <w:szCs w:val="24"/>
        </w:rPr>
        <w:t xml:space="preserve">Figure 1 and 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247641" w:rsidRPr="00F47B7D">
        <w:rPr>
          <w:rFonts w:ascii="Times New Roman" w:hAnsi="Times New Roman" w:cs="Times New Roman"/>
          <w:b/>
          <w:sz w:val="24"/>
          <w:szCs w:val="24"/>
        </w:rPr>
        <w:t>2</w:t>
      </w:r>
      <w:r w:rsidRPr="00F47B7D">
        <w:rPr>
          <w:rFonts w:ascii="Times New Roman" w:hAnsi="Times New Roman" w:cs="Times New Roman"/>
          <w:b/>
          <w:sz w:val="24"/>
          <w:szCs w:val="24"/>
        </w:rPr>
        <w:t>.</w:t>
      </w:r>
      <w:r w:rsidR="00247641" w:rsidRPr="00F47B7D"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="00A116BB" w:rsidRPr="00F47B7D">
        <w:rPr>
          <w:rFonts w:ascii="Times New Roman" w:hAnsi="Times New Roman" w:cs="Times New Roman"/>
          <w:b/>
          <w:sz w:val="24"/>
          <w:szCs w:val="24"/>
        </w:rPr>
        <w:t>17-gene</w:t>
      </w:r>
      <w:r w:rsidR="002B5E74" w:rsidRPr="00F47B7D">
        <w:rPr>
          <w:rFonts w:ascii="Times New Roman" w:hAnsi="Times New Roman" w:cs="Times New Roman"/>
          <w:b/>
          <w:sz w:val="24"/>
          <w:szCs w:val="24"/>
        </w:rPr>
        <w:t xml:space="preserve">-based model </w:t>
      </w:r>
      <w:r w:rsidR="00B71E51" w:rsidRPr="00F47B7D">
        <w:rPr>
          <w:rFonts w:ascii="Times New Roman" w:hAnsi="Times New Roman" w:cs="Times New Roman"/>
          <w:b/>
          <w:sz w:val="24"/>
          <w:szCs w:val="24"/>
        </w:rPr>
        <w:t>exhibits strong prognostic significance</w:t>
      </w:r>
      <w:r w:rsidR="0081550C" w:rsidRPr="00F47B7D">
        <w:rPr>
          <w:rFonts w:ascii="Times New Roman" w:hAnsi="Times New Roman" w:cs="Times New Roman"/>
          <w:b/>
          <w:sz w:val="24"/>
          <w:szCs w:val="24"/>
        </w:rPr>
        <w:t>.</w:t>
      </w:r>
    </w:p>
    <w:p w14:paraId="3E59B7B3" w14:textId="18C0277C" w:rsidR="00901859" w:rsidRPr="00F47B7D" w:rsidRDefault="00247641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(A)</w:t>
      </w:r>
      <w:r w:rsidR="00901859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Global differences in PSI gene expression between DLBCL samples and normal tissues (lymph nodes and reactive tonsils). The correlation-based distance</w:t>
      </w:r>
      <w:r w:rsidR="002B5E74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s</w:t>
      </w:r>
      <w:r w:rsidR="00901859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were estimated between DLBCL and normal samples (cyan), different DLBCL samples (orange), and different normal samples (blue). The legends summarize the average distances between different samples as a percentage of the average distance between DLBCL and normal samples. *P&lt;0.05;**P&lt;0.01;***P&lt;0.001; ****P&lt;0.0001. </w:t>
      </w:r>
    </w:p>
    <w:p w14:paraId="6DA41556" w14:textId="0316A733" w:rsidR="00627B11" w:rsidRPr="00F47B7D" w:rsidRDefault="00901859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(B)</w:t>
      </w:r>
      <w:r w:rsidR="00A116B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The KM</w:t>
      </w:r>
      <w:r w:rsidR="0024764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curves for OS of LPSI and HPSI DLBCL in the training cohort (n=702). Log-rank test P &lt; 0.0001.</w:t>
      </w:r>
    </w:p>
    <w:p w14:paraId="29412653" w14:textId="783743C6" w:rsidR="00627B11" w:rsidRPr="00F47B7D" w:rsidRDefault="00247641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bookmarkStart w:id="0" w:name="_Hlk139643670"/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</w:t>
      </w:r>
      <w:r w:rsidR="00901859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C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 The KM curves for OS of LPSI and HPSI DLBCL in the GSE10846 cohort. Log-rank test P &lt; 0.0001.</w:t>
      </w:r>
      <w:bookmarkEnd w:id="0"/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cr/>
        <w:t>(</w:t>
      </w:r>
      <w:r w:rsidR="00901859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D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 The KM curves for OS of LPSI and HPSI DLBCL in the GSE181063 cohort. Log-rank test P &lt; 0.0001.</w:t>
      </w:r>
    </w:p>
    <w:p w14:paraId="5D62EE40" w14:textId="77777777" w:rsidR="0081550C" w:rsidRPr="00F47B7D" w:rsidRDefault="0081550C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645F5C0" w14:textId="16E49325" w:rsidR="000973CB" w:rsidRPr="00F47B7D" w:rsidRDefault="00901859" w:rsidP="000973C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1354CB" w:rsidRPr="00F47B7D">
        <w:rPr>
          <w:rFonts w:ascii="Times New Roman" w:hAnsi="Times New Roman" w:cs="Times New Roman"/>
          <w:b/>
          <w:sz w:val="24"/>
          <w:szCs w:val="24"/>
        </w:rPr>
        <w:t>4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Related to Figure 2. </w:t>
      </w:r>
      <w:r w:rsidR="000973CB" w:rsidRPr="00F47B7D">
        <w:rPr>
          <w:rFonts w:ascii="Times New Roman" w:eastAsia="SimSun" w:hAnsi="Times New Roman" w:cs="Times New Roman"/>
          <w:b/>
          <w:spacing w:val="15"/>
          <w:sz w:val="24"/>
          <w:szCs w:val="24"/>
        </w:rPr>
        <w:t>Univariate and multivariate Cox regression analyses were performed for OS or PFS in the training set and two internal validation sets.</w:t>
      </w:r>
    </w:p>
    <w:p w14:paraId="64F196EC" w14:textId="77777777" w:rsidR="000973CB" w:rsidRPr="00F47B7D" w:rsidRDefault="000973CB" w:rsidP="000973CB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(A, B) In the training set, univariate (A) and multivariate (B) Cox regression analyses demonstrated that the 17-gene model serves as an independent prognostic biomarker for OS in DLBCL.</w:t>
      </w:r>
    </w:p>
    <w:p w14:paraId="2337C336" w14:textId="77777777" w:rsidR="000973CB" w:rsidRPr="00F47B7D" w:rsidRDefault="000973CB" w:rsidP="000973CB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lastRenderedPageBreak/>
        <w:t>(C, D) In the internal validation set (GSE31312 cohort), univariate (C) and multivariate (D) Cox regression analyses demonstrated that the 17-gene model serves as an independent prognostic biomarker for OS in DLBCL.</w:t>
      </w:r>
    </w:p>
    <w:p w14:paraId="2D48C28A" w14:textId="77777777" w:rsidR="000973CB" w:rsidRPr="00F47B7D" w:rsidRDefault="000973CB" w:rsidP="000973CB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(E, F) In the internal validation set (GSE31312 cohort), univariate (E) and multivariate (F) Cox regression analyses demonstrated that the 17-gene model serves as an independent prognostic biomarker for PFS in DLBCL.</w:t>
      </w:r>
    </w:p>
    <w:p w14:paraId="38B028E0" w14:textId="5B5BEC64" w:rsidR="0081550C" w:rsidRPr="00F47B7D" w:rsidRDefault="000973CB" w:rsidP="000973CB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(G, H) In the internal validation set (GSE10846 cohort), univariate (G) and multivariate (H) Cox regression analyses demonstrated that the 17-gene model serves as an independent prognostic biomarker for OS in DLBCL.</w:t>
      </w:r>
    </w:p>
    <w:p w14:paraId="7088A45F" w14:textId="77777777" w:rsidR="000973CB" w:rsidRPr="00F47B7D" w:rsidRDefault="000973CB" w:rsidP="000973CB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</w:p>
    <w:p w14:paraId="2DA02098" w14:textId="4093DF65" w:rsidR="001354CB" w:rsidRPr="00F47B7D" w:rsidRDefault="001354CB" w:rsidP="001354C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 xml:space="preserve">Figure S5. Related to Figure 2. </w:t>
      </w:r>
      <w:r w:rsidR="000973CB" w:rsidRPr="00F47B7D">
        <w:rPr>
          <w:rFonts w:ascii="Times New Roman" w:hAnsi="Times New Roman" w:cs="Times New Roman"/>
          <w:b/>
          <w:sz w:val="24"/>
          <w:szCs w:val="24"/>
        </w:rPr>
        <w:t>Univariate and multivariate Cox regression analyses were performed for OS and PFS in the external validation sets.</w:t>
      </w:r>
    </w:p>
    <w:p w14:paraId="2EF89B3E" w14:textId="77777777" w:rsidR="000973CB" w:rsidRPr="00F47B7D" w:rsidRDefault="000973CB" w:rsidP="000973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B7D">
        <w:rPr>
          <w:rFonts w:ascii="Times New Roman" w:hAnsi="Times New Roman" w:cs="Times New Roman"/>
          <w:sz w:val="24"/>
          <w:szCs w:val="24"/>
        </w:rPr>
        <w:t>(A, B) In the external validation set (GSE87371 cohort), univariate (A) and multivariate (B) Cox regression analyses demonstrated that the 17-gene model serves as an independent prognostic biomarker for OS in DLBCL.</w:t>
      </w:r>
    </w:p>
    <w:p w14:paraId="126852C6" w14:textId="77777777" w:rsidR="000973CB" w:rsidRPr="00F47B7D" w:rsidRDefault="000973CB" w:rsidP="000973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B7D">
        <w:rPr>
          <w:rFonts w:ascii="Times New Roman" w:hAnsi="Times New Roman" w:cs="Times New Roman"/>
          <w:sz w:val="24"/>
          <w:szCs w:val="24"/>
        </w:rPr>
        <w:t>(C, D) In the external validation set (GSE87371 cohort), univariate (C) and multivariate (D) Cox regression analyses demonstrated that the 17-gene model serves as an independent prognostic biomarker for PFS in DLBCL.</w:t>
      </w:r>
    </w:p>
    <w:p w14:paraId="473C20B7" w14:textId="77777777" w:rsidR="000973CB" w:rsidRPr="00F47B7D" w:rsidRDefault="000973CB" w:rsidP="000973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B7D">
        <w:rPr>
          <w:rFonts w:ascii="Times New Roman" w:hAnsi="Times New Roman" w:cs="Times New Roman"/>
          <w:sz w:val="24"/>
          <w:szCs w:val="24"/>
        </w:rPr>
        <w:t>(E, F) In the external validation set (GSE117556 cohort), univariate (E) and multivariate (F) Cox regression analyses demonstrated that the 17-gene model serves as an independent prognostic biomarker for OS in DLBCL.</w:t>
      </w:r>
    </w:p>
    <w:p w14:paraId="7146365A" w14:textId="68BFDB74" w:rsidR="001354CB" w:rsidRPr="00F47B7D" w:rsidRDefault="000973CB" w:rsidP="000973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B7D">
        <w:rPr>
          <w:rFonts w:ascii="Times New Roman" w:hAnsi="Times New Roman" w:cs="Times New Roman"/>
          <w:sz w:val="24"/>
          <w:szCs w:val="24"/>
        </w:rPr>
        <w:t>(G, H) In the external validation set (GSE117556 cohort), univariate (G) and multivariate (H) Cox regression analyses demonstrated that the 17-gene model serves as an independent prognostic biomarker for PFS in DLBCL.</w:t>
      </w:r>
    </w:p>
    <w:p w14:paraId="03EDF6B1" w14:textId="77777777" w:rsidR="000973CB" w:rsidRPr="00F47B7D" w:rsidRDefault="000973CB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C95576E" w14:textId="5AFCC3B7" w:rsidR="00766DE6" w:rsidRPr="00F47B7D" w:rsidRDefault="00766DE6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1354CB" w:rsidRPr="00F47B7D">
        <w:rPr>
          <w:rFonts w:ascii="Times New Roman" w:hAnsi="Times New Roman" w:cs="Times New Roman"/>
          <w:b/>
          <w:sz w:val="24"/>
          <w:szCs w:val="24"/>
        </w:rPr>
        <w:t>6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Related to Figure 3. </w:t>
      </w:r>
      <w:r w:rsidR="006629BE" w:rsidRPr="00F47B7D">
        <w:rPr>
          <w:rFonts w:ascii="Times New Roman" w:hAnsi="Times New Roman" w:cs="Times New Roman"/>
          <w:b/>
          <w:sz w:val="24"/>
          <w:szCs w:val="24"/>
        </w:rPr>
        <w:t>Clinicopathological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 characteristics in L</w:t>
      </w:r>
      <w:r w:rsidR="00B71E51" w:rsidRPr="00F47B7D">
        <w:rPr>
          <w:rFonts w:ascii="Times New Roman" w:hAnsi="Times New Roman" w:cs="Times New Roman"/>
          <w:b/>
          <w:sz w:val="24"/>
          <w:szCs w:val="24"/>
        </w:rPr>
        <w:t>PSI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 and H</w:t>
      </w:r>
      <w:r w:rsidR="00B71E51" w:rsidRPr="00F47B7D">
        <w:rPr>
          <w:rFonts w:ascii="Times New Roman" w:hAnsi="Times New Roman" w:cs="Times New Roman"/>
          <w:b/>
          <w:sz w:val="24"/>
          <w:szCs w:val="24"/>
        </w:rPr>
        <w:t>PSI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 DLBCL</w:t>
      </w:r>
      <w:r w:rsidR="0081550C" w:rsidRPr="00F47B7D">
        <w:rPr>
          <w:rFonts w:ascii="Times New Roman" w:hAnsi="Times New Roman" w:cs="Times New Roman"/>
          <w:b/>
          <w:sz w:val="24"/>
          <w:szCs w:val="24"/>
        </w:rPr>
        <w:t>.</w:t>
      </w:r>
    </w:p>
    <w:p w14:paraId="2847D11C" w14:textId="61D09AFC" w:rsidR="00766DE6" w:rsidRPr="00F47B7D" w:rsidRDefault="00766DE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(A)</w:t>
      </w:r>
      <w:r w:rsidR="005061FE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The risk pie chart illustrates the distribution of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LPSI and HPSI</w:t>
      </w:r>
      <w:r w:rsidR="005061FE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patients across various clinical subgroups in the GSE31312 cohort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(two-tailed Fisher exact test P).</w:t>
      </w:r>
    </w:p>
    <w:p w14:paraId="662DDC59" w14:textId="06E54D35" w:rsidR="00766DE6" w:rsidRPr="00F47B7D" w:rsidRDefault="00766DE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lastRenderedPageBreak/>
        <w:t>(B) Proportions of patients with or without disease progression in the HPSI and LPSI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subgroups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. Left to r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ight: the GSE31312 (P = 2.1e-11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), GSE87371 (center, P = 0.0062) and GSE117556 (right, P = 0.00033) cohorts. Yes, disease progression; No, no disease progression; the p-values were calculated using the two-tailed Fisher's exact test.</w:t>
      </w:r>
    </w:p>
    <w:p w14:paraId="7BEA430C" w14:textId="4C4C3C7E" w:rsidR="005061FE" w:rsidRPr="00F47B7D" w:rsidRDefault="005061FE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(C) Proportion of patients with different therapy responses in the HPSI and LPSI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subgroups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of the GSE117556 cohort (two-tailed Fisher exact test; P = 0.0092).</w:t>
      </w:r>
    </w:p>
    <w:p w14:paraId="14CC1004" w14:textId="2B418E6C" w:rsidR="00766DE6" w:rsidRPr="00F47B7D" w:rsidRDefault="00766DE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</w:t>
      </w:r>
      <w:r w:rsidR="005061FE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D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 According to the stratification of the therapy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responses to R-CHOP, the KM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curve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s of PFS were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used for survival analysis of DLBCL patients in the GSE31312 cohort. Survival plots for PFS showing the stratification of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17-gene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model for each of the individual responses to R-CHOP for patients in the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CR group (upper)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and non-CR group (PR/SD/PD)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(lower)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.</w:t>
      </w:r>
    </w:p>
    <w:p w14:paraId="738F2B2A" w14:textId="402F992E" w:rsidR="00766DE6" w:rsidRPr="00F47B7D" w:rsidRDefault="00766DE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(E) According to the stratification of the therapy re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sponses to R/RB-CHOP, the KM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curve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s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of OS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were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used for survival analysis of DLBCL patients in the GSE117556 cohort. Survival plots for OS showing the stratification of risk model for each of the individual responses to R/RBCHOP for patients in the CR group (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upper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 and non-CR group (PR/SD/PD) (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lower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).</w:t>
      </w:r>
    </w:p>
    <w:p w14:paraId="5677CF8F" w14:textId="1A5D4C73" w:rsidR="00766DE6" w:rsidRPr="00F47B7D" w:rsidRDefault="00766DE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(F) According to the stratification of the therapy re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sponses to R/RB-CHOP, the KM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curve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s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of PFS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were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used for survival analysis of DLBCL patients in the GSE117556 cohort. Survival plots for PFS showing the stratification of risk model for each of the individual responses to R/RBCHOP for patients in the CR group (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upper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 and non-CR group (PR/SD/PD) (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lower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).</w:t>
      </w:r>
    </w:p>
    <w:p w14:paraId="09C41879" w14:textId="56F62967" w:rsidR="006629BE" w:rsidRPr="00F47B7D" w:rsidRDefault="006629BE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(G, H) The OS (G) and PFS (H) KM curves were constructed for DLBCL patients with double-hit or triple-hit status, stratified into HPSI and LPSI groups. Double-hit or triple-hit status were detected using fluorescent in situ hybridization (FISH).</w:t>
      </w:r>
    </w:p>
    <w:p w14:paraId="486322DE" w14:textId="77777777" w:rsidR="0081550C" w:rsidRPr="00F47B7D" w:rsidRDefault="0081550C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</w:p>
    <w:p w14:paraId="4A19B9D9" w14:textId="5C0466C6" w:rsidR="00B71E51" w:rsidRPr="00F47B7D" w:rsidRDefault="00B71E51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1354CB" w:rsidRPr="00F47B7D">
        <w:rPr>
          <w:rFonts w:ascii="Times New Roman" w:hAnsi="Times New Roman" w:cs="Times New Roman"/>
          <w:b/>
          <w:sz w:val="24"/>
          <w:szCs w:val="24"/>
        </w:rPr>
        <w:t>7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Related to Figure 3. </w:t>
      </w:r>
      <w:r w:rsidR="000754B6" w:rsidRPr="00F47B7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023870" w:rsidRPr="00F47B7D">
        <w:rPr>
          <w:rFonts w:ascii="Times New Roman" w:hAnsi="Times New Roman" w:cs="Times New Roman"/>
          <w:b/>
          <w:sz w:val="24"/>
          <w:szCs w:val="24"/>
        </w:rPr>
        <w:t xml:space="preserve">17-gene </w:t>
      </w:r>
      <w:r w:rsidR="000754B6" w:rsidRPr="00F47B7D">
        <w:rPr>
          <w:rFonts w:ascii="Times New Roman" w:hAnsi="Times New Roman" w:cs="Times New Roman"/>
          <w:b/>
          <w:sz w:val="24"/>
          <w:szCs w:val="24"/>
        </w:rPr>
        <w:t>model categorizes the prognosis of DLBCL irrespective of conventional molecular subtypes</w:t>
      </w:r>
      <w:r w:rsidR="0081550C" w:rsidRPr="00F47B7D">
        <w:rPr>
          <w:rFonts w:ascii="Times New Roman" w:hAnsi="Times New Roman" w:cs="Times New Roman"/>
          <w:b/>
          <w:sz w:val="24"/>
          <w:szCs w:val="24"/>
        </w:rPr>
        <w:t>.</w:t>
      </w:r>
    </w:p>
    <w:p w14:paraId="57FBA162" w14:textId="5D82746A" w:rsidR="00B71E51" w:rsidRPr="00F47B7D" w:rsidRDefault="006629BE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(A,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B) The KM curves for OS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(A)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and PFS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(B)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in HPSI and LPSI DLBCL patients with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ABC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subtype in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the total cohort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.</w:t>
      </w:r>
    </w:p>
    <w:p w14:paraId="6B6B077D" w14:textId="650ACC63" w:rsidR="00B71E51" w:rsidRPr="00F47B7D" w:rsidRDefault="006629BE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(C,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D) The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KM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curves for OS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(C)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and PFS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(D)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in HPSI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and LPSI DLBCL patients with G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C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B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subtype in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the total cohort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.</w:t>
      </w:r>
    </w:p>
    <w:p w14:paraId="34B1E2B3" w14:textId="3870A263" w:rsidR="0081550C" w:rsidRPr="00F47B7D" w:rsidRDefault="006629BE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(E,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F) The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KM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curves for OS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(E)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and PFS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(F) 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in HPSI and LPSI DLBCL patients with U</w:t>
      </w:r>
      <w:r w:rsidR="000754B6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N</w:t>
      </w:r>
      <w:r w:rsidR="00B71E51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C subt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ype in </w:t>
      </w:r>
      <w:r w:rsidR="00F6498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the total cohort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.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cr/>
      </w:r>
    </w:p>
    <w:p w14:paraId="732EA132" w14:textId="63D48A73" w:rsidR="000754B6" w:rsidRPr="00F47B7D" w:rsidRDefault="000754B6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1354CB" w:rsidRPr="00F47B7D">
        <w:rPr>
          <w:rFonts w:ascii="Times New Roman" w:hAnsi="Times New Roman" w:cs="Times New Roman"/>
          <w:b/>
          <w:sz w:val="24"/>
          <w:szCs w:val="24"/>
        </w:rPr>
        <w:t>8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Related to Figure 4. </w:t>
      </w:r>
      <w:r w:rsidR="00E9542A" w:rsidRPr="00F47B7D">
        <w:rPr>
          <w:rFonts w:ascii="Times New Roman" w:hAnsi="Times New Roman" w:cs="Times New Roman"/>
          <w:b/>
          <w:sz w:val="24"/>
          <w:szCs w:val="24"/>
        </w:rPr>
        <w:t>HPSI-DLBCL demonstrates an immune-suppressive phenotype resembling the characteristics of a desert</w:t>
      </w:r>
      <w:r w:rsidR="00023870" w:rsidRPr="00F47B7D">
        <w:rPr>
          <w:rFonts w:ascii="Times New Roman" w:hAnsi="Times New Roman" w:cs="Times New Roman"/>
          <w:b/>
          <w:sz w:val="24"/>
          <w:szCs w:val="24"/>
        </w:rPr>
        <w:t xml:space="preserve"> TME</w:t>
      </w:r>
      <w:r w:rsidR="0081550C" w:rsidRPr="00F47B7D">
        <w:rPr>
          <w:rFonts w:ascii="Times New Roman" w:hAnsi="Times New Roman" w:cs="Times New Roman"/>
          <w:b/>
          <w:sz w:val="24"/>
          <w:szCs w:val="24"/>
        </w:rPr>
        <w:t>.</w:t>
      </w:r>
    </w:p>
    <w:p w14:paraId="5EEAF106" w14:textId="3F4D224F" w:rsidR="000754B6" w:rsidRPr="00F47B7D" w:rsidRDefault="000754B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(A)</w:t>
      </w:r>
      <w:r w:rsidR="00E9542A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The boxplot illustrates the GSVA enrichment scores for the selected signature s associated with B-cell diseases in LPSI and HPSI DLBCL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of </w:t>
      </w:r>
      <w:r w:rsidR="00E9542A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the training cohort, enabling a comparison of gene expression patterns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. Fb, fibroblast; NF-kB, nuclear factor kappa-light-chain-enhancer of activated B cell; NK, natural killer cell.</w:t>
      </w:r>
    </w:p>
    <w:p w14:paraId="762D68BD" w14:textId="77777777" w:rsidR="000754B6" w:rsidRPr="00F47B7D" w:rsidRDefault="000754B6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(B-E) Differences of angiogenesis and fibrosis (B), anti-tumor immune infiltrate (C), tumor proliferation rate (D) and pro-tumor immune infiltrate (E) among HPSI and LPSI DLBCL samples of the training cohort.</w:t>
      </w:r>
    </w:p>
    <w:p w14:paraId="1FEE7140" w14:textId="4C0D3B13" w:rsidR="00E118FF" w:rsidRPr="00F47B7D" w:rsidRDefault="00E9542A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(F) Distribution of innate and adaptive immune cells infiltrating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within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the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TME of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HPSI and LPSI DLBCL samples </w:t>
      </w:r>
      <w:r w:rsidR="00023870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in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the training cohort.</w:t>
      </w:r>
    </w:p>
    <w:p w14:paraId="014B4AF2" w14:textId="77777777" w:rsidR="001354CB" w:rsidRPr="00F47B7D" w:rsidRDefault="001354CB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BB9EF36" w14:textId="6DA20143" w:rsidR="0031362E" w:rsidRPr="00F47B7D" w:rsidRDefault="001354CB" w:rsidP="0031362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S9</w:t>
      </w:r>
      <w:r w:rsidR="00C12B88" w:rsidRPr="00F47B7D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C12B88" w:rsidRPr="00F47B7D">
        <w:rPr>
          <w:rFonts w:ascii="Times New Roman" w:hAnsi="Times New Roman" w:cs="Times New Roman"/>
          <w:b/>
          <w:sz w:val="24"/>
          <w:szCs w:val="24"/>
        </w:rPr>
        <w:t xml:space="preserve"> Related to Figure 5</w:t>
      </w:r>
      <w:r w:rsidR="0031362E" w:rsidRPr="00F47B7D">
        <w:rPr>
          <w:rFonts w:ascii="Times New Roman" w:hAnsi="Times New Roman" w:cs="Times New Roman"/>
          <w:b/>
          <w:sz w:val="24"/>
          <w:szCs w:val="24"/>
        </w:rPr>
        <w:t>. Genomic changes of 17-gene-based subgroups in DLBCL from the cohort of Chapuy et al.</w:t>
      </w:r>
    </w:p>
    <w:p w14:paraId="471AB612" w14:textId="0D05BB13" w:rsidR="0031362E" w:rsidRPr="00F47B7D" w:rsidRDefault="0031362E" w:rsidP="003136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B7D">
        <w:rPr>
          <w:rFonts w:ascii="Times New Roman" w:hAnsi="Times New Roman" w:cs="Times New Roman"/>
          <w:sz w:val="24"/>
          <w:szCs w:val="24"/>
        </w:rPr>
        <w:t xml:space="preserve">(A) Mutation frequencies for the gene panel of DLBCL patients belonging to the LPSI and HPSI subgroups. </w:t>
      </w:r>
    </w:p>
    <w:p w14:paraId="5F3C7327" w14:textId="37E72C1C" w:rsidR="0081550C" w:rsidRPr="00F47B7D" w:rsidRDefault="0031362E" w:rsidP="003136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B7D">
        <w:rPr>
          <w:rFonts w:ascii="Times New Roman" w:hAnsi="Times New Roman" w:cs="Times New Roman"/>
          <w:sz w:val="24"/>
          <w:szCs w:val="24"/>
        </w:rPr>
        <w:t>(B) The frequency of genomic alterations in cancer hallmark pathways was examined among LPSI and HPSI DLBCL samples, with color saturation representing the frequency.</w:t>
      </w:r>
    </w:p>
    <w:p w14:paraId="3218ED10" w14:textId="77777777" w:rsidR="001354CB" w:rsidRPr="00F47B7D" w:rsidRDefault="001354CB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</w:p>
    <w:p w14:paraId="27A3349B" w14:textId="720384CD" w:rsidR="00E9542A" w:rsidRPr="00F47B7D" w:rsidRDefault="00E9542A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C12B88" w:rsidRPr="00F47B7D">
        <w:rPr>
          <w:rFonts w:ascii="Times New Roman" w:hAnsi="Times New Roman" w:cs="Times New Roman"/>
          <w:b/>
          <w:sz w:val="24"/>
          <w:szCs w:val="24"/>
        </w:rPr>
        <w:t>10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Related to Figure 6. </w:t>
      </w:r>
      <w:r w:rsidR="00B41EE5" w:rsidRPr="00F47B7D">
        <w:rPr>
          <w:rFonts w:ascii="Times New Roman" w:hAnsi="Times New Roman" w:cs="Times New Roman"/>
          <w:b/>
          <w:sz w:val="24"/>
          <w:szCs w:val="24"/>
        </w:rPr>
        <w:t xml:space="preserve">Elevated expression of SRM </w:t>
      </w:r>
      <w:r w:rsidR="00363B4B" w:rsidRPr="00F47B7D">
        <w:rPr>
          <w:rFonts w:ascii="Times New Roman" w:hAnsi="Times New Roman" w:cs="Times New Roman"/>
          <w:b/>
          <w:sz w:val="24"/>
          <w:szCs w:val="24"/>
        </w:rPr>
        <w:t>mediates the immune-deserted phenotype of HPSI-DLBCL</w:t>
      </w:r>
    </w:p>
    <w:p w14:paraId="049BEA7B" w14:textId="2A69A879" w:rsidR="00C00472" w:rsidRPr="00F47B7D" w:rsidRDefault="00C00472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(A)</w:t>
      </w:r>
      <w:r w:rsidR="00363B4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Differences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in immune cell infiltration within the </w:t>
      </w:r>
      <w:r w:rsidR="00363B4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TME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among DLBCL cases with high and low SRM expression.</w:t>
      </w:r>
    </w:p>
    <w:p w14:paraId="6C7F274E" w14:textId="418BC167" w:rsidR="00C00472" w:rsidRPr="00F47B7D" w:rsidRDefault="00C00472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(B) </w:t>
      </w:r>
      <w:r w:rsidR="00363B4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Differences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in immune scores </w:t>
      </w:r>
      <w:r w:rsidR="00363B4B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among </w:t>
      </w: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DLBCL cases with high and low SRM expression.</w:t>
      </w:r>
    </w:p>
    <w:p w14:paraId="1878DBE2" w14:textId="23996F95" w:rsidR="00E9542A" w:rsidRPr="00F47B7D" w:rsidRDefault="00C00472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(C) GSEA of cancer hallmark pathways in DLBCL cases with high versus low SRM expression.</w:t>
      </w:r>
      <w:r w:rsidR="00E9542A"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 NES, normalized enrichment score. Ajusted P value represents false discovery rate (FDR).</w:t>
      </w:r>
    </w:p>
    <w:p w14:paraId="6F982572" w14:textId="5B498A99" w:rsidR="00E9542A" w:rsidRPr="00F47B7D" w:rsidRDefault="00C00472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(D-J) Investigating the correlation between SRM expression level and GSVA enrichment scores of cancer hallmark pathways in DLBCL through correlation analysis.</w:t>
      </w:r>
    </w:p>
    <w:p w14:paraId="3E2D78FE" w14:textId="77777777" w:rsidR="0081550C" w:rsidRPr="00F47B7D" w:rsidRDefault="0081550C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</w:p>
    <w:p w14:paraId="760A8A8A" w14:textId="1180E9CD" w:rsidR="0081550C" w:rsidRPr="00F47B7D" w:rsidRDefault="000033BA" w:rsidP="002B5E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</w:t>
      </w:r>
      <w:r w:rsidR="00C12B88" w:rsidRPr="00F47B7D">
        <w:rPr>
          <w:rFonts w:ascii="Times New Roman" w:hAnsi="Times New Roman" w:cs="Times New Roman"/>
          <w:b/>
          <w:sz w:val="24"/>
          <w:szCs w:val="24"/>
        </w:rPr>
        <w:t>11</w:t>
      </w:r>
      <w:r w:rsidRPr="00F47B7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071A0" w:rsidRPr="00F47B7D">
        <w:rPr>
          <w:rFonts w:ascii="Times New Roman" w:hAnsi="Times New Roman" w:cs="Times New Roman"/>
          <w:b/>
          <w:sz w:val="24"/>
          <w:szCs w:val="24"/>
        </w:rPr>
        <w:t>Excessive expression of SRM induces an anti-inflammatory and immune-tolerant phenotype in dendritic cells.</w:t>
      </w:r>
    </w:p>
    <w:p w14:paraId="63A3DE83" w14:textId="77777777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(A) Box plots depicting the amplified transcript count in dendritic cells (DCs) with high SRM expression in DLBCL. </w:t>
      </w:r>
    </w:p>
    <w:p w14:paraId="209C349D" w14:textId="5124B366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(B) Dot plot illustrating the expression of co-stimulatory molecules, MHC molecules, and marker genes associated with tolerogenic DCs (tol-DC) between SRM high- versus low-expressing DCs.</w:t>
      </w:r>
    </w:p>
    <w:p w14:paraId="239B2987" w14:textId="77777777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(C) The violin plot demonstrating the downregulation of the chemokine pathway in DCs with higher SRM expression.</w:t>
      </w:r>
    </w:p>
    <w:p w14:paraId="1294E641" w14:textId="77777777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(D) The heatmap showing the normalized enrichment scores (NES) of cancer hallmark pathways in DCs with high and low SRM expression in DLBCL, represented by a color gradient from blue (low) to red (high).</w:t>
      </w:r>
    </w:p>
    <w:p w14:paraId="755206A7" w14:textId="77777777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(E) The heatmap displaying the normalized enrichment scores (NES) of metabolic pathways in DCs with high and low SRM expression in DLBCL, represented by a color gradient from blue (low) to red (high)</w:t>
      </w:r>
    </w:p>
    <w:p w14:paraId="02D417A2" w14:textId="77777777" w:rsidR="0081550C" w:rsidRPr="00F47B7D" w:rsidRDefault="0081550C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</w:p>
    <w:p w14:paraId="0D6C18A0" w14:textId="494F15BB" w:rsidR="006E0D59" w:rsidRPr="00F47B7D" w:rsidRDefault="00C12B88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hAnsi="Times New Roman" w:cs="Times New Roman"/>
          <w:b/>
          <w:sz w:val="24"/>
          <w:szCs w:val="24"/>
        </w:rPr>
        <w:t>Figure S12</w:t>
      </w:r>
      <w:r w:rsidR="006E0D59" w:rsidRPr="00F47B7D">
        <w:rPr>
          <w:rFonts w:ascii="Times New Roman" w:hAnsi="Times New Roman" w:cs="Times New Roman"/>
          <w:b/>
          <w:sz w:val="24"/>
          <w:szCs w:val="24"/>
        </w:rPr>
        <w:t>. Nomogram to predict 3-year and 5-year overall survival (OS)</w:t>
      </w:r>
      <w:r w:rsidR="0081550C" w:rsidRPr="00F47B7D">
        <w:rPr>
          <w:rFonts w:ascii="Times New Roman" w:hAnsi="Times New Roman" w:cs="Times New Roman"/>
          <w:b/>
          <w:sz w:val="24"/>
          <w:szCs w:val="24"/>
        </w:rPr>
        <w:t>.</w:t>
      </w:r>
    </w:p>
    <w:p w14:paraId="2B15FA63" w14:textId="77777777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 xml:space="preserve">(A) A nomogram to predict patients' prognosis was developed by integrating PSI score, age, subtype, stage, ECOG, and extranodal sites through multivariate Cox regression analysis. </w:t>
      </w:r>
    </w:p>
    <w:p w14:paraId="05337F1C" w14:textId="17ACE3DE" w:rsidR="00F071A0" w:rsidRPr="00F47B7D" w:rsidRDefault="00F071A0" w:rsidP="00F071A0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(B-D) Time-dependent receiver operating characteristic (ROC) curve to evaluate the accuracy of the OS nomogram. (B) The AUC for 3- (left) and 5-(right) year OS of nomogram in the training cohort. (C) The AUC for 3- (left) and 5-(right) year OS of nomogram in the internal validation cohort (GSE31312). (D) The AUC for 3- (left) and 5-(right) year OS of nomogram in the internal validation cohort (GSE10846).</w:t>
      </w:r>
    </w:p>
    <w:p w14:paraId="42C55858" w14:textId="25AA28B4" w:rsidR="006F35AD" w:rsidRPr="00F47B7D" w:rsidRDefault="00F071A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 w:rsidRPr="00F47B7D">
        <w:rPr>
          <w:rFonts w:ascii="Times New Roman" w:eastAsia="SimSun" w:hAnsi="Times New Roman" w:cs="Times New Roman"/>
          <w:spacing w:val="15"/>
          <w:sz w:val="24"/>
          <w:szCs w:val="24"/>
        </w:rPr>
        <w:t>(E) The AUC for 3- (left) and 5-(right) year OS of nomogram in the external validation cohort (GSE117556).</w:t>
      </w:r>
    </w:p>
    <w:p w14:paraId="4155FAAE" w14:textId="5B7A3380" w:rsidR="006F35AD" w:rsidRDefault="006F35AD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</w:p>
    <w:bookmarkStart w:id="1" w:name="_GoBack"/>
    <w:p w14:paraId="7A1698A0" w14:textId="43BB76EA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spacing w:val="15"/>
          <w:sz w:val="24"/>
          <w:szCs w:val="24"/>
        </w:rPr>
        <w:object w:dxaOrig="12301" w:dyaOrig="11131" w14:anchorId="4FEA3E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01pt;height:453pt" o:ole="">
            <v:imagedata r:id="rId6" o:title=""/>
          </v:shape>
          <o:OLEObject Type="Embed" ProgID="AcroExch.Document.11" ShapeID="_x0000_i1026" DrawAspect="Content" ObjectID="_1798879912" r:id="rId7"/>
        </w:object>
      </w:r>
      <w:bookmarkEnd w:id="1"/>
    </w:p>
    <w:p w14:paraId="31407B43" w14:textId="3D5708F3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5AEA10D2" wp14:editId="7FF38C37">
            <wp:extent cx="5274310" cy="5333365"/>
            <wp:effectExtent l="0" t="0" r="2540" b="6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3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F2C91" w14:textId="3C8C55BD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6CA93819" wp14:editId="65BDC71B">
            <wp:extent cx="5274310" cy="4408805"/>
            <wp:effectExtent l="0" t="0" r="254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201F5" w14:textId="4D65DBFE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20C2C1F6" wp14:editId="6C27C963">
            <wp:extent cx="5274310" cy="6438265"/>
            <wp:effectExtent l="0" t="0" r="2540" b="63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3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57105" w14:textId="6A7234A5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4A435B65" wp14:editId="35E34245">
            <wp:extent cx="5274310" cy="6658610"/>
            <wp:effectExtent l="0" t="0" r="2540" b="889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5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A8724" w14:textId="61B48809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0A811A72" wp14:editId="2CE82A89">
            <wp:extent cx="4491355" cy="8863330"/>
            <wp:effectExtent l="0" t="0" r="4445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13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398EF" w14:textId="05B33597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67CE52A4" wp14:editId="004582AF">
            <wp:extent cx="5274310" cy="7534910"/>
            <wp:effectExtent l="0" t="0" r="2540" b="889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BA1CE" w14:textId="53E524E9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0FFBEE53" wp14:editId="57397FB5">
            <wp:extent cx="5274310" cy="6765290"/>
            <wp:effectExtent l="0" t="0" r="254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6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D68A" w14:textId="5A3D889A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22A6B88B" wp14:editId="4FC52C33">
            <wp:extent cx="5274310" cy="6002020"/>
            <wp:effectExtent l="0" t="0" r="254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0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E6141" w14:textId="18DC6DF2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2C609082" wp14:editId="389A7738">
            <wp:extent cx="4966970" cy="8863330"/>
            <wp:effectExtent l="0" t="0" r="508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2A525" w14:textId="48011AD6" w:rsidR="00C614C0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10BC4CCD" wp14:editId="3F9EBE8E">
            <wp:extent cx="5274310" cy="6819265"/>
            <wp:effectExtent l="0" t="0" r="2540" b="635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1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F67FE" w14:textId="3947A825" w:rsidR="00C614C0" w:rsidRPr="00F47B7D" w:rsidRDefault="00C614C0" w:rsidP="002B5E74">
      <w:pPr>
        <w:spacing w:line="360" w:lineRule="auto"/>
        <w:rPr>
          <w:rFonts w:ascii="Times New Roman" w:eastAsia="SimSun" w:hAnsi="Times New Roman" w:cs="Times New Roman"/>
          <w:spacing w:val="15"/>
          <w:sz w:val="24"/>
          <w:szCs w:val="24"/>
        </w:rPr>
      </w:pPr>
      <w:r>
        <w:rPr>
          <w:rFonts w:ascii="Times New Roman" w:eastAsia="SimSun" w:hAnsi="Times New Roman" w:cs="Times New Roman"/>
          <w:noProof/>
          <w:spacing w:val="15"/>
          <w:sz w:val="24"/>
          <w:szCs w:val="24"/>
          <w:lang w:val="en-IN" w:eastAsia="en-IN"/>
        </w:rPr>
        <w:drawing>
          <wp:inline distT="0" distB="0" distL="0" distR="0" wp14:anchorId="0D0A68A3" wp14:editId="69DB559A">
            <wp:extent cx="5274310" cy="4746625"/>
            <wp:effectExtent l="0" t="0" r="254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14C0" w:rsidRPr="00F47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378AF" w14:textId="77777777" w:rsidR="00820E93" w:rsidRDefault="00820E93" w:rsidP="00ED5409">
      <w:r>
        <w:separator/>
      </w:r>
    </w:p>
  </w:endnote>
  <w:endnote w:type="continuationSeparator" w:id="0">
    <w:p w14:paraId="7806899B" w14:textId="77777777" w:rsidR="00820E93" w:rsidRDefault="00820E93" w:rsidP="00ED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6F2CE" w14:textId="77777777" w:rsidR="00820E93" w:rsidRDefault="00820E93" w:rsidP="00ED5409">
      <w:r>
        <w:separator/>
      </w:r>
    </w:p>
  </w:footnote>
  <w:footnote w:type="continuationSeparator" w:id="0">
    <w:p w14:paraId="2A63D39B" w14:textId="77777777" w:rsidR="00820E93" w:rsidRDefault="00820E93" w:rsidP="00ED54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E6D"/>
    <w:rsid w:val="000019FF"/>
    <w:rsid w:val="00002606"/>
    <w:rsid w:val="000033BA"/>
    <w:rsid w:val="00006B7B"/>
    <w:rsid w:val="00017120"/>
    <w:rsid w:val="00023870"/>
    <w:rsid w:val="00044E82"/>
    <w:rsid w:val="00063FF2"/>
    <w:rsid w:val="000754B6"/>
    <w:rsid w:val="000973CB"/>
    <w:rsid w:val="000D48EE"/>
    <w:rsid w:val="000D4D20"/>
    <w:rsid w:val="000D6CBB"/>
    <w:rsid w:val="000E7F31"/>
    <w:rsid w:val="000F7ADB"/>
    <w:rsid w:val="0011657D"/>
    <w:rsid w:val="001354CB"/>
    <w:rsid w:val="001C2FCB"/>
    <w:rsid w:val="0023238B"/>
    <w:rsid w:val="00247641"/>
    <w:rsid w:val="00267F43"/>
    <w:rsid w:val="002B5E74"/>
    <w:rsid w:val="002C5747"/>
    <w:rsid w:val="002C77B9"/>
    <w:rsid w:val="002F55A6"/>
    <w:rsid w:val="00305FE7"/>
    <w:rsid w:val="0031362E"/>
    <w:rsid w:val="003540AE"/>
    <w:rsid w:val="00363B4B"/>
    <w:rsid w:val="0037729E"/>
    <w:rsid w:val="003B4334"/>
    <w:rsid w:val="003F4248"/>
    <w:rsid w:val="00405E87"/>
    <w:rsid w:val="004106A9"/>
    <w:rsid w:val="004168A1"/>
    <w:rsid w:val="00431BA4"/>
    <w:rsid w:val="00431F5F"/>
    <w:rsid w:val="00470C69"/>
    <w:rsid w:val="00494F35"/>
    <w:rsid w:val="004A2EC0"/>
    <w:rsid w:val="004B394B"/>
    <w:rsid w:val="00505D87"/>
    <w:rsid w:val="005061FE"/>
    <w:rsid w:val="00521676"/>
    <w:rsid w:val="00523A6B"/>
    <w:rsid w:val="00526EBD"/>
    <w:rsid w:val="00552B1F"/>
    <w:rsid w:val="00597D0F"/>
    <w:rsid w:val="005A3F92"/>
    <w:rsid w:val="005C6169"/>
    <w:rsid w:val="00627B11"/>
    <w:rsid w:val="006629BE"/>
    <w:rsid w:val="00697955"/>
    <w:rsid w:val="006A1985"/>
    <w:rsid w:val="006B5E03"/>
    <w:rsid w:val="006C520D"/>
    <w:rsid w:val="006D3EC9"/>
    <w:rsid w:val="006E0D59"/>
    <w:rsid w:val="006E2C7A"/>
    <w:rsid w:val="006F35AD"/>
    <w:rsid w:val="007103E8"/>
    <w:rsid w:val="0074409E"/>
    <w:rsid w:val="00755F7B"/>
    <w:rsid w:val="00756C5B"/>
    <w:rsid w:val="00766DE6"/>
    <w:rsid w:val="007A2FD9"/>
    <w:rsid w:val="007E5449"/>
    <w:rsid w:val="007E794B"/>
    <w:rsid w:val="0081550C"/>
    <w:rsid w:val="00820E93"/>
    <w:rsid w:val="00830E6D"/>
    <w:rsid w:val="008A5F96"/>
    <w:rsid w:val="00901859"/>
    <w:rsid w:val="00921066"/>
    <w:rsid w:val="0093310A"/>
    <w:rsid w:val="0094448B"/>
    <w:rsid w:val="00952A43"/>
    <w:rsid w:val="0096325D"/>
    <w:rsid w:val="0098080F"/>
    <w:rsid w:val="009C0DCD"/>
    <w:rsid w:val="009E41D8"/>
    <w:rsid w:val="00A116BB"/>
    <w:rsid w:val="00A421F3"/>
    <w:rsid w:val="00A63484"/>
    <w:rsid w:val="00A8795F"/>
    <w:rsid w:val="00A92122"/>
    <w:rsid w:val="00A9299F"/>
    <w:rsid w:val="00AC5D62"/>
    <w:rsid w:val="00AE53AD"/>
    <w:rsid w:val="00B17E1E"/>
    <w:rsid w:val="00B35006"/>
    <w:rsid w:val="00B369A9"/>
    <w:rsid w:val="00B41EE5"/>
    <w:rsid w:val="00B71E51"/>
    <w:rsid w:val="00B86D28"/>
    <w:rsid w:val="00BB2895"/>
    <w:rsid w:val="00BC5F83"/>
    <w:rsid w:val="00BC7B36"/>
    <w:rsid w:val="00BE28F4"/>
    <w:rsid w:val="00BF328D"/>
    <w:rsid w:val="00C00472"/>
    <w:rsid w:val="00C12B88"/>
    <w:rsid w:val="00C200B7"/>
    <w:rsid w:val="00C40834"/>
    <w:rsid w:val="00C614C0"/>
    <w:rsid w:val="00C970D7"/>
    <w:rsid w:val="00CA054E"/>
    <w:rsid w:val="00CD35D9"/>
    <w:rsid w:val="00CE1BD1"/>
    <w:rsid w:val="00D16012"/>
    <w:rsid w:val="00D26B39"/>
    <w:rsid w:val="00D47AEC"/>
    <w:rsid w:val="00D62006"/>
    <w:rsid w:val="00D662C4"/>
    <w:rsid w:val="00DD5613"/>
    <w:rsid w:val="00E118FF"/>
    <w:rsid w:val="00E55E45"/>
    <w:rsid w:val="00E6499D"/>
    <w:rsid w:val="00E9542A"/>
    <w:rsid w:val="00EB1B79"/>
    <w:rsid w:val="00ED5409"/>
    <w:rsid w:val="00EE0961"/>
    <w:rsid w:val="00EE4231"/>
    <w:rsid w:val="00EF5814"/>
    <w:rsid w:val="00F071A0"/>
    <w:rsid w:val="00F1241E"/>
    <w:rsid w:val="00F20D6F"/>
    <w:rsid w:val="00F45A92"/>
    <w:rsid w:val="00F47B7D"/>
    <w:rsid w:val="00F6498B"/>
    <w:rsid w:val="00F74B64"/>
    <w:rsid w:val="00F82CD0"/>
    <w:rsid w:val="00FA1E09"/>
    <w:rsid w:val="00FB601C"/>
    <w:rsid w:val="00FC4CF5"/>
    <w:rsid w:val="00FE384E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42B57F"/>
  <w15:chartTrackingRefBased/>
  <w15:docId w15:val="{0B39E73F-CE34-4993-BF00-2D3C25A3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3A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4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D54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D54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D54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5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ettings" Target="settings.xml"/><Relationship Id="rId16" Type="http://schemas.openxmlformats.org/officeDocument/2006/relationships/image" Target="media/image10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17</Pages>
  <Words>1386</Words>
  <Characters>7902</Characters>
  <Application>Microsoft Office Word</Application>
  <DocSecurity>0</DocSecurity>
  <Lines>65</Lines>
  <Paragraphs>18</Paragraphs>
  <ScaleCrop>false</ScaleCrop>
  <Company/>
  <LinksUpToDate>false</LinksUpToDate>
  <CharactersWithSpaces>9270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嘉</dc:creator>
  <cp:keywords/>
  <dc:description/>
  <cp:lastModifiedBy>Saranya Manogaran</cp:lastModifiedBy>
  <cp:revision>13</cp:revision>
  <dcterms:created xsi:type="dcterms:W3CDTF">2023-09-19T15:19:00Z</dcterms:created>
  <dcterms:modified xsi:type="dcterms:W3CDTF">2025-01-20T06:35:00Z</dcterms:modified>
</cp:coreProperties>
</file>