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78CC64">
      <w:pPr>
        <w:spacing w:before="240" w:beforeLines="100" w:line="480" w:lineRule="auto"/>
        <w:rPr>
          <w:rFonts w:cs="Times New Roman"/>
          <w:sz w:val="20"/>
          <w:szCs w:val="20"/>
        </w:rPr>
      </w:pPr>
      <w:r>
        <w:rPr>
          <w:rFonts w:cs="Times New Roman"/>
          <w:b/>
          <w:sz w:val="20"/>
          <w:szCs w:val="20"/>
        </w:rPr>
        <w:t xml:space="preserve">Types of paper: </w:t>
      </w:r>
      <w:r>
        <w:rPr>
          <w:rFonts w:cs="Times New Roman"/>
          <w:sz w:val="20"/>
          <w:szCs w:val="20"/>
        </w:rPr>
        <w:t>R</w:t>
      </w:r>
      <w:r>
        <w:rPr>
          <w:rFonts w:hint="eastAsia" w:cs="Times New Roman"/>
          <w:sz w:val="20"/>
          <w:szCs w:val="20"/>
        </w:rPr>
        <w:t>esearch</w:t>
      </w:r>
      <w:r>
        <w:rPr>
          <w:rFonts w:cs="Times New Roman"/>
          <w:sz w:val="20"/>
          <w:szCs w:val="20"/>
        </w:rPr>
        <w:t xml:space="preserve"> paper</w:t>
      </w:r>
    </w:p>
    <w:p w14:paraId="0F45CF67">
      <w:pPr>
        <w:spacing w:line="480" w:lineRule="auto"/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>Title:</w:t>
      </w:r>
      <w:r>
        <w:rPr>
          <w:rFonts w:hint="eastAsia" w:cs="Times New Roman"/>
          <w:b/>
          <w:sz w:val="20"/>
          <w:szCs w:val="20"/>
        </w:rPr>
        <w:t>Molecular Mechanism Study on the Contribution of Open-Fire Flue-curing Technology to Tobacco Leaf Aroma</w:t>
      </w:r>
    </w:p>
    <w:p w14:paraId="0432694E">
      <w:pPr>
        <w:pStyle w:val="28"/>
        <w:snapToGrid w:val="0"/>
        <w:spacing w:before="120" w:beforeLines="50" w:after="120" w:afterLines="50" w:line="480" w:lineRule="auto"/>
        <w:ind w:firstLine="0" w:firstLineChars="0"/>
        <w:rPr>
          <w:rFonts w:eastAsia="宋体" w:cs="Times New Roman"/>
        </w:rPr>
      </w:pPr>
      <w:r>
        <w:rPr>
          <w:rFonts w:cs="Times New Roman"/>
          <w:b/>
          <w:sz w:val="20"/>
          <w:szCs w:val="20"/>
        </w:rPr>
        <w:t>Author names and affiliations:</w:t>
      </w:r>
      <w:r>
        <w:rPr>
          <w:rFonts w:eastAsia="宋体" w:cs="Times New Roman"/>
          <w:b/>
          <w:sz w:val="20"/>
          <w:szCs w:val="20"/>
        </w:rPr>
        <w:t xml:space="preserve"> </w:t>
      </w:r>
      <w:r>
        <w:rPr>
          <w:rFonts w:hint="eastAsia" w:eastAsia="宋体" w:cs="Times New Roman"/>
        </w:rPr>
        <w:t>Kaiyuan Gu</w:t>
      </w:r>
      <w:r>
        <w:rPr>
          <w:rFonts w:hint="eastAsia" w:eastAsia="宋体" w:cs="Times New Roman"/>
          <w:vertAlign w:val="superscript"/>
        </w:rPr>
        <w:t>1,2</w:t>
      </w:r>
      <w:r>
        <w:rPr>
          <w:rFonts w:hint="eastAsia" w:eastAsia="宋体" w:cs="Times New Roman"/>
        </w:rPr>
        <w:t>, Jialiang Li</w:t>
      </w:r>
      <w:r>
        <w:rPr>
          <w:rFonts w:hint="eastAsia" w:eastAsia="宋体" w:cs="Times New Roman"/>
          <w:vertAlign w:val="superscript"/>
        </w:rPr>
        <w:t>1</w:t>
      </w:r>
      <w:r>
        <w:rPr>
          <w:rFonts w:hint="eastAsia" w:eastAsia="宋体" w:cs="Times New Roman"/>
        </w:rPr>
        <w:t>, Zhao Lu</w:t>
      </w:r>
      <w:r>
        <w:rPr>
          <w:rFonts w:hint="eastAsia" w:eastAsia="宋体" w:cs="Times New Roman"/>
          <w:vertAlign w:val="superscript"/>
        </w:rPr>
        <w:t>1</w:t>
      </w:r>
      <w:r>
        <w:rPr>
          <w:rFonts w:hint="eastAsia" w:eastAsia="宋体" w:cs="Times New Roman"/>
        </w:rPr>
        <w:t>, Jiaen Su</w:t>
      </w:r>
      <w:r>
        <w:rPr>
          <w:rFonts w:hint="eastAsia" w:eastAsia="宋体" w:cs="Times New Roman"/>
          <w:vertAlign w:val="superscript"/>
        </w:rPr>
        <w:t>1</w:t>
      </w:r>
      <w:r>
        <w:rPr>
          <w:rFonts w:hint="eastAsia" w:eastAsia="宋体" w:cs="Times New Roman"/>
        </w:rPr>
        <w:t>, Ming Liu</w:t>
      </w:r>
      <w:r>
        <w:rPr>
          <w:rFonts w:hint="eastAsia" w:eastAsia="宋体" w:cs="Times New Roman"/>
          <w:vertAlign w:val="superscript"/>
        </w:rPr>
        <w:t>2</w:t>
      </w:r>
      <w:r>
        <w:rPr>
          <w:rFonts w:hint="eastAsia" w:eastAsia="宋体" w:cs="Times New Roman"/>
        </w:rPr>
        <w:t>, Xianglu Liu</w:t>
      </w:r>
      <w:r>
        <w:rPr>
          <w:rFonts w:hint="eastAsia" w:eastAsia="宋体" w:cs="Times New Roman"/>
          <w:vertAlign w:val="superscript"/>
        </w:rPr>
        <w:t>2</w:t>
      </w:r>
      <w:r>
        <w:rPr>
          <w:rFonts w:hint="eastAsia" w:eastAsia="宋体" w:cs="Times New Roman"/>
        </w:rPr>
        <w:t>, Binbin Hu</w:t>
      </w:r>
      <w:r>
        <w:rPr>
          <w:rFonts w:hint="eastAsia" w:eastAsia="宋体" w:cs="Times New Roman"/>
          <w:vertAlign w:val="superscript"/>
        </w:rPr>
        <w:t>1</w:t>
      </w:r>
      <w:r>
        <w:rPr>
          <w:rFonts w:hint="eastAsia" w:eastAsia="宋体" w:cs="Times New Roman"/>
        </w:rPr>
        <w:t>, Yonglei Jiang</w:t>
      </w:r>
      <w:r>
        <w:rPr>
          <w:rFonts w:hint="eastAsia" w:eastAsia="宋体" w:cs="Times New Roman"/>
          <w:vertAlign w:val="superscript"/>
        </w:rPr>
        <w:t>1</w:t>
      </w:r>
      <w:r>
        <w:rPr>
          <w:rFonts w:hint="eastAsia" w:eastAsia="宋体" w:cs="Times New Roman"/>
        </w:rPr>
        <w:t>, Yi Chen</w:t>
      </w:r>
      <w:r>
        <w:rPr>
          <w:rFonts w:hint="eastAsia" w:eastAsia="宋体" w:cs="Times New Roman"/>
          <w:vertAlign w:val="superscript"/>
        </w:rPr>
        <w:t>1,⁎</w:t>
      </w:r>
    </w:p>
    <w:p w14:paraId="1CFE825F">
      <w:pPr>
        <w:rPr>
          <w:rFonts w:eastAsia="宋体" w:cs="Times New Roman"/>
          <w:szCs w:val="21"/>
        </w:rPr>
      </w:pPr>
      <w:r>
        <w:rPr>
          <w:rFonts w:hint="eastAsia" w:eastAsia="宋体" w:cs="Times New Roman"/>
          <w:szCs w:val="21"/>
        </w:rPr>
        <w:t>1</w:t>
      </w:r>
      <w:r>
        <w:rPr>
          <w:rFonts w:eastAsia="宋体" w:cs="Times New Roman"/>
          <w:szCs w:val="21"/>
        </w:rPr>
        <w:t xml:space="preserve"> </w:t>
      </w:r>
      <w:r>
        <w:rPr>
          <w:rFonts w:hint="eastAsia" w:eastAsia="宋体" w:cs="Times New Roman"/>
          <w:szCs w:val="21"/>
        </w:rPr>
        <w:t>Yunnan Academy of Tobacco Agricultural Sciences, Kunming, Yunnan 650021, China</w:t>
      </w:r>
    </w:p>
    <w:p w14:paraId="6ADC305B">
      <w:pPr>
        <w:rPr>
          <w:rFonts w:eastAsia="宋体" w:cs="Times New Roman"/>
          <w:szCs w:val="21"/>
        </w:rPr>
      </w:pPr>
      <w:r>
        <w:rPr>
          <w:rFonts w:hint="eastAsia" w:eastAsia="宋体" w:cs="Times New Roman"/>
          <w:szCs w:val="21"/>
        </w:rPr>
        <w:t>2</w:t>
      </w:r>
      <w:r>
        <w:rPr>
          <w:rFonts w:eastAsia="宋体" w:cs="Times New Roman"/>
          <w:szCs w:val="21"/>
        </w:rPr>
        <w:t xml:space="preserve"> College of Agronomy and Biotechnology, Southwest University / Engineering Research Center of South Upland Agriculture, Ministry of Education, Chongqing, 400715,</w:t>
      </w:r>
      <w:r>
        <w:rPr>
          <w:rFonts w:hint="eastAsia" w:eastAsia="宋体" w:cs="Times New Roman"/>
          <w:szCs w:val="21"/>
        </w:rPr>
        <w:t xml:space="preserve"> </w:t>
      </w:r>
      <w:r>
        <w:rPr>
          <w:rFonts w:eastAsia="宋体" w:cs="Times New Roman"/>
          <w:szCs w:val="21"/>
        </w:rPr>
        <w:t>China</w:t>
      </w:r>
    </w:p>
    <w:p w14:paraId="1C37F598">
      <w:pPr>
        <w:rPr>
          <w:rFonts w:eastAsia="宋体" w:cs="Times New Roman"/>
          <w:szCs w:val="21"/>
        </w:rPr>
      </w:pPr>
    </w:p>
    <w:p w14:paraId="29D5764D">
      <w:pPr>
        <w:widowControl/>
        <w:spacing w:before="120" w:after="240"/>
        <w:jc w:val="left"/>
        <w:rPr>
          <w:rFonts w:cs="Times New Roman"/>
          <w:kern w:val="0"/>
          <w:sz w:val="24"/>
        </w:rPr>
      </w:pPr>
      <w:r>
        <w:rPr>
          <w:rFonts w:cs="Times New Roman"/>
          <w:kern w:val="0"/>
          <w:sz w:val="24"/>
          <w:vertAlign w:val="superscript"/>
        </w:rPr>
        <w:t>⁎</w:t>
      </w:r>
      <w:r>
        <w:rPr>
          <w:rFonts w:cs="Times New Roman"/>
          <w:kern w:val="0"/>
          <w:sz w:val="24"/>
        </w:rPr>
        <w:t xml:space="preserve">Corresponding authors: </w:t>
      </w:r>
    </w:p>
    <w:p w14:paraId="4248A099">
      <w:pPr>
        <w:widowControl/>
        <w:spacing w:before="120" w:after="240"/>
        <w:rPr>
          <w:rFonts w:cs="Times New Roman"/>
          <w:b/>
          <w:sz w:val="20"/>
          <w:szCs w:val="20"/>
        </w:rPr>
        <w:sectPr>
          <w:footerReference r:id="rId3" w:type="default"/>
          <w:type w:val="continuous"/>
          <w:pgSz w:w="11906" w:h="16838"/>
          <w:pgMar w:top="1440" w:right="1797" w:bottom="1440" w:left="1797" w:header="851" w:footer="992" w:gutter="0"/>
          <w:lnNumType w:countBy="1" w:restart="continuous"/>
          <w:cols w:space="425" w:num="1"/>
          <w:docGrid w:linePitch="312" w:charSpace="0"/>
        </w:sectPr>
      </w:pPr>
      <w:r>
        <w:rPr>
          <w:rFonts w:cs="Times New Roman"/>
          <w:kern w:val="0"/>
          <w:sz w:val="24"/>
          <w:vertAlign w:val="superscript"/>
        </w:rPr>
        <w:t>⁎</w:t>
      </w:r>
      <w:r>
        <w:rPr>
          <w:rFonts w:cs="Times New Roman"/>
          <w:kern w:val="0"/>
          <w:sz w:val="24"/>
        </w:rPr>
        <w:t xml:space="preserve">Corresponding authors: Yi Chen </w:t>
      </w:r>
      <w:r>
        <w:fldChar w:fldCharType="begin"/>
      </w:r>
      <w:r>
        <w:instrText xml:space="preserve"> HYPERLINK "mailto:(cytobacco007@sina.com)" </w:instrText>
      </w:r>
      <w:r>
        <w:fldChar w:fldCharType="separate"/>
      </w:r>
      <w:r>
        <w:rPr>
          <w:rStyle w:val="12"/>
          <w:rFonts w:cs="Times New Roman"/>
          <w:kern w:val="0"/>
          <w:sz w:val="24"/>
        </w:rPr>
        <w:t>(cytobacco007@sina.com)</w:t>
      </w:r>
      <w:r>
        <w:rPr>
          <w:rStyle w:val="12"/>
          <w:rFonts w:cs="Times New Roman"/>
          <w:kern w:val="0"/>
          <w:sz w:val="24"/>
        </w:rPr>
        <w:fldChar w:fldCharType="end"/>
      </w:r>
    </w:p>
    <w:p w14:paraId="0AC54D82">
      <w:pPr>
        <w:rPr>
          <w:rFonts w:cs="Times New Roman"/>
          <w:b/>
          <w:sz w:val="20"/>
          <w:szCs w:val="20"/>
        </w:rPr>
      </w:pPr>
      <w:r>
        <w:rPr>
          <w:rFonts w:cs="Times New Roman"/>
          <w:b/>
          <w:sz w:val="20"/>
          <w:szCs w:val="20"/>
        </w:rPr>
        <w:t xml:space="preserve">Supplementary </w:t>
      </w:r>
    </w:p>
    <w:p w14:paraId="4E3B278D">
      <w:pPr>
        <w:rPr>
          <w:rFonts w:cs="Times New Roman"/>
          <w:b/>
          <w:sz w:val="20"/>
          <w:szCs w:val="20"/>
        </w:rPr>
      </w:pPr>
      <w:r>
        <w:rPr>
          <w:rFonts w:hint="eastAsia" w:cs="Times New Roman"/>
          <w:b/>
          <w:sz w:val="20"/>
          <w:szCs w:val="20"/>
        </w:rPr>
        <w:t xml:space="preserve">Table S1   </w:t>
      </w:r>
      <w:r>
        <w:rPr>
          <w:rFonts w:hint="eastAsia" w:eastAsia="宋体" w:cs="Times New Roman"/>
          <w:szCs w:val="21"/>
        </w:rPr>
        <w:t>Chemical properties of freshly cured tobacco leaves</w:t>
      </w:r>
    </w:p>
    <w:p w14:paraId="4E693652">
      <w:pPr>
        <w:widowControl/>
        <w:rPr>
          <w:rFonts w:eastAsia="黑体" w:cs="Times New Roman"/>
          <w:color w:val="000000"/>
          <w:szCs w:val="21"/>
        </w:rPr>
      </w:pPr>
      <w:r>
        <w:rPr>
          <w:rFonts w:hint="eastAsia" w:eastAsia="等线" w:cs="Times New Roman"/>
          <w:b/>
          <w:bCs/>
          <w:color w:val="000000"/>
          <w:kern w:val="0"/>
          <w:sz w:val="20"/>
          <w:szCs w:val="20"/>
        </w:rPr>
        <w:t xml:space="preserve">Figure S1 </w:t>
      </w:r>
      <w:r>
        <w:rPr>
          <w:rFonts w:hint="eastAsia" w:eastAsia="黑体" w:cs="Times New Roman"/>
          <w:color w:val="000000"/>
          <w:szCs w:val="21"/>
        </w:rPr>
        <w:t xml:space="preserve"> </w:t>
      </w:r>
      <w:r>
        <w:rPr>
          <w:rFonts w:hint="eastAsia" w:eastAsia="宋体" w:cs="Times New Roman"/>
          <w:szCs w:val="21"/>
        </w:rPr>
        <w:t>Bulk curing barn model</w:t>
      </w:r>
    </w:p>
    <w:p w14:paraId="3555C96C">
      <w:pPr>
        <w:widowControl/>
        <w:rPr>
          <w:rFonts w:eastAsia="黑体" w:cs="Times New Roman"/>
          <w:color w:val="000000"/>
          <w:szCs w:val="21"/>
        </w:rPr>
      </w:pPr>
      <w:r>
        <w:rPr>
          <w:rFonts w:hint="eastAsia" w:eastAsia="等线" w:cs="Times New Roman"/>
          <w:b/>
          <w:bCs/>
          <w:color w:val="000000"/>
          <w:kern w:val="0"/>
          <w:sz w:val="20"/>
          <w:szCs w:val="20"/>
        </w:rPr>
        <w:t xml:space="preserve">Figure S2 </w:t>
      </w:r>
      <w:r>
        <w:rPr>
          <w:rFonts w:hint="eastAsia" w:eastAsia="黑体" w:cs="Times New Roman"/>
          <w:color w:val="000000"/>
          <w:szCs w:val="21"/>
        </w:rPr>
        <w:t xml:space="preserve"> </w:t>
      </w:r>
      <w:r>
        <w:rPr>
          <w:rFonts w:eastAsia="宋体" w:cs="Times New Roman"/>
          <w:sz w:val="24"/>
          <w:szCs w:val="24"/>
        </w:rPr>
        <w:t>Open fire curing</w:t>
      </w:r>
      <w:r>
        <w:rPr>
          <w:rFonts w:eastAsia="宋体" w:cs="Times New Roman"/>
          <w:szCs w:val="21"/>
        </w:rPr>
        <w:t xml:space="preserve"> barn</w:t>
      </w:r>
      <w:r>
        <w:rPr>
          <w:rFonts w:hint="eastAsia" w:eastAsia="宋体" w:cs="Times New Roman"/>
          <w:szCs w:val="21"/>
        </w:rPr>
        <w:t xml:space="preserve"> model</w:t>
      </w:r>
    </w:p>
    <w:p w14:paraId="371D01B6">
      <w:pPr>
        <w:widowControl/>
        <w:rPr>
          <w:rFonts w:hint="eastAsia" w:eastAsia="等线" w:cs="Times New Roman"/>
          <w:b/>
          <w:bCs/>
          <w:color w:val="000000"/>
          <w:kern w:val="0"/>
          <w:sz w:val="20"/>
          <w:szCs w:val="20"/>
        </w:rPr>
      </w:pPr>
      <w:r>
        <w:rPr>
          <w:rFonts w:hint="eastAsia" w:eastAsia="等线" w:cs="Times New Roman"/>
          <w:b/>
          <w:bCs/>
          <w:color w:val="000000"/>
          <w:kern w:val="0"/>
          <w:sz w:val="20"/>
          <w:szCs w:val="20"/>
        </w:rPr>
        <w:t xml:space="preserve">Figure S3 </w:t>
      </w:r>
      <w:r>
        <w:rPr>
          <w:rFonts w:hint="eastAsia" w:eastAsia="黑体" w:cs="Times New Roman"/>
          <w:color w:val="000000"/>
          <w:szCs w:val="21"/>
        </w:rPr>
        <w:t xml:space="preserve"> </w:t>
      </w:r>
      <w:r>
        <w:rPr>
          <w:rFonts w:hint="eastAsia" w:eastAsia="宋体" w:cs="Times New Roman"/>
          <w:szCs w:val="21"/>
        </w:rPr>
        <w:t>Open-fire flue-curing process</w:t>
      </w:r>
      <w:r>
        <w:rPr>
          <w:rFonts w:hint="eastAsia" w:eastAsia="等线" w:cs="Times New Roman"/>
          <w:b/>
          <w:bCs/>
          <w:color w:val="000000"/>
          <w:kern w:val="0"/>
          <w:sz w:val="20"/>
          <w:szCs w:val="20"/>
        </w:rPr>
        <w:t xml:space="preserve">  </w:t>
      </w:r>
    </w:p>
    <w:p w14:paraId="5BCEBFBB">
      <w:pPr>
        <w:widowControl/>
        <w:rPr>
          <w:rFonts w:hint="eastAsia" w:eastAsia="等线" w:cs="Times New Roman"/>
          <w:b/>
          <w:bCs/>
          <w:color w:val="000000"/>
          <w:kern w:val="0"/>
          <w:sz w:val="20"/>
          <w:szCs w:val="20"/>
        </w:rPr>
      </w:pPr>
      <w:r>
        <w:rPr>
          <w:rFonts w:hint="eastAsia" w:eastAsia="等线" w:cs="Times New Roman"/>
          <w:b/>
          <w:bCs/>
          <w:color w:val="000000"/>
          <w:kern w:val="0"/>
          <w:sz w:val="20"/>
          <w:szCs w:val="20"/>
        </w:rPr>
        <w:t>Figure S</w:t>
      </w:r>
      <w:r>
        <w:rPr>
          <w:rFonts w:hint="eastAsia" w:eastAsia="等线" w:cs="Times New Roman"/>
          <w:b/>
          <w:bCs/>
          <w:color w:val="000000"/>
          <w:kern w:val="0"/>
          <w:sz w:val="20"/>
          <w:szCs w:val="20"/>
          <w:lang w:val="en-US" w:eastAsia="zh-CN"/>
        </w:rPr>
        <w:t xml:space="preserve">4  </w:t>
      </w:r>
      <w:r>
        <w:rPr>
          <w:rFonts w:hint="eastAsia" w:eastAsia="宋体" w:cs="Times New Roman"/>
          <w:szCs w:val="21"/>
        </w:rPr>
        <w:t>Phenotypic and physiological characteristics of open-fire flue-curing and conventional curing</w:t>
      </w:r>
    </w:p>
    <w:p w14:paraId="6ED775E9">
      <w:pPr>
        <w:widowControl/>
        <w:rPr>
          <w:rFonts w:eastAsia="等线" w:cs="Times New Roman"/>
          <w:b/>
          <w:bCs/>
          <w:color w:val="000000"/>
          <w:kern w:val="0"/>
          <w:sz w:val="20"/>
          <w:szCs w:val="20"/>
        </w:rPr>
      </w:pPr>
    </w:p>
    <w:p w14:paraId="5AD360D5">
      <w:pPr>
        <w:jc w:val="center"/>
        <w:rPr>
          <w:rFonts w:eastAsia="宋体" w:cs="Times New Roman"/>
          <w:szCs w:val="21"/>
        </w:rPr>
      </w:pPr>
      <w:r>
        <w:rPr>
          <w:rFonts w:hint="eastAsia" w:eastAsia="宋体" w:cs="Times New Roman"/>
          <w:b/>
          <w:bCs/>
          <w:szCs w:val="21"/>
        </w:rPr>
        <w:t>Table S1</w:t>
      </w:r>
      <w:r>
        <w:rPr>
          <w:rFonts w:hint="eastAsia" w:eastAsia="宋体" w:cs="Times New Roman"/>
          <w:b/>
          <w:bCs/>
          <w:szCs w:val="21"/>
          <w:lang w:val="en-US" w:eastAsia="zh-CN"/>
        </w:rPr>
        <w:t xml:space="preserve"> </w:t>
      </w:r>
      <w:r>
        <w:rPr>
          <w:rFonts w:hint="eastAsia" w:eastAsia="宋体" w:cs="Times New Roman"/>
          <w:szCs w:val="21"/>
        </w:rPr>
        <w:t>Chemical properties of freshly cured tobacco leaves</w:t>
      </w:r>
    </w:p>
    <w:tbl>
      <w:tblPr>
        <w:tblStyle w:val="8"/>
        <w:tblW w:w="13935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0"/>
        <w:gridCol w:w="1299"/>
        <w:gridCol w:w="1668"/>
        <w:gridCol w:w="1441"/>
        <w:gridCol w:w="1308"/>
        <w:gridCol w:w="1308"/>
        <w:gridCol w:w="1330"/>
        <w:gridCol w:w="1325"/>
        <w:gridCol w:w="1428"/>
        <w:gridCol w:w="1308"/>
      </w:tblGrid>
      <w:tr w14:paraId="60D7CE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3" w:hRule="atLeast"/>
        </w:trPr>
        <w:tc>
          <w:tcPr>
            <w:tcW w:w="152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A36A883">
            <w:pPr>
              <w:jc w:val="center"/>
              <w:rPr>
                <w:rFonts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30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DEBA154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 xml:space="preserve"> Treatments </w:t>
            </w:r>
          </w:p>
        </w:tc>
        <w:tc>
          <w:tcPr>
            <w:tcW w:w="1668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398D12E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Reducmg sugar%</w:t>
            </w:r>
          </w:p>
        </w:tc>
        <w:tc>
          <w:tcPr>
            <w:tcW w:w="148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89DBE5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 xml:space="preserve">Total sugars% </w:t>
            </w:r>
          </w:p>
        </w:tc>
        <w:tc>
          <w:tcPr>
            <w:tcW w:w="1177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69C919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 xml:space="preserve">Total N% </w:t>
            </w:r>
          </w:p>
        </w:tc>
        <w:tc>
          <w:tcPr>
            <w:tcW w:w="1308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F89E9E2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 xml:space="preserve">Nicotine% </w:t>
            </w:r>
          </w:p>
        </w:tc>
        <w:tc>
          <w:tcPr>
            <w:tcW w:w="140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8DE3409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 xml:space="preserve">Total K% </w:t>
            </w:r>
          </w:p>
        </w:tc>
        <w:tc>
          <w:tcPr>
            <w:tcW w:w="142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F7EE1D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 xml:space="preserve">Chloride ions% </w:t>
            </w:r>
          </w:p>
        </w:tc>
        <w:tc>
          <w:tcPr>
            <w:tcW w:w="142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1AA9AC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 xml:space="preserve">Starch % </w:t>
            </w:r>
          </w:p>
        </w:tc>
        <w:tc>
          <w:tcPr>
            <w:tcW w:w="121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9014599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Protein%</w:t>
            </w:r>
          </w:p>
        </w:tc>
      </w:tr>
      <w:tr w14:paraId="4C746A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</w:trPr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2C4933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 xml:space="preserve"> Fresh leaves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011773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CK-Fresh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ED5C2A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29.27±0.42a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F57261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14.64±1.82a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31B2C6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2.09±0.48a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A45754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3.5±1.04a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B72607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2.06±0.44a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3AC5C4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0.17±0.11a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C1C759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19.84±6.48a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095E53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8.73±1.57a</w:t>
            </w:r>
          </w:p>
        </w:tc>
      </w:tr>
      <w:tr w14:paraId="3A5415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5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247E84">
            <w:pPr>
              <w:jc w:val="center"/>
              <w:rPr>
                <w:rFonts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166564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X-Fresh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3CAC8F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28.27±0.97a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B4ADE9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13.71±0.48a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8093D1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2.2±0.30a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B3A067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3.45±0.31a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1D6357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2.36±0.71a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78C4DD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0.18±0.05a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253E5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22.14±1.08a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D51A0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9.77±1.29a</w:t>
            </w:r>
          </w:p>
        </w:tc>
      </w:tr>
      <w:tr w14:paraId="569E80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BD0D6E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 xml:space="preserve"> Bake to 38 degrees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B903A2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CK-38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CD536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38.52±2.55a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05E31F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28.58±1.04a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E6FF6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1.77±0.24a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E0851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2.86±0.51a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5E43BC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2.27±0.59a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593341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0.76±0.35a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1001AF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9.57±5.18a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1D56F9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6.27±0.26a</w:t>
            </w:r>
          </w:p>
        </w:tc>
      </w:tr>
      <w:tr w14:paraId="2CD631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5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A4A443">
            <w:pPr>
              <w:jc w:val="center"/>
              <w:rPr>
                <w:rFonts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3E50C4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X-38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AD5268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38.71±0.96b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3F4C80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25.2±1.28b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66B9D7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1.55±0.5b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FF46A29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2.56±0.29a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9986CE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1.96±0.62a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D5537F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0.6±0.38a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F0EDA0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11.41±5.83a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D8FFB2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4.79±2.14b</w:t>
            </w:r>
          </w:p>
        </w:tc>
      </w:tr>
      <w:tr w14:paraId="42A569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52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283E6C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 xml:space="preserve"> Bake to 42 degrees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2EF70E1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CK-42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CA31B2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33.19±1.39a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E137DC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24.95±1.17a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289D41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1.24±0.18a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25B881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2.27±0.37a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40A4C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1.8±0.19a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ABF2DA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0.64±0.08a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908F1B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21.1±5.79a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CEC697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4.44±0.77a</w:t>
            </w:r>
          </w:p>
        </w:tc>
      </w:tr>
      <w:tr w14:paraId="0E6C78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520" w:type="dxa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BF858F">
            <w:pPr>
              <w:jc w:val="center"/>
              <w:rPr>
                <w:rFonts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73A5F9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X-42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B3384C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38.15±1.08b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37261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29.92±1.00b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C7EAFA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1.75±0.16b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8E3657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3.48±0.77a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C75FF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2.09±0.29a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B8DDE4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0.76±0.33a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257441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6.68±2.03b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E9D3BA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4.48±0.82a</w:t>
            </w:r>
          </w:p>
        </w:tc>
      </w:tr>
      <w:tr w14:paraId="5826FF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</w:trPr>
        <w:tc>
          <w:tcPr>
            <w:tcW w:w="1520" w:type="dxa"/>
            <w:vMerge w:val="restart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26A4378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 xml:space="preserve"> At the end of  baking</w:t>
            </w:r>
          </w:p>
        </w:tc>
        <w:tc>
          <w:tcPr>
            <w:tcW w:w="13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AB5052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CK-After</w:t>
            </w:r>
          </w:p>
        </w:tc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4355233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32.49±5.46a</w:t>
            </w:r>
          </w:p>
        </w:tc>
        <w:tc>
          <w:tcPr>
            <w:tcW w:w="14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9F4479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22.68±1.69a</w:t>
            </w:r>
          </w:p>
        </w:tc>
        <w:tc>
          <w:tcPr>
            <w:tcW w:w="1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12968C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2.23±0.16a</w:t>
            </w: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26425D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3.45±0.17a</w:t>
            </w:r>
          </w:p>
        </w:tc>
        <w:tc>
          <w:tcPr>
            <w:tcW w:w="14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CCCAE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2.41±0.17a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6907641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1.02±0.64a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1564E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1.59±0.54a</w:t>
            </w:r>
          </w:p>
        </w:tc>
        <w:tc>
          <w:tcPr>
            <w:tcW w:w="12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CC7164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7.55±0.68a</w:t>
            </w:r>
          </w:p>
        </w:tc>
      </w:tr>
      <w:tr w14:paraId="3D6410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520" w:type="dxa"/>
            <w:vMerge w:val="continue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B15EA0D">
            <w:pPr>
              <w:jc w:val="center"/>
              <w:rPr>
                <w:rFonts w:eastAsia="宋体" w:cs="Times New Roman"/>
                <w:color w:val="000000"/>
                <w:sz w:val="24"/>
                <w:szCs w:val="24"/>
              </w:rPr>
            </w:pPr>
          </w:p>
        </w:tc>
        <w:tc>
          <w:tcPr>
            <w:tcW w:w="1307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2C0F1DA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X-After</w:t>
            </w:r>
          </w:p>
        </w:tc>
        <w:tc>
          <w:tcPr>
            <w:tcW w:w="166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F0B1F38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33.44±3.11a</w:t>
            </w:r>
          </w:p>
        </w:tc>
        <w:tc>
          <w:tcPr>
            <w:tcW w:w="1487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8B99E2E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29.57±2.15b</w:t>
            </w:r>
          </w:p>
        </w:tc>
        <w:tc>
          <w:tcPr>
            <w:tcW w:w="1177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3F627D9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1.52±0.16b</w:t>
            </w:r>
          </w:p>
        </w:tc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563813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2.71±0.31b</w:t>
            </w:r>
          </w:p>
        </w:tc>
        <w:tc>
          <w:tcPr>
            <w:tcW w:w="140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5608BC5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1.76±0.13b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3DEE346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0.75±0.35a</w:t>
            </w:r>
          </w:p>
        </w:tc>
        <w:tc>
          <w:tcPr>
            <w:tcW w:w="142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8C1E50C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11.46±1.77b</w:t>
            </w:r>
          </w:p>
        </w:tc>
        <w:tc>
          <w:tcPr>
            <w:tcW w:w="1211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517CD77F">
            <w:pPr>
              <w:widowControl/>
              <w:jc w:val="center"/>
              <w:textAlignment w:val="center"/>
              <w:rPr>
                <w:rFonts w:eastAsia="宋体" w:cs="Times New Roman"/>
                <w:color w:val="000000"/>
                <w:sz w:val="24"/>
                <w:szCs w:val="24"/>
              </w:rPr>
            </w:pPr>
            <w:r>
              <w:rPr>
                <w:rFonts w:eastAsia="宋体" w:cs="Times New Roman"/>
                <w:color w:val="000000"/>
                <w:kern w:val="0"/>
                <w:sz w:val="24"/>
                <w:szCs w:val="24"/>
                <w:lang w:bidi="ar"/>
              </w:rPr>
              <w:t>5.19±0.38b</w:t>
            </w:r>
          </w:p>
        </w:tc>
      </w:tr>
    </w:tbl>
    <w:p w14:paraId="7827EDB7">
      <w:pPr>
        <w:rPr>
          <w:rFonts w:eastAsia="宋体" w:cs="Times New Roman"/>
          <w:sz w:val="18"/>
          <w:szCs w:val="18"/>
        </w:rPr>
        <w:sectPr>
          <w:pgSz w:w="16838" w:h="11906" w:orient="landscape"/>
          <w:pgMar w:top="1797" w:right="1440" w:bottom="1797" w:left="1440" w:header="851" w:footer="992" w:gutter="0"/>
          <w:lnNumType w:countBy="1" w:restart="continuous"/>
          <w:cols w:space="425" w:num="1"/>
          <w:docGrid w:linePitch="312" w:charSpace="0"/>
        </w:sectPr>
      </w:pPr>
      <w:r>
        <w:rPr>
          <w:rFonts w:hint="eastAsia" w:eastAsia="宋体" w:cs="Times New Roman"/>
          <w:sz w:val="18"/>
          <w:szCs w:val="18"/>
          <w:lang w:eastAsia="en-US"/>
        </w:rPr>
        <w:t xml:space="preserve">These data were subjected to Duncan's multi-range test. Different lower-case letters indicate significant differences between the two sets of data at the </w:t>
      </w:r>
      <w:r>
        <w:rPr>
          <w:rFonts w:eastAsia="宋体" w:cs="Times New Roman"/>
          <w:sz w:val="24"/>
        </w:rPr>
        <w:t>(</w:t>
      </w:r>
      <w:r>
        <w:rPr>
          <w:rFonts w:hint="eastAsia" w:eastAsia="宋体" w:cs="Times New Roman"/>
          <w:i/>
          <w:iCs/>
          <w:sz w:val="18"/>
          <w:szCs w:val="18"/>
          <w:lang w:eastAsia="en-US"/>
        </w:rPr>
        <w:t>P ≤ 0.05</w:t>
      </w:r>
      <w:r>
        <w:rPr>
          <w:rFonts w:hint="eastAsia" w:eastAsia="宋体" w:cs="Times New Roman"/>
          <w:sz w:val="18"/>
          <w:szCs w:val="18"/>
          <w:lang w:eastAsia="en-US"/>
        </w:rPr>
        <w:t xml:space="preserve"> level. Data represent mean ± standard error (n = 3</w:t>
      </w:r>
      <w:r>
        <w:rPr>
          <w:rFonts w:hint="eastAsia" w:eastAsia="宋体" w:cs="Times New Roman"/>
          <w:sz w:val="18"/>
          <w:szCs w:val="18"/>
        </w:rPr>
        <w:t>)</w:t>
      </w:r>
    </w:p>
    <w:p w14:paraId="45F78868">
      <w:pPr>
        <w:rPr>
          <w:rFonts w:eastAsia="黑体" w:cs="Times New Roman"/>
          <w:color w:val="000000"/>
          <w:sz w:val="24"/>
          <w:szCs w:val="24"/>
        </w:rPr>
      </w:pPr>
    </w:p>
    <w:p w14:paraId="4438E1D0">
      <w:pPr>
        <w:widowControl/>
        <w:rPr>
          <w:rFonts w:eastAsia="黑体" w:cs="Times New Roman"/>
          <w:color w:val="000000"/>
          <w:sz w:val="24"/>
          <w:szCs w:val="24"/>
        </w:rPr>
      </w:pPr>
    </w:p>
    <w:p w14:paraId="553BAED8">
      <w:pPr>
        <w:spacing w:line="360" w:lineRule="auto"/>
        <w:jc w:val="center"/>
        <w:rPr>
          <w:rFonts w:eastAsia="宋体" w:cs="Times New Roman"/>
          <w:sz w:val="24"/>
          <w:szCs w:val="24"/>
        </w:rPr>
      </w:pPr>
      <w:r>
        <w:rPr>
          <w:rFonts w:eastAsia="宋体" w:cs="Times New Roman"/>
          <w:sz w:val="24"/>
          <w:szCs w:val="24"/>
        </w:rPr>
        <w:drawing>
          <wp:inline distT="0" distB="0" distL="0" distR="0">
            <wp:extent cx="4679950" cy="3509645"/>
            <wp:effectExtent l="0" t="0" r="13970" b="10795"/>
            <wp:docPr id="200348829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488292" name="图片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35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F7CD7">
      <w:pPr>
        <w:spacing w:line="360" w:lineRule="auto"/>
        <w:jc w:val="center"/>
        <w:rPr>
          <w:rFonts w:eastAsia="宋体" w:cs="Times New Roman"/>
          <w:szCs w:val="21"/>
        </w:rPr>
      </w:pPr>
      <w:r>
        <w:rPr>
          <w:rFonts w:eastAsia="宋体" w:cs="Times New Roman"/>
          <w:b/>
          <w:bCs/>
          <w:szCs w:val="21"/>
        </w:rPr>
        <w:t>Fig.</w:t>
      </w:r>
      <w:r>
        <w:rPr>
          <w:rFonts w:hint="eastAsia" w:eastAsia="宋体" w:cs="Times New Roman"/>
          <w:b/>
          <w:bCs/>
          <w:szCs w:val="21"/>
        </w:rPr>
        <w:t>S1</w:t>
      </w:r>
      <w:r>
        <w:rPr>
          <w:rFonts w:eastAsia="宋体" w:cs="Times New Roman"/>
          <w:szCs w:val="21"/>
        </w:rPr>
        <w:t xml:space="preserve"> </w:t>
      </w:r>
      <w:r>
        <w:rPr>
          <w:rFonts w:hint="eastAsia" w:eastAsia="宋体" w:cs="Times New Roman"/>
          <w:szCs w:val="21"/>
        </w:rPr>
        <w:t>Bulk curing barn model</w:t>
      </w:r>
    </w:p>
    <w:p w14:paraId="00554549">
      <w:pPr>
        <w:rPr>
          <w:rFonts w:eastAsia="宋体" w:cs="Times New Roman"/>
          <w:szCs w:val="21"/>
        </w:rPr>
      </w:pPr>
      <w:r>
        <w:rPr>
          <w:rFonts w:hint="eastAsia" w:eastAsia="宋体" w:cs="Times New Roman"/>
          <w:szCs w:val="21"/>
        </w:rPr>
        <w:br w:type="page"/>
      </w:r>
    </w:p>
    <w:p w14:paraId="624FBAB0">
      <w:pPr>
        <w:spacing w:line="360" w:lineRule="auto"/>
        <w:jc w:val="center"/>
        <w:rPr>
          <w:rFonts w:eastAsia="宋体" w:cs="Times New Roman"/>
          <w:szCs w:val="21"/>
        </w:rPr>
      </w:pPr>
    </w:p>
    <w:p w14:paraId="27B9E27C">
      <w:pPr>
        <w:spacing w:line="360" w:lineRule="auto"/>
        <w:jc w:val="center"/>
        <w:rPr>
          <w:rFonts w:eastAsia="宋体" w:cs="Times New Roman"/>
          <w:sz w:val="24"/>
          <w:szCs w:val="24"/>
        </w:rPr>
      </w:pPr>
      <w:r>
        <w:rPr>
          <w:rFonts w:eastAsia="宋体" w:cs="Times New Roman"/>
          <w:sz w:val="24"/>
          <w:szCs w:val="24"/>
        </w:rPr>
        <w:drawing>
          <wp:inline distT="0" distB="0" distL="0" distR="0">
            <wp:extent cx="4679950" cy="3275330"/>
            <wp:effectExtent l="0" t="0" r="13970" b="1270"/>
            <wp:docPr id="2125090706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5090706" name="图片 2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327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326A2B">
      <w:pPr>
        <w:spacing w:line="360" w:lineRule="auto"/>
        <w:jc w:val="center"/>
        <w:rPr>
          <w:rFonts w:eastAsia="宋体" w:cs="Times New Roman"/>
          <w:szCs w:val="21"/>
        </w:rPr>
      </w:pPr>
      <w:r>
        <w:rPr>
          <w:rFonts w:eastAsia="宋体" w:cs="Times New Roman"/>
          <w:b/>
          <w:bCs/>
          <w:szCs w:val="21"/>
        </w:rPr>
        <w:t>Fig.</w:t>
      </w:r>
      <w:r>
        <w:rPr>
          <w:rFonts w:hint="eastAsia" w:eastAsia="宋体" w:cs="Times New Roman"/>
          <w:b/>
          <w:bCs/>
          <w:szCs w:val="21"/>
        </w:rPr>
        <w:t>S2</w:t>
      </w:r>
      <w:r>
        <w:rPr>
          <w:rFonts w:eastAsia="宋体" w:cs="Times New Roman"/>
          <w:b/>
          <w:bCs/>
          <w:szCs w:val="21"/>
        </w:rPr>
        <w:t xml:space="preserve"> </w:t>
      </w:r>
      <w:r>
        <w:rPr>
          <w:rFonts w:eastAsia="宋体" w:cs="Times New Roman"/>
          <w:sz w:val="24"/>
          <w:szCs w:val="24"/>
        </w:rPr>
        <w:t>Open fire curing</w:t>
      </w:r>
      <w:r>
        <w:rPr>
          <w:rFonts w:eastAsia="宋体" w:cs="Times New Roman"/>
          <w:szCs w:val="21"/>
        </w:rPr>
        <w:t xml:space="preserve"> barn</w:t>
      </w:r>
      <w:r>
        <w:rPr>
          <w:rFonts w:hint="eastAsia" w:eastAsia="宋体" w:cs="Times New Roman"/>
          <w:szCs w:val="21"/>
        </w:rPr>
        <w:t xml:space="preserve"> model</w:t>
      </w:r>
    </w:p>
    <w:p w14:paraId="261FB32A">
      <w:pPr>
        <w:rPr>
          <w:rFonts w:eastAsia="宋体" w:cs="Times New Roman"/>
          <w:szCs w:val="21"/>
        </w:rPr>
      </w:pPr>
      <w:r>
        <w:rPr>
          <w:rFonts w:hint="eastAsia" w:eastAsia="宋体" w:cs="Times New Roman"/>
          <w:szCs w:val="21"/>
        </w:rPr>
        <w:br w:type="page"/>
      </w:r>
    </w:p>
    <w:p w14:paraId="292906EF">
      <w:pPr>
        <w:spacing w:line="360" w:lineRule="auto"/>
        <w:jc w:val="center"/>
        <w:rPr>
          <w:rFonts w:eastAsia="宋体" w:cs="Times New Roman"/>
          <w:szCs w:val="21"/>
        </w:rPr>
      </w:pPr>
    </w:p>
    <w:p w14:paraId="25FBCCE7">
      <w:pPr>
        <w:widowControl/>
        <w:jc w:val="center"/>
        <w:rPr>
          <w:rFonts w:cs="Times New Roman"/>
        </w:rPr>
      </w:pPr>
      <w:r>
        <w:rPr>
          <w:rFonts w:hint="eastAsia" w:cs="Times New Roman"/>
        </w:rPr>
        <w:drawing>
          <wp:inline distT="0" distB="0" distL="114300" distR="114300">
            <wp:extent cx="5241290" cy="3511550"/>
            <wp:effectExtent l="0" t="0" r="1270" b="8890"/>
            <wp:docPr id="1" name="图片 1" descr="WPS拼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WPS拼图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41290" cy="351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F077BC">
      <w:pPr>
        <w:widowControl/>
        <w:jc w:val="center"/>
        <w:rPr>
          <w:rFonts w:eastAsia="宋体" w:cs="Times New Roman"/>
          <w:szCs w:val="21"/>
        </w:rPr>
      </w:pPr>
      <w:r>
        <w:rPr>
          <w:rFonts w:eastAsia="宋体" w:cs="Times New Roman"/>
          <w:b/>
          <w:bCs/>
          <w:szCs w:val="21"/>
        </w:rPr>
        <w:t>Fig.</w:t>
      </w:r>
      <w:r>
        <w:rPr>
          <w:rFonts w:hint="eastAsia" w:eastAsia="宋体" w:cs="Times New Roman"/>
          <w:b/>
          <w:bCs/>
          <w:szCs w:val="21"/>
        </w:rPr>
        <w:t>S</w:t>
      </w:r>
      <w:r>
        <w:rPr>
          <w:rFonts w:hint="eastAsia" w:eastAsia="宋体" w:cs="Times New Roman"/>
          <w:b/>
          <w:bCs/>
          <w:szCs w:val="21"/>
          <w:lang w:val="en-US" w:eastAsia="zh-CN"/>
        </w:rPr>
        <w:t>3</w:t>
      </w:r>
      <w:r>
        <w:rPr>
          <w:rFonts w:hint="eastAsia" w:eastAsia="宋体" w:cs="Times New Roman"/>
          <w:szCs w:val="21"/>
        </w:rPr>
        <w:t xml:space="preserve"> Open-fire flue-curing process </w:t>
      </w:r>
    </w:p>
    <w:p w14:paraId="6F2E3B84">
      <w:pPr>
        <w:rPr>
          <w:rFonts w:eastAsia="宋体" w:cs="Times New Roman"/>
          <w:szCs w:val="21"/>
        </w:rPr>
      </w:pPr>
      <w:r>
        <w:rPr>
          <w:rFonts w:hint="eastAsia" w:eastAsia="宋体" w:cs="Times New Roman"/>
          <w:szCs w:val="21"/>
        </w:rPr>
        <w:br w:type="page"/>
      </w:r>
    </w:p>
    <w:p w14:paraId="5BAE1716">
      <w:pPr>
        <w:widowControl/>
        <w:jc w:val="center"/>
        <w:rPr>
          <w:rFonts w:eastAsia="宋体" w:cs="Times New Roman"/>
          <w:szCs w:val="21"/>
        </w:rPr>
      </w:pPr>
      <w:r>
        <w:rPr>
          <w:rFonts w:hint="eastAsia" w:eastAsia="宋体" w:cs="Times New Roman"/>
          <w:szCs w:val="21"/>
        </w:rPr>
        <w:drawing>
          <wp:inline distT="0" distB="0" distL="0" distR="0">
            <wp:extent cx="5264150" cy="4127500"/>
            <wp:effectExtent l="0" t="0" r="0" b="6350"/>
            <wp:docPr id="110836538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365385" name="图片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412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B882A1">
      <w:pPr>
        <w:widowControl/>
        <w:jc w:val="both"/>
        <w:rPr>
          <w:rFonts w:eastAsia="宋体" w:cs="Times New Roman"/>
          <w:szCs w:val="21"/>
        </w:rPr>
      </w:pPr>
      <w:r>
        <w:rPr>
          <w:rFonts w:hint="eastAsia" w:eastAsia="宋体" w:cs="Times New Roman"/>
          <w:b/>
          <w:bCs/>
          <w:szCs w:val="21"/>
        </w:rPr>
        <w:t>Fig.S</w:t>
      </w:r>
      <w:r>
        <w:rPr>
          <w:rFonts w:hint="eastAsia" w:eastAsia="宋体" w:cs="Times New Roman"/>
          <w:b/>
          <w:bCs/>
          <w:szCs w:val="21"/>
          <w:lang w:val="en-US" w:eastAsia="zh-CN"/>
        </w:rPr>
        <w:t>4</w:t>
      </w:r>
      <w:r>
        <w:rPr>
          <w:rFonts w:eastAsia="宋体" w:cs="Times New Roman"/>
          <w:szCs w:val="21"/>
        </w:rPr>
        <w:t xml:space="preserve"> Phenotypic and physiological characteristics of open-fire flue-curing and conventional curing</w:t>
      </w:r>
    </w:p>
    <w:p w14:paraId="4F97CAE5">
      <w:pPr>
        <w:widowControl/>
        <w:jc w:val="both"/>
        <w:rPr>
          <w:rFonts w:eastAsia="宋体" w:cs="Times New Roman"/>
          <w:szCs w:val="21"/>
        </w:rPr>
      </w:pPr>
      <w:bookmarkStart w:id="0" w:name="_GoBack"/>
      <w:r>
        <w:rPr>
          <w:rFonts w:hint="default" w:eastAsia="宋体" w:cs="Times New Roman"/>
          <w:szCs w:val="21"/>
          <w:lang w:val="en-US" w:eastAsia="zh-CN"/>
        </w:rPr>
        <w:t>Fresh: Fresh tobacco leaf; After:Post-curing tobacco leaves</w:t>
      </w:r>
    </w:p>
    <w:bookmarkEnd w:id="0"/>
    <w:p w14:paraId="017839F3">
      <w:pPr>
        <w:widowControl/>
        <w:jc w:val="both"/>
        <w:rPr>
          <w:rFonts w:eastAsia="宋体" w:cs="Times New Roman"/>
          <w:szCs w:val="21"/>
        </w:rPr>
      </w:pPr>
      <w:r>
        <w:rPr>
          <w:rFonts w:eastAsia="宋体" w:cs="Times New Roman"/>
          <w:szCs w:val="21"/>
        </w:rPr>
        <w:t xml:space="preserve">The data were tested by Duncan's multiple range test. "**" indicates a significant difference at the α=0.01 level between the two groups of data. Data represent means ± standard error (n = 3). </w:t>
      </w:r>
    </w:p>
    <w:sectPr>
      <w:pgSz w:w="11906" w:h="16838"/>
      <w:pgMar w:top="1440" w:right="1797" w:bottom="1440" w:left="1797" w:header="851" w:footer="992" w:gutter="0"/>
      <w:lnNumType w:countBy="1" w:restart="continuous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dvOT1efcda3b.B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cs="Times New Roman"/>
      </w:rPr>
      <w:id w:val="859781359"/>
    </w:sdtPr>
    <w:sdtEndPr>
      <w:rPr>
        <w:rFonts w:cs="Times New Roman"/>
      </w:rPr>
    </w:sdtEndPr>
    <w:sdtContent>
      <w:p w14:paraId="686FC220">
        <w:pPr>
          <w:pStyle w:val="5"/>
          <w:jc w:val="center"/>
          <w:rPr>
            <w:rFonts w:cs="Times New Roman"/>
          </w:rPr>
        </w:pPr>
        <w:r>
          <w:rPr>
            <w:rFonts w:cs="Times New Roman"/>
          </w:rPr>
          <w:fldChar w:fldCharType="begin"/>
        </w:r>
        <w:r>
          <w:rPr>
            <w:rFonts w:cs="Times New Roman"/>
          </w:rPr>
          <w:instrText xml:space="preserve">PAGE   \* MERGEFORMAT</w:instrText>
        </w:r>
        <w:r>
          <w:rPr>
            <w:rFonts w:cs="Times New Roman"/>
          </w:rPr>
          <w:fldChar w:fldCharType="separate"/>
        </w:r>
        <w:r>
          <w:rPr>
            <w:rFonts w:cs="Times New Roman"/>
            <w:lang w:val="zh-CN"/>
          </w:rPr>
          <w:t>2</w:t>
        </w:r>
        <w:r>
          <w:rPr>
            <w:rFonts w:cs="Times New Roman"/>
          </w:rPr>
          <w:fldChar w:fldCharType="end"/>
        </w:r>
      </w:p>
    </w:sdtContent>
  </w:sdt>
  <w:p w14:paraId="22772E3A">
    <w:pPr>
      <w:pStyle w:val="5"/>
      <w:rPr>
        <w:rFonts w:cs="Times New Roman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M1NrcwsrQwMTc0NDVQ0lEKTi0uzszPAykwNakFANqxAAQtAAAA"/>
    <w:docVar w:name="commondata" w:val="eyJoZGlkIjoiZWFlZmExYTEwZjFjMjNmOWQ1ZWQzMjA3NjY3MzljZTQifQ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Biology and Fertility of Soils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0rxt9d9nr5ffpepev9pp0dgeds0aafeap9t&quot;&gt;（弥渡文章）My EndNote Library&lt;record-ids&gt;&lt;item&gt;2364&lt;/item&gt;&lt;/record-ids&gt;&lt;/item&gt;&lt;/Libraries&gt;"/>
  </w:docVars>
  <w:rsids>
    <w:rsidRoot w:val="00604396"/>
    <w:rsid w:val="000320D9"/>
    <w:rsid w:val="000323D8"/>
    <w:rsid w:val="00032DEB"/>
    <w:rsid w:val="00033EF6"/>
    <w:rsid w:val="00035285"/>
    <w:rsid w:val="000459D7"/>
    <w:rsid w:val="00046172"/>
    <w:rsid w:val="00062694"/>
    <w:rsid w:val="00073C0E"/>
    <w:rsid w:val="000800EE"/>
    <w:rsid w:val="00080A9D"/>
    <w:rsid w:val="00083497"/>
    <w:rsid w:val="00084281"/>
    <w:rsid w:val="00084564"/>
    <w:rsid w:val="0009169D"/>
    <w:rsid w:val="0009199D"/>
    <w:rsid w:val="000A5399"/>
    <w:rsid w:val="000A5433"/>
    <w:rsid w:val="000B1624"/>
    <w:rsid w:val="000B2E79"/>
    <w:rsid w:val="000B5900"/>
    <w:rsid w:val="000B6A1E"/>
    <w:rsid w:val="000C338B"/>
    <w:rsid w:val="000C35A0"/>
    <w:rsid w:val="000C5601"/>
    <w:rsid w:val="000D7949"/>
    <w:rsid w:val="000D7C70"/>
    <w:rsid w:val="000F17EE"/>
    <w:rsid w:val="000F5327"/>
    <w:rsid w:val="001006B8"/>
    <w:rsid w:val="00103A13"/>
    <w:rsid w:val="00106E90"/>
    <w:rsid w:val="00110DF3"/>
    <w:rsid w:val="0012317A"/>
    <w:rsid w:val="001422FA"/>
    <w:rsid w:val="001468EC"/>
    <w:rsid w:val="00146A48"/>
    <w:rsid w:val="0016498C"/>
    <w:rsid w:val="0016634E"/>
    <w:rsid w:val="00166783"/>
    <w:rsid w:val="001739E9"/>
    <w:rsid w:val="00173C33"/>
    <w:rsid w:val="001753B2"/>
    <w:rsid w:val="00175C41"/>
    <w:rsid w:val="00176F6D"/>
    <w:rsid w:val="00185822"/>
    <w:rsid w:val="0018708D"/>
    <w:rsid w:val="001879D0"/>
    <w:rsid w:val="0019016F"/>
    <w:rsid w:val="001907AC"/>
    <w:rsid w:val="0019238A"/>
    <w:rsid w:val="001929D0"/>
    <w:rsid w:val="001A3346"/>
    <w:rsid w:val="001A5636"/>
    <w:rsid w:val="001A650B"/>
    <w:rsid w:val="001A6993"/>
    <w:rsid w:val="001C23BF"/>
    <w:rsid w:val="001D47F2"/>
    <w:rsid w:val="001D6C88"/>
    <w:rsid w:val="001E624F"/>
    <w:rsid w:val="001F1751"/>
    <w:rsid w:val="001F705D"/>
    <w:rsid w:val="002114FC"/>
    <w:rsid w:val="00212719"/>
    <w:rsid w:val="00213B8B"/>
    <w:rsid w:val="00224322"/>
    <w:rsid w:val="00237D0C"/>
    <w:rsid w:val="00246003"/>
    <w:rsid w:val="00263E36"/>
    <w:rsid w:val="00276733"/>
    <w:rsid w:val="00277B1F"/>
    <w:rsid w:val="00287B91"/>
    <w:rsid w:val="002906C5"/>
    <w:rsid w:val="00295A95"/>
    <w:rsid w:val="002B08B5"/>
    <w:rsid w:val="002B6E65"/>
    <w:rsid w:val="002B7C7C"/>
    <w:rsid w:val="002D0CFB"/>
    <w:rsid w:val="002D0D74"/>
    <w:rsid w:val="002E7DCA"/>
    <w:rsid w:val="002F4D26"/>
    <w:rsid w:val="002F5B48"/>
    <w:rsid w:val="00304E28"/>
    <w:rsid w:val="0030538C"/>
    <w:rsid w:val="0030567D"/>
    <w:rsid w:val="00306F95"/>
    <w:rsid w:val="00307461"/>
    <w:rsid w:val="00307E56"/>
    <w:rsid w:val="00310FC2"/>
    <w:rsid w:val="00311240"/>
    <w:rsid w:val="0031166C"/>
    <w:rsid w:val="0031219F"/>
    <w:rsid w:val="00313DE6"/>
    <w:rsid w:val="00316720"/>
    <w:rsid w:val="00324132"/>
    <w:rsid w:val="00326A94"/>
    <w:rsid w:val="00326CEB"/>
    <w:rsid w:val="00327AEF"/>
    <w:rsid w:val="00330EA0"/>
    <w:rsid w:val="00337B4E"/>
    <w:rsid w:val="00341BAB"/>
    <w:rsid w:val="00342D98"/>
    <w:rsid w:val="00343060"/>
    <w:rsid w:val="00344487"/>
    <w:rsid w:val="00344832"/>
    <w:rsid w:val="00350BB1"/>
    <w:rsid w:val="00361D9B"/>
    <w:rsid w:val="003778F0"/>
    <w:rsid w:val="00383F99"/>
    <w:rsid w:val="00390B9D"/>
    <w:rsid w:val="003A3F8F"/>
    <w:rsid w:val="003A5F5C"/>
    <w:rsid w:val="003A6DBF"/>
    <w:rsid w:val="003B1148"/>
    <w:rsid w:val="003B3B07"/>
    <w:rsid w:val="003B4662"/>
    <w:rsid w:val="003B71D8"/>
    <w:rsid w:val="003C1586"/>
    <w:rsid w:val="003C3BD4"/>
    <w:rsid w:val="003C60E2"/>
    <w:rsid w:val="003C7641"/>
    <w:rsid w:val="003E26EC"/>
    <w:rsid w:val="003E45C0"/>
    <w:rsid w:val="003F35D2"/>
    <w:rsid w:val="003F51DC"/>
    <w:rsid w:val="004110BB"/>
    <w:rsid w:val="00416FA9"/>
    <w:rsid w:val="00423FB2"/>
    <w:rsid w:val="0042653B"/>
    <w:rsid w:val="00430370"/>
    <w:rsid w:val="00432A1E"/>
    <w:rsid w:val="004400EE"/>
    <w:rsid w:val="0044475F"/>
    <w:rsid w:val="004474A6"/>
    <w:rsid w:val="00452340"/>
    <w:rsid w:val="004558ED"/>
    <w:rsid w:val="00457F44"/>
    <w:rsid w:val="0046681A"/>
    <w:rsid w:val="00471247"/>
    <w:rsid w:val="00475008"/>
    <w:rsid w:val="0048121E"/>
    <w:rsid w:val="00483B3C"/>
    <w:rsid w:val="00490590"/>
    <w:rsid w:val="004A0EC9"/>
    <w:rsid w:val="004A404F"/>
    <w:rsid w:val="004A5629"/>
    <w:rsid w:val="004B1757"/>
    <w:rsid w:val="004B196A"/>
    <w:rsid w:val="004C41E1"/>
    <w:rsid w:val="004C6F0D"/>
    <w:rsid w:val="004D2ECC"/>
    <w:rsid w:val="004D3F8D"/>
    <w:rsid w:val="004F4957"/>
    <w:rsid w:val="004F53E0"/>
    <w:rsid w:val="004F74C4"/>
    <w:rsid w:val="005065F5"/>
    <w:rsid w:val="005157C1"/>
    <w:rsid w:val="00521657"/>
    <w:rsid w:val="005252B1"/>
    <w:rsid w:val="005322F0"/>
    <w:rsid w:val="00535E8D"/>
    <w:rsid w:val="00536BDF"/>
    <w:rsid w:val="0053703D"/>
    <w:rsid w:val="0054323B"/>
    <w:rsid w:val="00555BCC"/>
    <w:rsid w:val="00560EBA"/>
    <w:rsid w:val="005629A9"/>
    <w:rsid w:val="00572A4F"/>
    <w:rsid w:val="00572B93"/>
    <w:rsid w:val="005735BD"/>
    <w:rsid w:val="005828BA"/>
    <w:rsid w:val="00584176"/>
    <w:rsid w:val="005923C7"/>
    <w:rsid w:val="005A310F"/>
    <w:rsid w:val="005A6EA0"/>
    <w:rsid w:val="005A6F56"/>
    <w:rsid w:val="005B71AC"/>
    <w:rsid w:val="005C10BE"/>
    <w:rsid w:val="005D26F5"/>
    <w:rsid w:val="005D49EE"/>
    <w:rsid w:val="005D5F53"/>
    <w:rsid w:val="005E7200"/>
    <w:rsid w:val="005E78C7"/>
    <w:rsid w:val="005F0869"/>
    <w:rsid w:val="005F4E63"/>
    <w:rsid w:val="005F7879"/>
    <w:rsid w:val="00604396"/>
    <w:rsid w:val="00616050"/>
    <w:rsid w:val="00620E4A"/>
    <w:rsid w:val="00623485"/>
    <w:rsid w:val="00626429"/>
    <w:rsid w:val="00641FFE"/>
    <w:rsid w:val="0064637C"/>
    <w:rsid w:val="00653582"/>
    <w:rsid w:val="0066111D"/>
    <w:rsid w:val="006670D8"/>
    <w:rsid w:val="00667B1A"/>
    <w:rsid w:val="006713CB"/>
    <w:rsid w:val="00674959"/>
    <w:rsid w:val="00690293"/>
    <w:rsid w:val="0069227D"/>
    <w:rsid w:val="006A2D86"/>
    <w:rsid w:val="006A33F1"/>
    <w:rsid w:val="006A56E9"/>
    <w:rsid w:val="006B4E55"/>
    <w:rsid w:val="006B4F0F"/>
    <w:rsid w:val="006B53E7"/>
    <w:rsid w:val="006B78BF"/>
    <w:rsid w:val="006C0DA5"/>
    <w:rsid w:val="006C208B"/>
    <w:rsid w:val="006C3158"/>
    <w:rsid w:val="006C4360"/>
    <w:rsid w:val="006C6CBF"/>
    <w:rsid w:val="006D2690"/>
    <w:rsid w:val="006D3A78"/>
    <w:rsid w:val="006D5DAC"/>
    <w:rsid w:val="006D7DBC"/>
    <w:rsid w:val="006E1A92"/>
    <w:rsid w:val="006E701B"/>
    <w:rsid w:val="006F33B8"/>
    <w:rsid w:val="006F60BC"/>
    <w:rsid w:val="006F6677"/>
    <w:rsid w:val="00703015"/>
    <w:rsid w:val="0070326D"/>
    <w:rsid w:val="0070415D"/>
    <w:rsid w:val="00704CB3"/>
    <w:rsid w:val="00710BB9"/>
    <w:rsid w:val="0072151A"/>
    <w:rsid w:val="00722A20"/>
    <w:rsid w:val="007235DA"/>
    <w:rsid w:val="007277E6"/>
    <w:rsid w:val="007408DE"/>
    <w:rsid w:val="007412CA"/>
    <w:rsid w:val="00741C0F"/>
    <w:rsid w:val="00743D48"/>
    <w:rsid w:val="00746174"/>
    <w:rsid w:val="0074786F"/>
    <w:rsid w:val="00755766"/>
    <w:rsid w:val="007676D8"/>
    <w:rsid w:val="0077105A"/>
    <w:rsid w:val="007732A8"/>
    <w:rsid w:val="00786817"/>
    <w:rsid w:val="007909E3"/>
    <w:rsid w:val="00797B98"/>
    <w:rsid w:val="007A2448"/>
    <w:rsid w:val="007B1001"/>
    <w:rsid w:val="007B1C4C"/>
    <w:rsid w:val="007B37F8"/>
    <w:rsid w:val="007B792D"/>
    <w:rsid w:val="007C3713"/>
    <w:rsid w:val="007C6F7B"/>
    <w:rsid w:val="007C7884"/>
    <w:rsid w:val="007D751E"/>
    <w:rsid w:val="007E4FEC"/>
    <w:rsid w:val="007E5372"/>
    <w:rsid w:val="007F00A4"/>
    <w:rsid w:val="007F701E"/>
    <w:rsid w:val="00800133"/>
    <w:rsid w:val="00801C03"/>
    <w:rsid w:val="0080205E"/>
    <w:rsid w:val="00802E48"/>
    <w:rsid w:val="0080315F"/>
    <w:rsid w:val="008038A6"/>
    <w:rsid w:val="0080623E"/>
    <w:rsid w:val="008065DC"/>
    <w:rsid w:val="0081236D"/>
    <w:rsid w:val="008276C8"/>
    <w:rsid w:val="008303A7"/>
    <w:rsid w:val="00832DD5"/>
    <w:rsid w:val="0083619E"/>
    <w:rsid w:val="00842D14"/>
    <w:rsid w:val="00845779"/>
    <w:rsid w:val="00846A8F"/>
    <w:rsid w:val="00852894"/>
    <w:rsid w:val="0085699A"/>
    <w:rsid w:val="00860FA6"/>
    <w:rsid w:val="0086276F"/>
    <w:rsid w:val="00872839"/>
    <w:rsid w:val="00874D7E"/>
    <w:rsid w:val="00876D14"/>
    <w:rsid w:val="00877B2C"/>
    <w:rsid w:val="00882B20"/>
    <w:rsid w:val="00884A06"/>
    <w:rsid w:val="00884C89"/>
    <w:rsid w:val="00890210"/>
    <w:rsid w:val="00896C72"/>
    <w:rsid w:val="00897EA2"/>
    <w:rsid w:val="008A6E9D"/>
    <w:rsid w:val="008B4642"/>
    <w:rsid w:val="008B6919"/>
    <w:rsid w:val="008B6A83"/>
    <w:rsid w:val="008C0A08"/>
    <w:rsid w:val="008C5DC0"/>
    <w:rsid w:val="008D7D1A"/>
    <w:rsid w:val="008F08AE"/>
    <w:rsid w:val="008F33E4"/>
    <w:rsid w:val="008F3D43"/>
    <w:rsid w:val="008F6275"/>
    <w:rsid w:val="00906C08"/>
    <w:rsid w:val="009101C3"/>
    <w:rsid w:val="00910FBE"/>
    <w:rsid w:val="00914ECE"/>
    <w:rsid w:val="00922589"/>
    <w:rsid w:val="00923B37"/>
    <w:rsid w:val="00932DC5"/>
    <w:rsid w:val="00934137"/>
    <w:rsid w:val="0093683F"/>
    <w:rsid w:val="009426CC"/>
    <w:rsid w:val="009427E4"/>
    <w:rsid w:val="00945C6C"/>
    <w:rsid w:val="00946920"/>
    <w:rsid w:val="00951C82"/>
    <w:rsid w:val="00956808"/>
    <w:rsid w:val="009649F8"/>
    <w:rsid w:val="00964FB3"/>
    <w:rsid w:val="0096764D"/>
    <w:rsid w:val="00976557"/>
    <w:rsid w:val="009805B3"/>
    <w:rsid w:val="00992C3A"/>
    <w:rsid w:val="00995C8A"/>
    <w:rsid w:val="009A15F4"/>
    <w:rsid w:val="009B4DB0"/>
    <w:rsid w:val="009C0C39"/>
    <w:rsid w:val="009C324A"/>
    <w:rsid w:val="009C344E"/>
    <w:rsid w:val="009C50C1"/>
    <w:rsid w:val="009F1767"/>
    <w:rsid w:val="009F7500"/>
    <w:rsid w:val="00A11AE6"/>
    <w:rsid w:val="00A13A7C"/>
    <w:rsid w:val="00A14C70"/>
    <w:rsid w:val="00A1534E"/>
    <w:rsid w:val="00A22762"/>
    <w:rsid w:val="00A22988"/>
    <w:rsid w:val="00A24DC9"/>
    <w:rsid w:val="00A27B94"/>
    <w:rsid w:val="00A309D4"/>
    <w:rsid w:val="00A32353"/>
    <w:rsid w:val="00A341F4"/>
    <w:rsid w:val="00A40BB2"/>
    <w:rsid w:val="00A45C2A"/>
    <w:rsid w:val="00A473BC"/>
    <w:rsid w:val="00A52D10"/>
    <w:rsid w:val="00A5544F"/>
    <w:rsid w:val="00A614D9"/>
    <w:rsid w:val="00A679D7"/>
    <w:rsid w:val="00A74DF0"/>
    <w:rsid w:val="00A80D89"/>
    <w:rsid w:val="00A8128F"/>
    <w:rsid w:val="00A90441"/>
    <w:rsid w:val="00A90C7B"/>
    <w:rsid w:val="00A95662"/>
    <w:rsid w:val="00AA294A"/>
    <w:rsid w:val="00AA4A9D"/>
    <w:rsid w:val="00AC308E"/>
    <w:rsid w:val="00AD4B84"/>
    <w:rsid w:val="00AD5D17"/>
    <w:rsid w:val="00AE069C"/>
    <w:rsid w:val="00AE34C2"/>
    <w:rsid w:val="00AF3156"/>
    <w:rsid w:val="00B04B7E"/>
    <w:rsid w:val="00B11EE9"/>
    <w:rsid w:val="00B14963"/>
    <w:rsid w:val="00B30B48"/>
    <w:rsid w:val="00B31F66"/>
    <w:rsid w:val="00B32223"/>
    <w:rsid w:val="00B35432"/>
    <w:rsid w:val="00B358CB"/>
    <w:rsid w:val="00B42A95"/>
    <w:rsid w:val="00B43C0D"/>
    <w:rsid w:val="00B518BE"/>
    <w:rsid w:val="00B52205"/>
    <w:rsid w:val="00B57744"/>
    <w:rsid w:val="00B636E4"/>
    <w:rsid w:val="00B65EA7"/>
    <w:rsid w:val="00B6735F"/>
    <w:rsid w:val="00B679C0"/>
    <w:rsid w:val="00B714B4"/>
    <w:rsid w:val="00B72597"/>
    <w:rsid w:val="00B91C17"/>
    <w:rsid w:val="00B940B2"/>
    <w:rsid w:val="00BA112C"/>
    <w:rsid w:val="00BA12FD"/>
    <w:rsid w:val="00BB4729"/>
    <w:rsid w:val="00BC1DA8"/>
    <w:rsid w:val="00BD3B6F"/>
    <w:rsid w:val="00BE1136"/>
    <w:rsid w:val="00BE1EA5"/>
    <w:rsid w:val="00C01045"/>
    <w:rsid w:val="00C0377D"/>
    <w:rsid w:val="00C06163"/>
    <w:rsid w:val="00C079D9"/>
    <w:rsid w:val="00C1290F"/>
    <w:rsid w:val="00C2600F"/>
    <w:rsid w:val="00C41136"/>
    <w:rsid w:val="00C42933"/>
    <w:rsid w:val="00C47423"/>
    <w:rsid w:val="00C47486"/>
    <w:rsid w:val="00C475EC"/>
    <w:rsid w:val="00C50CED"/>
    <w:rsid w:val="00C60B82"/>
    <w:rsid w:val="00C6765D"/>
    <w:rsid w:val="00C704A7"/>
    <w:rsid w:val="00C718E6"/>
    <w:rsid w:val="00C73CF4"/>
    <w:rsid w:val="00C76FF8"/>
    <w:rsid w:val="00C77AD6"/>
    <w:rsid w:val="00C832A0"/>
    <w:rsid w:val="00C83C85"/>
    <w:rsid w:val="00C8673E"/>
    <w:rsid w:val="00C87449"/>
    <w:rsid w:val="00C9044A"/>
    <w:rsid w:val="00C911E0"/>
    <w:rsid w:val="00C92E71"/>
    <w:rsid w:val="00C93105"/>
    <w:rsid w:val="00C947D3"/>
    <w:rsid w:val="00CA2A0E"/>
    <w:rsid w:val="00CA4A1D"/>
    <w:rsid w:val="00CA536B"/>
    <w:rsid w:val="00CA583F"/>
    <w:rsid w:val="00CB1FFE"/>
    <w:rsid w:val="00CB2541"/>
    <w:rsid w:val="00CB2DBE"/>
    <w:rsid w:val="00CB7BA3"/>
    <w:rsid w:val="00CC0421"/>
    <w:rsid w:val="00CC32B1"/>
    <w:rsid w:val="00CC7977"/>
    <w:rsid w:val="00CD39E9"/>
    <w:rsid w:val="00CD6FAD"/>
    <w:rsid w:val="00CF57D4"/>
    <w:rsid w:val="00CF7269"/>
    <w:rsid w:val="00D10602"/>
    <w:rsid w:val="00D415DC"/>
    <w:rsid w:val="00D41EF9"/>
    <w:rsid w:val="00D46378"/>
    <w:rsid w:val="00D46476"/>
    <w:rsid w:val="00D47675"/>
    <w:rsid w:val="00D47A9F"/>
    <w:rsid w:val="00D53C65"/>
    <w:rsid w:val="00D53FB9"/>
    <w:rsid w:val="00D6430C"/>
    <w:rsid w:val="00D72782"/>
    <w:rsid w:val="00D73973"/>
    <w:rsid w:val="00D74C35"/>
    <w:rsid w:val="00D773DD"/>
    <w:rsid w:val="00D7745E"/>
    <w:rsid w:val="00D7759F"/>
    <w:rsid w:val="00D83A03"/>
    <w:rsid w:val="00D8640B"/>
    <w:rsid w:val="00D93E7E"/>
    <w:rsid w:val="00DA65D5"/>
    <w:rsid w:val="00DA7AFD"/>
    <w:rsid w:val="00DB1D34"/>
    <w:rsid w:val="00DB2511"/>
    <w:rsid w:val="00DB4CE3"/>
    <w:rsid w:val="00DB5511"/>
    <w:rsid w:val="00DC172C"/>
    <w:rsid w:val="00DC5E7E"/>
    <w:rsid w:val="00DD417A"/>
    <w:rsid w:val="00DD6507"/>
    <w:rsid w:val="00DD73B2"/>
    <w:rsid w:val="00DE7006"/>
    <w:rsid w:val="00DE76E4"/>
    <w:rsid w:val="00DE7977"/>
    <w:rsid w:val="00DE799C"/>
    <w:rsid w:val="00DF476A"/>
    <w:rsid w:val="00DF6365"/>
    <w:rsid w:val="00E01ECB"/>
    <w:rsid w:val="00E0321A"/>
    <w:rsid w:val="00E24DEC"/>
    <w:rsid w:val="00E32E5B"/>
    <w:rsid w:val="00E35084"/>
    <w:rsid w:val="00E41375"/>
    <w:rsid w:val="00E41EF5"/>
    <w:rsid w:val="00E452D3"/>
    <w:rsid w:val="00E566C6"/>
    <w:rsid w:val="00E6383B"/>
    <w:rsid w:val="00E65DCF"/>
    <w:rsid w:val="00E667FD"/>
    <w:rsid w:val="00E67D64"/>
    <w:rsid w:val="00E8399D"/>
    <w:rsid w:val="00E8689B"/>
    <w:rsid w:val="00E93D54"/>
    <w:rsid w:val="00EA302C"/>
    <w:rsid w:val="00EA5EFA"/>
    <w:rsid w:val="00EB3EB7"/>
    <w:rsid w:val="00EB67D9"/>
    <w:rsid w:val="00EC6B8A"/>
    <w:rsid w:val="00ED74E6"/>
    <w:rsid w:val="00EE161D"/>
    <w:rsid w:val="00EE4259"/>
    <w:rsid w:val="00F0183E"/>
    <w:rsid w:val="00F045B5"/>
    <w:rsid w:val="00F11CA0"/>
    <w:rsid w:val="00F1733F"/>
    <w:rsid w:val="00F327EB"/>
    <w:rsid w:val="00F349ED"/>
    <w:rsid w:val="00F42EBA"/>
    <w:rsid w:val="00F45FA7"/>
    <w:rsid w:val="00F53F82"/>
    <w:rsid w:val="00F66A1B"/>
    <w:rsid w:val="00F77738"/>
    <w:rsid w:val="00F81379"/>
    <w:rsid w:val="00F8583D"/>
    <w:rsid w:val="00F87F51"/>
    <w:rsid w:val="00F93E67"/>
    <w:rsid w:val="00FA43BC"/>
    <w:rsid w:val="00FB25F4"/>
    <w:rsid w:val="00FC2AE4"/>
    <w:rsid w:val="00FC4945"/>
    <w:rsid w:val="00FC5A45"/>
    <w:rsid w:val="00FD103B"/>
    <w:rsid w:val="00FD132B"/>
    <w:rsid w:val="00FD2577"/>
    <w:rsid w:val="00FE0279"/>
    <w:rsid w:val="00FE1457"/>
    <w:rsid w:val="00FE45B9"/>
    <w:rsid w:val="00FF2E0D"/>
    <w:rsid w:val="017D5C48"/>
    <w:rsid w:val="052F01ED"/>
    <w:rsid w:val="05436A4E"/>
    <w:rsid w:val="05CA7B12"/>
    <w:rsid w:val="08E03538"/>
    <w:rsid w:val="1C827473"/>
    <w:rsid w:val="1E2B4767"/>
    <w:rsid w:val="2D964EAE"/>
    <w:rsid w:val="31273BF9"/>
    <w:rsid w:val="34CF26B1"/>
    <w:rsid w:val="369B06A2"/>
    <w:rsid w:val="3872263A"/>
    <w:rsid w:val="3A281BA6"/>
    <w:rsid w:val="3E572CB0"/>
    <w:rsid w:val="3E77759E"/>
    <w:rsid w:val="40404811"/>
    <w:rsid w:val="4B5B6CA6"/>
    <w:rsid w:val="4D995091"/>
    <w:rsid w:val="4D9D43BF"/>
    <w:rsid w:val="51774A10"/>
    <w:rsid w:val="53065339"/>
    <w:rsid w:val="60B75801"/>
    <w:rsid w:val="6CC062B3"/>
    <w:rsid w:val="6D250610"/>
    <w:rsid w:val="6F714959"/>
    <w:rsid w:val="718129CA"/>
    <w:rsid w:val="730B53FB"/>
    <w:rsid w:val="7A7E1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6"/>
    <w:unhideWhenUsed/>
    <w:qFormat/>
    <w:uiPriority w:val="9"/>
    <w:pPr>
      <w:keepNext/>
      <w:keepLines/>
      <w:spacing w:before="120" w:after="120" w:line="360" w:lineRule="auto"/>
      <w:outlineLvl w:val="1"/>
    </w:pPr>
    <w:rPr>
      <w:rFonts w:cstheme="majorBidi"/>
      <w:b/>
      <w:bCs/>
      <w:sz w:val="28"/>
      <w:szCs w:val="32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unhideWhenUsed/>
    <w:qFormat/>
    <w:uiPriority w:val="99"/>
    <w:pPr>
      <w:jc w:val="left"/>
    </w:p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4"/>
    <w:next w:val="4"/>
    <w:link w:val="18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line number"/>
    <w:basedOn w:val="10"/>
    <w:semiHidden/>
    <w:unhideWhenUsed/>
    <w:qFormat/>
    <w:uiPriority w:val="99"/>
  </w:style>
  <w:style w:type="character" w:styleId="12">
    <w:name w:val="Hyperlink"/>
    <w:basedOn w:val="10"/>
    <w:unhideWhenUsed/>
    <w:qFormat/>
    <w:uiPriority w:val="99"/>
    <w:rPr>
      <w:color w:val="0000FF"/>
      <w:u w:val="single"/>
    </w:rPr>
  </w:style>
  <w:style w:type="character" w:styleId="13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4">
    <w:name w:val="页眉 字符"/>
    <w:basedOn w:val="10"/>
    <w:link w:val="6"/>
    <w:qFormat/>
    <w:uiPriority w:val="99"/>
    <w:rPr>
      <w:sz w:val="18"/>
      <w:szCs w:val="18"/>
      <w14:ligatures w14:val="none"/>
    </w:rPr>
  </w:style>
  <w:style w:type="character" w:customStyle="1" w:styleId="15">
    <w:name w:val="页脚 字符"/>
    <w:basedOn w:val="10"/>
    <w:link w:val="5"/>
    <w:qFormat/>
    <w:uiPriority w:val="99"/>
    <w:rPr>
      <w:sz w:val="18"/>
      <w:szCs w:val="18"/>
      <w14:ligatures w14:val="none"/>
    </w:rPr>
  </w:style>
  <w:style w:type="paragraph" w:customStyle="1" w:styleId="16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7">
    <w:name w:val="批注文字 字符"/>
    <w:basedOn w:val="10"/>
    <w:link w:val="4"/>
    <w:qFormat/>
    <w:uiPriority w:val="99"/>
    <w:rPr>
      <w14:ligatures w14:val="none"/>
    </w:rPr>
  </w:style>
  <w:style w:type="character" w:customStyle="1" w:styleId="18">
    <w:name w:val="批注主题 字符"/>
    <w:basedOn w:val="17"/>
    <w:link w:val="7"/>
    <w:semiHidden/>
    <w:qFormat/>
    <w:uiPriority w:val="99"/>
    <w:rPr>
      <w:b/>
      <w:bCs/>
      <w14:ligatures w14:val="none"/>
    </w:rPr>
  </w:style>
  <w:style w:type="character" w:customStyle="1" w:styleId="19">
    <w:name w:val="未处理的提及1"/>
    <w:basedOn w:val="10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0">
    <w:name w:val="EndNote Bibliography Title"/>
    <w:basedOn w:val="1"/>
    <w:link w:val="21"/>
    <w:qFormat/>
    <w:uiPriority w:val="0"/>
    <w:pPr>
      <w:jc w:val="center"/>
    </w:pPr>
    <w:rPr>
      <w:rFonts w:ascii="等线" w:hAnsi="等线" w:eastAsia="等线"/>
      <w:sz w:val="20"/>
    </w:rPr>
  </w:style>
  <w:style w:type="character" w:customStyle="1" w:styleId="21">
    <w:name w:val="EndNote Bibliography Title 字符"/>
    <w:basedOn w:val="10"/>
    <w:link w:val="20"/>
    <w:qFormat/>
    <w:uiPriority w:val="0"/>
    <w:rPr>
      <w:rFonts w:ascii="等线" w:hAnsi="等线" w:eastAsia="等线"/>
      <w:kern w:val="2"/>
      <w:szCs w:val="22"/>
    </w:rPr>
  </w:style>
  <w:style w:type="paragraph" w:customStyle="1" w:styleId="22">
    <w:name w:val="EndNote Bibliography"/>
    <w:basedOn w:val="1"/>
    <w:link w:val="23"/>
    <w:qFormat/>
    <w:uiPriority w:val="0"/>
    <w:pPr>
      <w:jc w:val="left"/>
    </w:pPr>
    <w:rPr>
      <w:rFonts w:ascii="等线" w:hAnsi="等线" w:eastAsia="等线"/>
      <w:sz w:val="20"/>
    </w:rPr>
  </w:style>
  <w:style w:type="character" w:customStyle="1" w:styleId="23">
    <w:name w:val="EndNote Bibliography 字符"/>
    <w:basedOn w:val="10"/>
    <w:link w:val="22"/>
    <w:qFormat/>
    <w:uiPriority w:val="0"/>
    <w:rPr>
      <w:rFonts w:ascii="等线" w:hAnsi="等线" w:eastAsia="等线"/>
      <w:kern w:val="2"/>
      <w:szCs w:val="22"/>
    </w:rPr>
  </w:style>
  <w:style w:type="character" w:customStyle="1" w:styleId="24">
    <w:name w:val="标题 1 字符"/>
    <w:basedOn w:val="10"/>
    <w:link w:val="2"/>
    <w:qFormat/>
    <w:uiPriority w:val="9"/>
    <w:rPr>
      <w:b/>
      <w:bCs/>
      <w:kern w:val="44"/>
      <w:sz w:val="44"/>
      <w:szCs w:val="44"/>
      <w14:ligatures w14:val="none"/>
    </w:rPr>
  </w:style>
  <w:style w:type="character" w:customStyle="1" w:styleId="25">
    <w:name w:val="fontstyle01"/>
    <w:basedOn w:val="10"/>
    <w:qFormat/>
    <w:uiPriority w:val="0"/>
    <w:rPr>
      <w:rFonts w:hint="default" w:ascii="AdvOT1efcda3b.B" w:hAnsi="AdvOT1efcda3b.B"/>
      <w:color w:val="000000"/>
      <w:sz w:val="16"/>
      <w:szCs w:val="16"/>
    </w:rPr>
  </w:style>
  <w:style w:type="character" w:customStyle="1" w:styleId="26">
    <w:name w:val="标题 2 字符"/>
    <w:basedOn w:val="10"/>
    <w:link w:val="3"/>
    <w:qFormat/>
    <w:uiPriority w:val="9"/>
    <w:rPr>
      <w:rFonts w:ascii="Times New Roman" w:hAnsi="Times New Roman" w:cstheme="majorBidi"/>
      <w:b/>
      <w:bCs/>
      <w:sz w:val="28"/>
      <w:szCs w:val="32"/>
      <w14:ligatures w14:val="none"/>
    </w:rPr>
  </w:style>
  <w:style w:type="character" w:customStyle="1" w:styleId="27">
    <w:name w:val="未处理的提及2"/>
    <w:basedOn w:val="10"/>
    <w:semiHidden/>
    <w:unhideWhenUsed/>
    <w:qFormat/>
    <w:uiPriority w:val="99"/>
    <w:rPr>
      <w:color w:val="605E5C"/>
      <w:shd w:val="clear" w:color="auto" w:fill="E1DFDD"/>
    </w:rPr>
  </w:style>
  <w:style w:type="paragraph" w:styleId="28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327</Words>
  <Characters>2200</Characters>
  <Lines>17</Lines>
  <Paragraphs>5</Paragraphs>
  <TotalTime>0</TotalTime>
  <ScaleCrop>false</ScaleCrop>
  <LinksUpToDate>false</LinksUpToDate>
  <CharactersWithSpaces>2446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2023-04-21T08:03:00Z</dcterms:created>
  <dc:creator>任 可</dc:creator>
  <cp:lastModifiedBy>Dr.GU</cp:lastModifiedBy>
  <dcterms:modified xsi:type="dcterms:W3CDTF">2025-02-19T05:01:51Z</dcterms:modified>
  <cp:revision>441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E2E1EF1C17BF4DE2B64AD17BDB0C20B0_13</vt:lpwstr>
  </property>
  <property fmtid="{D5CDD505-2E9C-101B-9397-08002B2CF9AE}" pid="4" name="KSOTemplateDocerSaveRecord">
    <vt:lpwstr>eyJoZGlkIjoiMjc1NzRjZjBmMTU5NDU5OGZjZmU5OGI0YzcxZGQwOWUiLCJ1c2VySWQiOiIzNDMyODU1ODUifQ==</vt:lpwstr>
  </property>
</Properties>
</file>