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79405C" w14:textId="01659AC0" w:rsidR="009A2F4E" w:rsidRPr="008A6545" w:rsidRDefault="00B672F9" w:rsidP="00467DDD">
      <w:pPr>
        <w:snapToGrid w:val="0"/>
        <w:spacing w:before="120" w:after="120" w:line="288" w:lineRule="auto"/>
        <w:jc w:val="center"/>
        <w:rPr>
          <w:rFonts w:ascii="Times New Roman" w:hAnsi="Times New Roman" w:cs="Times New Roman"/>
          <w:b/>
          <w:bCs/>
          <w:sz w:val="30"/>
          <w:szCs w:val="30"/>
        </w:rPr>
      </w:pPr>
      <w:r w:rsidRPr="008A6545">
        <w:rPr>
          <w:rFonts w:ascii="Times New Roman" w:hAnsi="Times New Roman" w:cs="Times New Roman"/>
          <w:b/>
          <w:bCs/>
          <w:sz w:val="30"/>
          <w:szCs w:val="30"/>
        </w:rPr>
        <w:t xml:space="preserve">Electronic </w:t>
      </w:r>
      <w:r w:rsidR="00EF4DA9" w:rsidRPr="008A6545">
        <w:rPr>
          <w:rFonts w:ascii="Times New Roman" w:hAnsi="Times New Roman" w:cs="Times New Roman"/>
          <w:b/>
          <w:bCs/>
          <w:sz w:val="30"/>
          <w:szCs w:val="30"/>
        </w:rPr>
        <w:t>S</w:t>
      </w:r>
      <w:r w:rsidRPr="008A6545">
        <w:rPr>
          <w:rFonts w:ascii="Times New Roman" w:hAnsi="Times New Roman" w:cs="Times New Roman"/>
          <w:b/>
          <w:bCs/>
          <w:sz w:val="30"/>
          <w:szCs w:val="30"/>
        </w:rPr>
        <w:t xml:space="preserve">upporting </w:t>
      </w:r>
      <w:r w:rsidR="00EF4DA9" w:rsidRPr="008A6545">
        <w:rPr>
          <w:rFonts w:ascii="Times New Roman" w:hAnsi="Times New Roman" w:cs="Times New Roman"/>
          <w:b/>
          <w:bCs/>
          <w:sz w:val="30"/>
          <w:szCs w:val="30"/>
        </w:rPr>
        <w:t>I</w:t>
      </w:r>
      <w:r w:rsidRPr="008A6545">
        <w:rPr>
          <w:rFonts w:ascii="Times New Roman" w:hAnsi="Times New Roman" w:cs="Times New Roman"/>
          <w:b/>
          <w:bCs/>
          <w:sz w:val="30"/>
          <w:szCs w:val="30"/>
        </w:rPr>
        <w:t>nformation</w:t>
      </w:r>
    </w:p>
    <w:p w14:paraId="288020BC" w14:textId="2F4D4E05" w:rsidR="00B672F9" w:rsidRPr="008A6545" w:rsidRDefault="00FD5B7E" w:rsidP="00E207D7">
      <w:pPr>
        <w:snapToGrid w:val="0"/>
        <w:spacing w:line="288" w:lineRule="auto"/>
        <w:rPr>
          <w:rFonts w:ascii="Times New Roman" w:hAnsi="Times New Roman" w:cs="Times New Roman"/>
          <w:b/>
          <w:bCs/>
          <w:sz w:val="24"/>
          <w:szCs w:val="24"/>
        </w:rPr>
      </w:pPr>
      <w:r w:rsidRPr="008A6545">
        <w:rPr>
          <w:rFonts w:ascii="Times New Roman" w:hAnsi="Times New Roman" w:cs="Times New Roman"/>
          <w:b/>
          <w:bCs/>
          <w:sz w:val="24"/>
          <w:szCs w:val="24"/>
        </w:rPr>
        <w:t>Experimental section</w:t>
      </w:r>
    </w:p>
    <w:p w14:paraId="5C687FB8" w14:textId="18DA68F7" w:rsidR="00FD5B7E" w:rsidRPr="008A6545" w:rsidRDefault="00FD5B7E" w:rsidP="00E207D7">
      <w:pPr>
        <w:snapToGrid w:val="0"/>
        <w:spacing w:line="288" w:lineRule="auto"/>
        <w:rPr>
          <w:rFonts w:ascii="Times New Roman" w:hAnsi="Times New Roman" w:cs="Times New Roman"/>
          <w:b/>
          <w:bCs/>
          <w:i/>
          <w:iCs/>
          <w:sz w:val="24"/>
          <w:szCs w:val="24"/>
        </w:rPr>
      </w:pPr>
      <w:r w:rsidRPr="008A6545">
        <w:rPr>
          <w:rFonts w:ascii="Times New Roman" w:hAnsi="Times New Roman" w:cs="Times New Roman"/>
          <w:b/>
          <w:bCs/>
          <w:i/>
          <w:iCs/>
          <w:sz w:val="24"/>
          <w:szCs w:val="24"/>
        </w:rPr>
        <w:t>Bacterial culture</w:t>
      </w:r>
      <w:r w:rsidR="006C1700" w:rsidRPr="008A6545">
        <w:rPr>
          <w:rFonts w:ascii="Times New Roman" w:hAnsi="Times New Roman" w:cs="Times New Roman"/>
          <w:b/>
          <w:bCs/>
          <w:i/>
          <w:iCs/>
          <w:sz w:val="24"/>
          <w:szCs w:val="24"/>
        </w:rPr>
        <w:t xml:space="preserve"> and colony counting</w:t>
      </w:r>
    </w:p>
    <w:p w14:paraId="3ACB448E" w14:textId="2435496E" w:rsidR="007F62AF" w:rsidRPr="008A6545" w:rsidRDefault="00FD5B7E" w:rsidP="00E207D7">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 xml:space="preserve">All bacterial pathogens, </w:t>
      </w:r>
      <w:r w:rsidRPr="008A6545">
        <w:rPr>
          <w:rFonts w:ascii="Times New Roman" w:hAnsi="Times New Roman" w:cs="Times New Roman"/>
          <w:i/>
          <w:sz w:val="24"/>
          <w:szCs w:val="24"/>
        </w:rPr>
        <w:t>Pseudomonas aeruginosa</w:t>
      </w:r>
      <w:r w:rsidRPr="008A6545">
        <w:rPr>
          <w:rFonts w:ascii="Times New Roman" w:hAnsi="Times New Roman" w:cs="Times New Roman"/>
          <w:sz w:val="24"/>
          <w:szCs w:val="24"/>
        </w:rPr>
        <w:t xml:space="preserve"> (PA) ATCC-27853, </w:t>
      </w:r>
      <w:r w:rsidRPr="008A6545">
        <w:rPr>
          <w:rFonts w:ascii="Times New Roman" w:hAnsi="Times New Roman" w:cs="Times New Roman"/>
          <w:i/>
          <w:sz w:val="24"/>
          <w:szCs w:val="24"/>
        </w:rPr>
        <w:t>Listeria monocytogens</w:t>
      </w:r>
      <w:r w:rsidRPr="008A6545">
        <w:rPr>
          <w:rFonts w:ascii="Times New Roman" w:hAnsi="Times New Roman" w:cs="Times New Roman"/>
          <w:sz w:val="24"/>
          <w:szCs w:val="24"/>
        </w:rPr>
        <w:t xml:space="preserve"> (LM), and </w:t>
      </w:r>
      <w:r w:rsidRPr="008A6545">
        <w:rPr>
          <w:rFonts w:ascii="Times New Roman" w:hAnsi="Times New Roman" w:cs="Times New Roman"/>
          <w:i/>
          <w:sz w:val="24"/>
          <w:szCs w:val="24"/>
        </w:rPr>
        <w:t>Staphylococcus aureus</w:t>
      </w:r>
      <w:r w:rsidRPr="008A6545">
        <w:rPr>
          <w:rFonts w:ascii="Times New Roman" w:hAnsi="Times New Roman" w:cs="Times New Roman"/>
          <w:sz w:val="24"/>
          <w:szCs w:val="24"/>
        </w:rPr>
        <w:t xml:space="preserve"> (SA) clinical isolate used in this study, were formerly owned by the laboratory. All bacterial strains were first grown on brain–heart infusion (BHI) agar to check the purity of the culture. A single colony was then inoculated in BHI broth and incubated at 37 °C/250 rpm overnight. One percent inoculum of overnight-grown culture was then sub-cultured in fresh BHI broth. Bacterial growth was constantly monitored by following its absorbance at 600 nm. Subsequently, cells were harvested at an optical density (O.D.) ~ 1.0 and centrifuged at 7000 rpm for 7 min followed by two washes with distilled water before finally diluting to get the desired CFUs.</w:t>
      </w:r>
      <w:r w:rsidR="006C1700" w:rsidRPr="008A6545">
        <w:rPr>
          <w:rFonts w:ascii="Times New Roman" w:hAnsi="Times New Roman" w:cs="Times New Roman"/>
          <w:sz w:val="24"/>
          <w:szCs w:val="24"/>
        </w:rPr>
        <w:t xml:space="preserve"> Fresh bacteria in PBS were obtained by washing the plates with sterile PBS, and the number of bacteria was determined by McFarland turbidimetry. Bacterial suspensions of different concentrations were prepared in PBS.</w:t>
      </w:r>
    </w:p>
    <w:p w14:paraId="7572F689" w14:textId="5668DA48" w:rsidR="00FD5B7E" w:rsidRPr="008A6545" w:rsidRDefault="00FD5B7E" w:rsidP="00E207D7">
      <w:pPr>
        <w:snapToGrid w:val="0"/>
        <w:spacing w:line="288" w:lineRule="auto"/>
        <w:rPr>
          <w:rFonts w:ascii="Times New Roman" w:hAnsi="Times New Roman" w:cs="Times New Roman"/>
          <w:sz w:val="24"/>
          <w:szCs w:val="24"/>
        </w:rPr>
      </w:pPr>
    </w:p>
    <w:p w14:paraId="0F8AE762" w14:textId="258DF3AC" w:rsidR="00FD5B7E" w:rsidRPr="008A6545" w:rsidRDefault="00D46671" w:rsidP="00E207D7">
      <w:pPr>
        <w:snapToGrid w:val="0"/>
        <w:spacing w:line="288" w:lineRule="auto"/>
        <w:rPr>
          <w:rFonts w:ascii="Times New Roman" w:hAnsi="Times New Roman" w:cs="Times New Roman"/>
          <w:sz w:val="24"/>
          <w:szCs w:val="24"/>
        </w:rPr>
      </w:pPr>
      <w:r w:rsidRPr="008A6545">
        <w:rPr>
          <w:rFonts w:ascii="Times New Roman" w:hAnsi="Times New Roman" w:cs="Times New Roman"/>
          <w:b/>
          <w:bCs/>
          <w:sz w:val="24"/>
          <w:szCs w:val="24"/>
        </w:rPr>
        <w:t>Table S1</w:t>
      </w:r>
      <w:r w:rsidRPr="008A6545">
        <w:rPr>
          <w:rFonts w:ascii="Times New Roman" w:hAnsi="Times New Roman" w:cs="Times New Roman"/>
          <w:sz w:val="24"/>
          <w:szCs w:val="24"/>
        </w:rPr>
        <w:t>. Oligonucleotides used in this work.</w:t>
      </w:r>
    </w:p>
    <w:tbl>
      <w:tblPr>
        <w:tblStyle w:val="TableGrid"/>
        <w:tblW w:w="0" w:type="auto"/>
        <w:tblLook w:val="04A0" w:firstRow="1" w:lastRow="0" w:firstColumn="1" w:lastColumn="0" w:noHBand="0" w:noVBand="1"/>
      </w:tblPr>
      <w:tblGrid>
        <w:gridCol w:w="1129"/>
        <w:gridCol w:w="7167"/>
      </w:tblGrid>
      <w:tr w:rsidR="008A6545" w:rsidRPr="008A6545" w14:paraId="470C5D78" w14:textId="77777777" w:rsidTr="00B852B3">
        <w:tc>
          <w:tcPr>
            <w:tcW w:w="1129" w:type="dxa"/>
          </w:tcPr>
          <w:p w14:paraId="76748534" w14:textId="048DCF7F" w:rsidR="00D46671" w:rsidRPr="008A6545" w:rsidRDefault="00D46671" w:rsidP="00E207D7">
            <w:pPr>
              <w:snapToGrid w:val="0"/>
              <w:spacing w:line="288" w:lineRule="auto"/>
              <w:rPr>
                <w:rFonts w:ascii="Times New Roman" w:hAnsi="Times New Roman" w:cs="Times New Roman"/>
                <w:b/>
                <w:sz w:val="24"/>
                <w:szCs w:val="24"/>
              </w:rPr>
            </w:pPr>
            <w:r w:rsidRPr="008A6545">
              <w:rPr>
                <w:rFonts w:ascii="Times New Roman" w:hAnsi="Times New Roman" w:cs="Times New Roman"/>
                <w:b/>
                <w:sz w:val="24"/>
                <w:szCs w:val="24"/>
              </w:rPr>
              <w:t xml:space="preserve">Name </w:t>
            </w:r>
          </w:p>
        </w:tc>
        <w:tc>
          <w:tcPr>
            <w:tcW w:w="7167" w:type="dxa"/>
          </w:tcPr>
          <w:p w14:paraId="6F270589" w14:textId="67ECD70C" w:rsidR="00D46671" w:rsidRPr="008A6545" w:rsidRDefault="00D46671" w:rsidP="00E207D7">
            <w:pPr>
              <w:snapToGrid w:val="0"/>
              <w:spacing w:line="288" w:lineRule="auto"/>
              <w:rPr>
                <w:rFonts w:ascii="Times New Roman" w:hAnsi="Times New Roman" w:cs="Times New Roman"/>
                <w:b/>
                <w:sz w:val="24"/>
                <w:szCs w:val="24"/>
              </w:rPr>
            </w:pPr>
            <w:r w:rsidRPr="008A6545">
              <w:rPr>
                <w:rFonts w:ascii="Times New Roman" w:hAnsi="Times New Roman" w:cs="Times New Roman"/>
                <w:b/>
                <w:sz w:val="24"/>
                <w:szCs w:val="24"/>
              </w:rPr>
              <w:t>Sequences (5’ to 3’)</w:t>
            </w:r>
          </w:p>
        </w:tc>
      </w:tr>
      <w:tr w:rsidR="008A6545" w:rsidRPr="008A6545" w14:paraId="1451B686" w14:textId="77777777" w:rsidTr="00B852B3">
        <w:tc>
          <w:tcPr>
            <w:tcW w:w="1129" w:type="dxa"/>
          </w:tcPr>
          <w:p w14:paraId="406A9272" w14:textId="167D04AE" w:rsidR="00D46671" w:rsidRPr="008A6545" w:rsidRDefault="00D46671" w:rsidP="00E207D7">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G4-a</w:t>
            </w:r>
          </w:p>
        </w:tc>
        <w:tc>
          <w:tcPr>
            <w:tcW w:w="7167" w:type="dxa"/>
          </w:tcPr>
          <w:p w14:paraId="5380EEB0" w14:textId="248B01D3" w:rsidR="00D46671" w:rsidRPr="008A6545" w:rsidRDefault="00D46671" w:rsidP="00E207D7">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AAC GAG ACT G TTA GGG TTA GGG</w:t>
            </w:r>
          </w:p>
        </w:tc>
      </w:tr>
      <w:tr w:rsidR="008A6545" w:rsidRPr="008A6545" w14:paraId="6AF254BC" w14:textId="77777777" w:rsidTr="00B852B3">
        <w:tc>
          <w:tcPr>
            <w:tcW w:w="1129" w:type="dxa"/>
          </w:tcPr>
          <w:p w14:paraId="1DD3EB54" w14:textId="753E8F89" w:rsidR="00D46671" w:rsidRPr="008A6545" w:rsidRDefault="00D46671" w:rsidP="00E207D7">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G4-b</w:t>
            </w:r>
          </w:p>
        </w:tc>
        <w:tc>
          <w:tcPr>
            <w:tcW w:w="7167" w:type="dxa"/>
          </w:tcPr>
          <w:p w14:paraId="65F7B547" w14:textId="72B07819" w:rsidR="00D46671" w:rsidRPr="008A6545" w:rsidRDefault="00D46671" w:rsidP="00E207D7">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GGG TTA GGG TTA C GTC ACT CCA</w:t>
            </w:r>
          </w:p>
        </w:tc>
      </w:tr>
      <w:tr w:rsidR="008A6545" w:rsidRPr="008A6545" w14:paraId="32505087" w14:textId="77777777" w:rsidTr="00B852B3">
        <w:tc>
          <w:tcPr>
            <w:tcW w:w="1129" w:type="dxa"/>
          </w:tcPr>
          <w:p w14:paraId="6DA9985F" w14:textId="644EECF0" w:rsidR="00D46671" w:rsidRPr="008A6545" w:rsidRDefault="00D46671" w:rsidP="00E207D7">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s1</w:t>
            </w:r>
          </w:p>
        </w:tc>
        <w:tc>
          <w:tcPr>
            <w:tcW w:w="7167" w:type="dxa"/>
          </w:tcPr>
          <w:p w14:paraId="1E4759E4" w14:textId="0B049246" w:rsidR="00D46671" w:rsidRPr="008A6545" w:rsidRDefault="00D46671" w:rsidP="00E207D7">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TGG AGT GAC G TAG CTT ATC AGA CT C AGT CTC GTT</w:t>
            </w:r>
          </w:p>
        </w:tc>
      </w:tr>
      <w:tr w:rsidR="008A6545" w:rsidRPr="008A6545" w14:paraId="715F5B33" w14:textId="77777777" w:rsidTr="00B852B3">
        <w:tc>
          <w:tcPr>
            <w:tcW w:w="1129" w:type="dxa"/>
          </w:tcPr>
          <w:p w14:paraId="4E2E1692" w14:textId="5B052675" w:rsidR="00D46671" w:rsidRPr="008A6545" w:rsidRDefault="00D46671" w:rsidP="00E207D7">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HP</w:t>
            </w:r>
          </w:p>
        </w:tc>
        <w:tc>
          <w:tcPr>
            <w:tcW w:w="7167" w:type="dxa"/>
          </w:tcPr>
          <w:p w14:paraId="5924BC79" w14:textId="7D2C9904" w:rsidR="00D46671" w:rsidRPr="008A6545" w:rsidRDefault="006E16AF" w:rsidP="00E207D7">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 xml:space="preserve">CCG </w:t>
            </w:r>
            <w:r w:rsidR="0026532A" w:rsidRPr="008A6545">
              <w:rPr>
                <w:rFonts w:ascii="Times New Roman" w:hAnsi="Times New Roman" w:cs="Times New Roman"/>
                <w:sz w:val="24"/>
                <w:szCs w:val="24"/>
              </w:rPr>
              <w:t>TCT GAT AAG CTA</w:t>
            </w:r>
            <w:r w:rsidRPr="008A6545">
              <w:rPr>
                <w:rFonts w:ascii="Times New Roman" w:hAnsi="Times New Roman" w:cs="Times New Roman"/>
                <w:sz w:val="24"/>
                <w:szCs w:val="24"/>
              </w:rPr>
              <w:t xml:space="preserve"> CAC CGA GCT AGA TCC CTG GAC GAC TTG AAA AAC TAT ACA ACC TAC TAC CTC A TTT CAA GTC GTC CAG TTG AAA</w:t>
            </w:r>
          </w:p>
        </w:tc>
      </w:tr>
      <w:tr w:rsidR="005E0ECC" w:rsidRPr="008A6545" w14:paraId="063F0433" w14:textId="77777777" w:rsidTr="00B852B3">
        <w:tc>
          <w:tcPr>
            <w:tcW w:w="1129" w:type="dxa"/>
          </w:tcPr>
          <w:p w14:paraId="5F976142" w14:textId="0C047444" w:rsidR="005E0ECC" w:rsidRPr="008A6545" w:rsidRDefault="005E0ECC" w:rsidP="00E207D7">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“7*”</w:t>
            </w:r>
          </w:p>
        </w:tc>
        <w:tc>
          <w:tcPr>
            <w:tcW w:w="7167" w:type="dxa"/>
          </w:tcPr>
          <w:p w14:paraId="4D7B1770" w14:textId="098D3961" w:rsidR="005E0ECC" w:rsidRPr="008A6545" w:rsidRDefault="005E0ECC" w:rsidP="00E207D7">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TGA GGT AGT AGG TTG TAT AGT T</w:t>
            </w:r>
          </w:p>
        </w:tc>
      </w:tr>
    </w:tbl>
    <w:p w14:paraId="1DE4CBBA" w14:textId="6D68509F" w:rsidR="00FD5B7E" w:rsidRPr="008A6545" w:rsidRDefault="00FD5B7E" w:rsidP="00E207D7">
      <w:pPr>
        <w:snapToGrid w:val="0"/>
        <w:spacing w:line="288" w:lineRule="auto"/>
        <w:rPr>
          <w:rFonts w:ascii="Times New Roman" w:hAnsi="Times New Roman" w:cs="Times New Roman"/>
          <w:sz w:val="24"/>
          <w:szCs w:val="24"/>
        </w:rPr>
      </w:pPr>
    </w:p>
    <w:p w14:paraId="2F4AF215" w14:textId="6FE6EA76" w:rsidR="00F77447" w:rsidRPr="008A6545" w:rsidRDefault="00F77447" w:rsidP="00E207D7">
      <w:pPr>
        <w:snapToGrid w:val="0"/>
        <w:spacing w:line="288" w:lineRule="auto"/>
        <w:rPr>
          <w:rFonts w:ascii="Times New Roman" w:hAnsi="Times New Roman" w:cs="Times New Roman"/>
          <w:sz w:val="24"/>
          <w:szCs w:val="24"/>
        </w:rPr>
      </w:pPr>
    </w:p>
    <w:p w14:paraId="5EAD3801" w14:textId="20C24338" w:rsidR="00F77447" w:rsidRPr="008A6545" w:rsidRDefault="00F77447" w:rsidP="00E207D7">
      <w:pPr>
        <w:snapToGrid w:val="0"/>
        <w:spacing w:line="288" w:lineRule="auto"/>
        <w:rPr>
          <w:rFonts w:ascii="Times New Roman" w:hAnsi="Times New Roman" w:cs="Times New Roman"/>
          <w:sz w:val="24"/>
          <w:szCs w:val="24"/>
        </w:rPr>
        <w:sectPr w:rsidR="00F77447" w:rsidRPr="008A6545">
          <w:footerReference w:type="default" r:id="rId6"/>
          <w:pgSz w:w="11906" w:h="16838"/>
          <w:pgMar w:top="1440" w:right="1800" w:bottom="1440" w:left="1800" w:header="851" w:footer="992" w:gutter="0"/>
          <w:cols w:space="425"/>
          <w:docGrid w:type="lines" w:linePitch="312"/>
        </w:sectPr>
      </w:pPr>
    </w:p>
    <w:p w14:paraId="58DC37D5" w14:textId="77777777" w:rsidR="00F77447" w:rsidRPr="008A6545" w:rsidRDefault="00F77447" w:rsidP="00F77447">
      <w:pPr>
        <w:snapToGrid w:val="0"/>
        <w:spacing w:line="288" w:lineRule="auto"/>
        <w:rPr>
          <w:rFonts w:ascii="Times New Roman" w:hAnsi="Times New Roman" w:cs="Times New Roman"/>
          <w:sz w:val="24"/>
          <w:szCs w:val="24"/>
        </w:rPr>
      </w:pPr>
      <w:bookmarkStart w:id="0" w:name="_GoBack"/>
      <w:bookmarkEnd w:id="0"/>
    </w:p>
    <w:p w14:paraId="00C2B1E5" w14:textId="77777777" w:rsidR="00F77447" w:rsidRPr="008A6545" w:rsidRDefault="00F77447" w:rsidP="00F77447">
      <w:pPr>
        <w:snapToGrid w:val="0"/>
        <w:spacing w:line="288" w:lineRule="auto"/>
        <w:rPr>
          <w:rFonts w:ascii="Times New Roman" w:hAnsi="Times New Roman" w:cs="Times New Roman"/>
          <w:sz w:val="24"/>
          <w:szCs w:val="24"/>
        </w:rPr>
      </w:pPr>
      <w:r w:rsidRPr="008A6545">
        <w:rPr>
          <w:rFonts w:ascii="Times New Roman" w:hAnsi="Times New Roman" w:cs="Times New Roman"/>
          <w:b/>
          <w:sz w:val="24"/>
          <w:szCs w:val="24"/>
        </w:rPr>
        <w:t>Table S2</w:t>
      </w:r>
      <w:r w:rsidRPr="008A6545">
        <w:rPr>
          <w:rFonts w:ascii="Times New Roman" w:hAnsi="Times New Roman" w:cs="Times New Roman"/>
          <w:sz w:val="24"/>
          <w:szCs w:val="24"/>
        </w:rPr>
        <w:t xml:space="preserve">. A brief comparison of the method with former ones. </w:t>
      </w:r>
    </w:p>
    <w:tbl>
      <w:tblPr>
        <w:tblStyle w:val="TableGrid"/>
        <w:tblW w:w="0" w:type="auto"/>
        <w:tblLayout w:type="fixed"/>
        <w:tblLook w:val="04A0" w:firstRow="1" w:lastRow="0" w:firstColumn="1" w:lastColumn="0" w:noHBand="0" w:noVBand="1"/>
      </w:tblPr>
      <w:tblGrid>
        <w:gridCol w:w="1413"/>
        <w:gridCol w:w="2126"/>
        <w:gridCol w:w="1276"/>
        <w:gridCol w:w="1559"/>
        <w:gridCol w:w="992"/>
        <w:gridCol w:w="5954"/>
        <w:gridCol w:w="628"/>
      </w:tblGrid>
      <w:tr w:rsidR="008A6545" w:rsidRPr="008A6545" w14:paraId="5416D982" w14:textId="77777777" w:rsidTr="00F868C4">
        <w:tc>
          <w:tcPr>
            <w:tcW w:w="1413" w:type="dxa"/>
          </w:tcPr>
          <w:p w14:paraId="482F5C02" w14:textId="77777777" w:rsidR="00F77447" w:rsidRPr="008A6545" w:rsidRDefault="00F77447" w:rsidP="00F868C4">
            <w:pPr>
              <w:snapToGrid w:val="0"/>
              <w:spacing w:line="288" w:lineRule="auto"/>
              <w:rPr>
                <w:rFonts w:ascii="Times New Roman" w:hAnsi="Times New Roman" w:cs="Times New Roman"/>
                <w:b/>
                <w:sz w:val="24"/>
                <w:szCs w:val="24"/>
              </w:rPr>
            </w:pPr>
            <w:r w:rsidRPr="008A6545">
              <w:rPr>
                <w:rFonts w:ascii="Times New Roman" w:hAnsi="Times New Roman" w:cs="Times New Roman"/>
                <w:b/>
                <w:sz w:val="24"/>
                <w:szCs w:val="24"/>
              </w:rPr>
              <w:t xml:space="preserve">Title </w:t>
            </w:r>
          </w:p>
        </w:tc>
        <w:tc>
          <w:tcPr>
            <w:tcW w:w="2126" w:type="dxa"/>
          </w:tcPr>
          <w:p w14:paraId="5BE98CF2" w14:textId="77777777" w:rsidR="00F77447" w:rsidRPr="008A6545" w:rsidRDefault="00F77447" w:rsidP="00F868C4">
            <w:pPr>
              <w:snapToGrid w:val="0"/>
              <w:spacing w:line="288" w:lineRule="auto"/>
              <w:rPr>
                <w:rFonts w:ascii="Times New Roman" w:hAnsi="Times New Roman" w:cs="Times New Roman"/>
                <w:b/>
                <w:sz w:val="24"/>
                <w:szCs w:val="24"/>
              </w:rPr>
            </w:pPr>
            <w:r w:rsidRPr="008A6545">
              <w:rPr>
                <w:rFonts w:ascii="Times New Roman" w:hAnsi="Times New Roman" w:cs="Times New Roman"/>
                <w:b/>
                <w:sz w:val="24"/>
                <w:szCs w:val="24"/>
              </w:rPr>
              <w:t xml:space="preserve">Mechanism </w:t>
            </w:r>
          </w:p>
        </w:tc>
        <w:tc>
          <w:tcPr>
            <w:tcW w:w="1276" w:type="dxa"/>
          </w:tcPr>
          <w:p w14:paraId="29D10B83" w14:textId="77777777" w:rsidR="00F77447" w:rsidRPr="008A6545" w:rsidRDefault="00F77447" w:rsidP="00F868C4">
            <w:pPr>
              <w:snapToGrid w:val="0"/>
              <w:spacing w:line="288" w:lineRule="auto"/>
              <w:rPr>
                <w:rFonts w:ascii="Times New Roman" w:hAnsi="Times New Roman" w:cs="Times New Roman"/>
                <w:b/>
                <w:sz w:val="24"/>
                <w:szCs w:val="24"/>
              </w:rPr>
            </w:pPr>
            <w:r w:rsidRPr="008A6545">
              <w:rPr>
                <w:rFonts w:ascii="Times New Roman" w:hAnsi="Times New Roman" w:cs="Times New Roman"/>
                <w:b/>
                <w:sz w:val="24"/>
                <w:szCs w:val="24"/>
              </w:rPr>
              <w:t>LOD</w:t>
            </w:r>
          </w:p>
        </w:tc>
        <w:tc>
          <w:tcPr>
            <w:tcW w:w="1559" w:type="dxa"/>
          </w:tcPr>
          <w:p w14:paraId="53B37422" w14:textId="77777777" w:rsidR="00F77447" w:rsidRPr="008A6545" w:rsidRDefault="00F77447" w:rsidP="00F868C4">
            <w:pPr>
              <w:snapToGrid w:val="0"/>
              <w:spacing w:line="288" w:lineRule="auto"/>
              <w:rPr>
                <w:rFonts w:ascii="Times New Roman" w:hAnsi="Times New Roman" w:cs="Times New Roman"/>
                <w:b/>
                <w:sz w:val="24"/>
                <w:szCs w:val="24"/>
              </w:rPr>
            </w:pPr>
            <w:r w:rsidRPr="008A6545">
              <w:rPr>
                <w:rFonts w:ascii="Times New Roman" w:hAnsi="Times New Roman" w:cs="Times New Roman"/>
                <w:b/>
                <w:sz w:val="24"/>
                <w:szCs w:val="24"/>
              </w:rPr>
              <w:t>Signal modes</w:t>
            </w:r>
          </w:p>
        </w:tc>
        <w:tc>
          <w:tcPr>
            <w:tcW w:w="992" w:type="dxa"/>
          </w:tcPr>
          <w:p w14:paraId="267B2A7F" w14:textId="77777777" w:rsidR="00F77447" w:rsidRPr="008A6545" w:rsidRDefault="00F77447" w:rsidP="00F868C4">
            <w:pPr>
              <w:snapToGrid w:val="0"/>
              <w:spacing w:line="288" w:lineRule="auto"/>
              <w:rPr>
                <w:rFonts w:ascii="Times New Roman" w:hAnsi="Times New Roman" w:cs="Times New Roman"/>
                <w:b/>
                <w:sz w:val="24"/>
                <w:szCs w:val="24"/>
              </w:rPr>
            </w:pPr>
            <w:r w:rsidRPr="008A6545">
              <w:rPr>
                <w:rFonts w:ascii="Times New Roman" w:hAnsi="Times New Roman" w:cs="Times New Roman"/>
                <w:b/>
                <w:sz w:val="24"/>
                <w:szCs w:val="24"/>
              </w:rPr>
              <w:t>Signal moiety</w:t>
            </w:r>
          </w:p>
        </w:tc>
        <w:tc>
          <w:tcPr>
            <w:tcW w:w="5954" w:type="dxa"/>
          </w:tcPr>
          <w:p w14:paraId="5E1A246C" w14:textId="77777777" w:rsidR="00F77447" w:rsidRPr="008A6545" w:rsidRDefault="00F77447" w:rsidP="00F868C4">
            <w:pPr>
              <w:snapToGrid w:val="0"/>
              <w:spacing w:line="288" w:lineRule="auto"/>
              <w:rPr>
                <w:rFonts w:ascii="Times New Roman" w:hAnsi="Times New Roman" w:cs="Times New Roman"/>
                <w:b/>
                <w:sz w:val="24"/>
                <w:szCs w:val="24"/>
              </w:rPr>
            </w:pPr>
            <w:r w:rsidRPr="008A6545">
              <w:rPr>
                <w:rFonts w:ascii="Times New Roman" w:hAnsi="Times New Roman" w:cs="Times New Roman"/>
                <w:b/>
                <w:sz w:val="24"/>
                <w:szCs w:val="24"/>
              </w:rPr>
              <w:t xml:space="preserve">Advantages and disadvantages </w:t>
            </w:r>
          </w:p>
        </w:tc>
        <w:tc>
          <w:tcPr>
            <w:tcW w:w="628" w:type="dxa"/>
          </w:tcPr>
          <w:p w14:paraId="2BF43EB8" w14:textId="77777777" w:rsidR="00F77447" w:rsidRPr="008A6545" w:rsidRDefault="00F77447" w:rsidP="00F868C4">
            <w:pPr>
              <w:snapToGrid w:val="0"/>
              <w:spacing w:line="288" w:lineRule="auto"/>
              <w:rPr>
                <w:rFonts w:ascii="Times New Roman" w:hAnsi="Times New Roman" w:cs="Times New Roman"/>
                <w:b/>
                <w:sz w:val="24"/>
                <w:szCs w:val="24"/>
              </w:rPr>
            </w:pPr>
            <w:r w:rsidRPr="008A6545">
              <w:rPr>
                <w:rFonts w:ascii="Times New Roman" w:hAnsi="Times New Roman" w:cs="Times New Roman"/>
                <w:b/>
                <w:sz w:val="24"/>
                <w:szCs w:val="24"/>
              </w:rPr>
              <w:t xml:space="preserve">Ref </w:t>
            </w:r>
          </w:p>
        </w:tc>
      </w:tr>
      <w:tr w:rsidR="008A6545" w:rsidRPr="008A6545" w14:paraId="22F9C648" w14:textId="77777777" w:rsidTr="00F868C4">
        <w:tc>
          <w:tcPr>
            <w:tcW w:w="1413" w:type="dxa"/>
          </w:tcPr>
          <w:p w14:paraId="0BA320B4" w14:textId="77777777" w:rsidR="00F77447" w:rsidRPr="008A6545" w:rsidRDefault="00F77447" w:rsidP="00F868C4">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The method</w:t>
            </w:r>
          </w:p>
        </w:tc>
        <w:tc>
          <w:tcPr>
            <w:tcW w:w="2126" w:type="dxa"/>
          </w:tcPr>
          <w:p w14:paraId="0C2A5004" w14:textId="77777777" w:rsidR="00F77447" w:rsidRPr="008A6545" w:rsidRDefault="00F77447" w:rsidP="00F868C4">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Enzyme assisted signal cycles</w:t>
            </w:r>
          </w:p>
        </w:tc>
        <w:tc>
          <w:tcPr>
            <w:tcW w:w="1276" w:type="dxa"/>
          </w:tcPr>
          <w:p w14:paraId="4E4C6CE3" w14:textId="77777777" w:rsidR="00F77447" w:rsidRPr="008A6545" w:rsidRDefault="00F77447" w:rsidP="00F868C4">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3.5 cfu/mL</w:t>
            </w:r>
          </w:p>
        </w:tc>
        <w:tc>
          <w:tcPr>
            <w:tcW w:w="1559" w:type="dxa"/>
          </w:tcPr>
          <w:p w14:paraId="64FA2C96" w14:textId="77777777" w:rsidR="00F77447" w:rsidRPr="008A6545" w:rsidRDefault="00F77447" w:rsidP="00F868C4">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Fluorescence signal</w:t>
            </w:r>
          </w:p>
        </w:tc>
        <w:tc>
          <w:tcPr>
            <w:tcW w:w="992" w:type="dxa"/>
          </w:tcPr>
          <w:p w14:paraId="6C8D5473" w14:textId="77777777" w:rsidR="00F77447" w:rsidRPr="008A6545" w:rsidRDefault="00F77447" w:rsidP="00F868C4">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Malachite green</w:t>
            </w:r>
          </w:p>
        </w:tc>
        <w:tc>
          <w:tcPr>
            <w:tcW w:w="5954" w:type="dxa"/>
          </w:tcPr>
          <w:p w14:paraId="04EDB771" w14:textId="77777777" w:rsidR="00F77447" w:rsidRPr="008A6545" w:rsidRDefault="00F77447" w:rsidP="00F868C4">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Advantages: high sensitivity; high stability;</w:t>
            </w:r>
          </w:p>
          <w:p w14:paraId="2EA320AD" w14:textId="77777777" w:rsidR="00F77447" w:rsidRPr="008A6545" w:rsidRDefault="00F77447" w:rsidP="00F868C4">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Disadvantages: possible interferences from the pyrophosphates generated from the chain extension process.</w:t>
            </w:r>
          </w:p>
        </w:tc>
        <w:tc>
          <w:tcPr>
            <w:tcW w:w="628" w:type="dxa"/>
          </w:tcPr>
          <w:p w14:paraId="43295049" w14:textId="77777777" w:rsidR="00F77447" w:rsidRPr="008A6545" w:rsidRDefault="00F77447" w:rsidP="00F868C4">
            <w:pPr>
              <w:snapToGrid w:val="0"/>
              <w:spacing w:line="288" w:lineRule="auto"/>
              <w:rPr>
                <w:rFonts w:ascii="Times New Roman" w:hAnsi="Times New Roman" w:cs="Times New Roman"/>
                <w:sz w:val="24"/>
                <w:szCs w:val="24"/>
              </w:rPr>
            </w:pPr>
          </w:p>
        </w:tc>
      </w:tr>
      <w:tr w:rsidR="008A6545" w:rsidRPr="008A6545" w14:paraId="349E8430" w14:textId="77777777" w:rsidTr="00F868C4">
        <w:tc>
          <w:tcPr>
            <w:tcW w:w="1413" w:type="dxa"/>
          </w:tcPr>
          <w:p w14:paraId="63386FC0" w14:textId="77777777" w:rsidR="00F77447" w:rsidRPr="008A6545" w:rsidRDefault="00F77447" w:rsidP="00F868C4">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 xml:space="preserve">Simple fluorescent assay </w:t>
            </w:r>
          </w:p>
        </w:tc>
        <w:tc>
          <w:tcPr>
            <w:tcW w:w="2126" w:type="dxa"/>
          </w:tcPr>
          <w:p w14:paraId="0724106A" w14:textId="77777777" w:rsidR="00F77447" w:rsidRPr="008A6545" w:rsidRDefault="00F77447" w:rsidP="00F868C4">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Both-end blocked peroxidase-mimicking DNAzyme assisted signal cycle</w:t>
            </w:r>
          </w:p>
        </w:tc>
        <w:tc>
          <w:tcPr>
            <w:tcW w:w="1276" w:type="dxa"/>
          </w:tcPr>
          <w:p w14:paraId="0D96690F" w14:textId="77777777" w:rsidR="00F77447" w:rsidRPr="008A6545" w:rsidRDefault="00F77447" w:rsidP="00F868C4">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57 cfu/mL</w:t>
            </w:r>
          </w:p>
        </w:tc>
        <w:tc>
          <w:tcPr>
            <w:tcW w:w="1559" w:type="dxa"/>
          </w:tcPr>
          <w:p w14:paraId="5E4920EA" w14:textId="77777777" w:rsidR="00F77447" w:rsidRPr="008A6545" w:rsidRDefault="00F77447" w:rsidP="00F868C4">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Fluorescence signal</w:t>
            </w:r>
          </w:p>
        </w:tc>
        <w:tc>
          <w:tcPr>
            <w:tcW w:w="992" w:type="dxa"/>
          </w:tcPr>
          <w:p w14:paraId="3680A140" w14:textId="77777777" w:rsidR="00F77447" w:rsidRPr="008A6545" w:rsidRDefault="00F77447" w:rsidP="00F868C4">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FAM</w:t>
            </w:r>
          </w:p>
        </w:tc>
        <w:tc>
          <w:tcPr>
            <w:tcW w:w="5954" w:type="dxa"/>
          </w:tcPr>
          <w:p w14:paraId="7FB6F1D5" w14:textId="77777777" w:rsidR="00F77447" w:rsidRPr="008A6545" w:rsidRDefault="00F77447" w:rsidP="00F868C4">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Advantages: high stability;</w:t>
            </w:r>
          </w:p>
          <w:p w14:paraId="28687390" w14:textId="77777777" w:rsidR="00F77447" w:rsidRPr="008A6545" w:rsidRDefault="00F77447" w:rsidP="00F868C4">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Disadvantages: low sensitivity; complicated allosteric probe design.</w:t>
            </w:r>
          </w:p>
        </w:tc>
        <w:tc>
          <w:tcPr>
            <w:tcW w:w="628" w:type="dxa"/>
          </w:tcPr>
          <w:p w14:paraId="4A262677" w14:textId="77777777" w:rsidR="00F77447" w:rsidRPr="008A6545" w:rsidRDefault="00F77447" w:rsidP="00F868C4">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fldChar w:fldCharType="begin">
                <w:fldData xml:space="preserve">PEVuZE5vdGU+PENpdGU+PEF1dGhvcj5DaGVuPC9BdXRob3I+PFllYXI+MjAyNDwvWWVhcj48UmVj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</w:fldData>
              </w:fldChar>
            </w:r>
            <w:r w:rsidRPr="008A6545">
              <w:rPr>
                <w:rFonts w:ascii="Times New Roman" w:hAnsi="Times New Roman" w:cs="Times New Roman"/>
                <w:sz w:val="24"/>
                <w:szCs w:val="24"/>
              </w:rPr>
              <w:instrText xml:space="preserve"> ADDIN EN.CITE </w:instrText>
            </w:r>
            <w:r w:rsidRPr="008A6545">
              <w:rPr>
                <w:rFonts w:ascii="Times New Roman" w:hAnsi="Times New Roman" w:cs="Times New Roman"/>
                <w:sz w:val="24"/>
                <w:szCs w:val="24"/>
              </w:rPr>
              <w:fldChar w:fldCharType="begin">
                <w:fldData xml:space="preserve">PEVuZE5vdGU+PENpdGU+PEF1dGhvcj5DaGVuPC9BdXRob3I+PFllYXI+MjAyNDwvWWVhcj48UmVj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</w:fldData>
              </w:fldChar>
            </w:r>
            <w:r w:rsidRPr="008A6545">
              <w:rPr>
                <w:rFonts w:ascii="Times New Roman" w:hAnsi="Times New Roman" w:cs="Times New Roman"/>
                <w:sz w:val="24"/>
                <w:szCs w:val="24"/>
              </w:rPr>
              <w:instrText xml:space="preserve"> ADDIN EN.CITE.DATA </w:instrText>
            </w:r>
            <w:r w:rsidRPr="008A6545">
              <w:rPr>
                <w:rFonts w:ascii="Times New Roman" w:hAnsi="Times New Roman" w:cs="Times New Roman"/>
                <w:sz w:val="24"/>
                <w:szCs w:val="24"/>
              </w:rPr>
            </w:r>
            <w:r w:rsidRPr="008A6545">
              <w:rPr>
                <w:rFonts w:ascii="Times New Roman" w:hAnsi="Times New Roman" w:cs="Times New Roman"/>
                <w:sz w:val="24"/>
                <w:szCs w:val="24"/>
              </w:rPr>
              <w:fldChar w:fldCharType="end"/>
            </w:r>
            <w:r w:rsidRPr="008A6545">
              <w:rPr>
                <w:rFonts w:ascii="Times New Roman" w:hAnsi="Times New Roman" w:cs="Times New Roman"/>
                <w:sz w:val="24"/>
                <w:szCs w:val="24"/>
              </w:rPr>
            </w:r>
            <w:r w:rsidRPr="008A6545">
              <w:rPr>
                <w:rFonts w:ascii="Times New Roman" w:hAnsi="Times New Roman" w:cs="Times New Roman"/>
                <w:sz w:val="24"/>
                <w:szCs w:val="24"/>
              </w:rPr>
              <w:fldChar w:fldCharType="separate"/>
            </w:r>
            <w:r w:rsidRPr="008A6545">
              <w:rPr>
                <w:rFonts w:ascii="Times New Roman" w:hAnsi="Times New Roman" w:cs="Times New Roman"/>
                <w:noProof/>
                <w:sz w:val="24"/>
                <w:szCs w:val="24"/>
                <w:vertAlign w:val="superscript"/>
              </w:rPr>
              <w:t>1</w:t>
            </w:r>
            <w:r w:rsidRPr="008A6545">
              <w:rPr>
                <w:rFonts w:ascii="Times New Roman" w:hAnsi="Times New Roman" w:cs="Times New Roman"/>
                <w:sz w:val="24"/>
                <w:szCs w:val="24"/>
              </w:rPr>
              <w:fldChar w:fldCharType="end"/>
            </w:r>
          </w:p>
        </w:tc>
      </w:tr>
      <w:tr w:rsidR="008A6545" w:rsidRPr="008A6545" w14:paraId="779AF7A0" w14:textId="77777777" w:rsidTr="00F868C4">
        <w:tc>
          <w:tcPr>
            <w:tcW w:w="1413" w:type="dxa"/>
          </w:tcPr>
          <w:p w14:paraId="404200ED" w14:textId="77777777" w:rsidR="00F77447" w:rsidRPr="008A6545" w:rsidRDefault="00F77447" w:rsidP="00F868C4">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Allosteric probe based method</w:t>
            </w:r>
          </w:p>
        </w:tc>
        <w:tc>
          <w:tcPr>
            <w:tcW w:w="2126" w:type="dxa"/>
          </w:tcPr>
          <w:p w14:paraId="3F2A559F" w14:textId="77777777" w:rsidR="00F77447" w:rsidRPr="008A6545" w:rsidRDefault="00F77447" w:rsidP="00F868C4">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Multiple signal amplification</w:t>
            </w:r>
          </w:p>
        </w:tc>
        <w:tc>
          <w:tcPr>
            <w:tcW w:w="1276" w:type="dxa"/>
          </w:tcPr>
          <w:p w14:paraId="56238037" w14:textId="77777777" w:rsidR="00F77447" w:rsidRPr="008A6545" w:rsidRDefault="00F77447" w:rsidP="00F868C4">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10 cfu/mL</w:t>
            </w:r>
          </w:p>
        </w:tc>
        <w:tc>
          <w:tcPr>
            <w:tcW w:w="1559" w:type="dxa"/>
          </w:tcPr>
          <w:p w14:paraId="2AFA9473" w14:textId="77777777" w:rsidR="00F77447" w:rsidRPr="008A6545" w:rsidRDefault="00F77447" w:rsidP="00F868C4">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Fluorescence signal</w:t>
            </w:r>
          </w:p>
        </w:tc>
        <w:tc>
          <w:tcPr>
            <w:tcW w:w="992" w:type="dxa"/>
          </w:tcPr>
          <w:p w14:paraId="6A1DCAC7" w14:textId="77777777" w:rsidR="00F77447" w:rsidRPr="008A6545" w:rsidRDefault="00F77447" w:rsidP="00F868C4">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FAM</w:t>
            </w:r>
          </w:p>
        </w:tc>
        <w:tc>
          <w:tcPr>
            <w:tcW w:w="5954" w:type="dxa"/>
          </w:tcPr>
          <w:p w14:paraId="13F92DAE" w14:textId="77777777" w:rsidR="00F77447" w:rsidRPr="008A6545" w:rsidRDefault="00F77447" w:rsidP="00F868C4">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Advantages: high stability;</w:t>
            </w:r>
          </w:p>
          <w:p w14:paraId="595A2993" w14:textId="77777777" w:rsidR="00F77447" w:rsidRPr="008A6545" w:rsidRDefault="00F77447" w:rsidP="00F868C4">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 xml:space="preserve">Disadvantages: possible interferences from the pyrophosphates generated from the chain extension process; preparation of the AuNPs; </w:t>
            </w:r>
          </w:p>
        </w:tc>
        <w:tc>
          <w:tcPr>
            <w:tcW w:w="628" w:type="dxa"/>
          </w:tcPr>
          <w:p w14:paraId="72F9E389" w14:textId="77777777" w:rsidR="00F77447" w:rsidRPr="008A6545" w:rsidRDefault="00F77447" w:rsidP="00F868C4">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fldChar w:fldCharType="begin"/>
            </w:r>
            <w:r w:rsidRPr="008A6545">
              <w:rPr>
                <w:rFonts w:ascii="Times New Roman" w:hAnsi="Times New Roman" w:cs="Times New Roman"/>
                <w:sz w:val="24"/>
                <w:szCs w:val="24"/>
              </w:rPr>
              <w:instrText xml:space="preserve"> ADDIN EN.CITE &lt;EndNote&gt;&lt;Cite&gt;&lt;Author&gt;Xue&lt;/Author&gt;&lt;Year&gt;2024&lt;/Year&gt;&lt;RecNum&gt;3059&lt;/RecNum&gt;&lt;DisplayText&gt;&lt;style face="superscript"&gt;2&lt;/style&gt;&lt;/DisplayText&gt;&lt;record&gt;&lt;rec-number&gt;3059&lt;/rec-number&gt;&lt;foreign-keys&gt;&lt;key app="EN" db-id="5v9xtp59fv9dsne5dewxvfaj0wt22ptvptp5" timestamp="1739454845"&gt;3059&lt;/key&gt;&lt;key app="ENWeb" db-id=""&gt;0&lt;/key&gt;&lt;/foreign-keys&gt;&lt;ref-type name="Journal Article"&gt;17&lt;/ref-type&gt;&lt;contributors&gt;&lt;authors&gt;&lt;author&gt;Xue, Kun&lt;/author&gt;&lt;author&gt;Kang, Shuhong&lt;/author&gt;&lt;/authors&gt;&lt;/contributors&gt;&lt;titles&gt;&lt;title&gt;Target recognition-initiated allosteric probe-based multiple signal amplification strategy for sensitive and direct Pseudomonas aeruginosa detection&lt;/title&gt;&lt;secondary-title&gt;Journal of Analytical Science and Technology&lt;/secondary-title&gt;&lt;/titles&gt;&lt;periodical&gt;&lt;full-title&gt;Journal of Analytical Science and Technology&lt;/full-title&gt;&lt;/periodical&gt;&lt;volume&gt;15&lt;/volume&gt;&lt;number&gt;1&lt;/number&gt;&lt;dates&gt;&lt;year&gt;2024&lt;/year&gt;&lt;/dates&gt;&lt;isbn&gt;2093-3371&lt;/isbn&gt;&lt;urls&gt;&lt;/urls&gt;&lt;electronic-resource-num&gt;10.1186/s40543-024-00443-3&lt;/electronic-resource-num&gt;&lt;/record&gt;&lt;/Cite&gt;&lt;/EndNote&gt;</w:instrText>
            </w:r>
            <w:r w:rsidRPr="008A6545">
              <w:rPr>
                <w:rFonts w:ascii="Times New Roman" w:hAnsi="Times New Roman" w:cs="Times New Roman"/>
                <w:sz w:val="24"/>
                <w:szCs w:val="24"/>
              </w:rPr>
              <w:fldChar w:fldCharType="separate"/>
            </w:r>
            <w:r w:rsidRPr="008A6545">
              <w:rPr>
                <w:rFonts w:ascii="Times New Roman" w:hAnsi="Times New Roman" w:cs="Times New Roman"/>
                <w:noProof/>
                <w:sz w:val="24"/>
                <w:szCs w:val="24"/>
                <w:vertAlign w:val="superscript"/>
              </w:rPr>
              <w:t>2</w:t>
            </w:r>
            <w:r w:rsidRPr="008A6545">
              <w:rPr>
                <w:rFonts w:ascii="Times New Roman" w:hAnsi="Times New Roman" w:cs="Times New Roman"/>
                <w:sz w:val="24"/>
                <w:szCs w:val="24"/>
              </w:rPr>
              <w:fldChar w:fldCharType="end"/>
            </w:r>
          </w:p>
        </w:tc>
      </w:tr>
      <w:tr w:rsidR="008A6545" w:rsidRPr="008A6545" w14:paraId="65EBF863" w14:textId="77777777" w:rsidTr="00F868C4">
        <w:tc>
          <w:tcPr>
            <w:tcW w:w="1413" w:type="dxa"/>
          </w:tcPr>
          <w:p w14:paraId="0F1AB4E2" w14:textId="77777777" w:rsidR="00F77447" w:rsidRPr="008A6545" w:rsidRDefault="00F77447" w:rsidP="00F868C4">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Direct bacteria detection</w:t>
            </w:r>
          </w:p>
        </w:tc>
        <w:tc>
          <w:tcPr>
            <w:tcW w:w="2126" w:type="dxa"/>
          </w:tcPr>
          <w:p w14:paraId="0E99EA0B" w14:textId="77777777" w:rsidR="00F77447" w:rsidRPr="008A6545" w:rsidRDefault="00F77447" w:rsidP="00F868C4">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Enzymes assisted chain production</w:t>
            </w:r>
          </w:p>
        </w:tc>
        <w:tc>
          <w:tcPr>
            <w:tcW w:w="1276" w:type="dxa"/>
          </w:tcPr>
          <w:p w14:paraId="41B4545B" w14:textId="77777777" w:rsidR="00F77447" w:rsidRPr="008A6545" w:rsidRDefault="00F77447" w:rsidP="00F868C4">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21 cfu/mL</w:t>
            </w:r>
          </w:p>
        </w:tc>
        <w:tc>
          <w:tcPr>
            <w:tcW w:w="1559" w:type="dxa"/>
          </w:tcPr>
          <w:p w14:paraId="3E14EEEA" w14:textId="77777777" w:rsidR="00F77447" w:rsidRPr="008A6545" w:rsidRDefault="00F77447" w:rsidP="00F868C4">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Color changes</w:t>
            </w:r>
          </w:p>
        </w:tc>
        <w:tc>
          <w:tcPr>
            <w:tcW w:w="992" w:type="dxa"/>
          </w:tcPr>
          <w:p w14:paraId="441E6844" w14:textId="77777777" w:rsidR="00F77447" w:rsidRPr="008A6545" w:rsidRDefault="00F77447" w:rsidP="00F868C4">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TMB</w:t>
            </w:r>
          </w:p>
        </w:tc>
        <w:tc>
          <w:tcPr>
            <w:tcW w:w="5954" w:type="dxa"/>
          </w:tcPr>
          <w:p w14:paraId="5D92C9B3" w14:textId="77777777" w:rsidR="00F77447" w:rsidRPr="008A6545" w:rsidRDefault="00F77447" w:rsidP="00F868C4">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 xml:space="preserve">Advantages: direct bacteria detection; high specificity. </w:t>
            </w:r>
          </w:p>
          <w:p w14:paraId="6350BF6D" w14:textId="77777777" w:rsidR="00F77447" w:rsidRPr="008A6545" w:rsidRDefault="00F77447" w:rsidP="00F868C4">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Disadvantages: possible interferences from the pyrophosphates generated from the chain extension process; complicated allosteric probe design; low sensitivity.</w:t>
            </w:r>
          </w:p>
        </w:tc>
        <w:tc>
          <w:tcPr>
            <w:tcW w:w="628" w:type="dxa"/>
          </w:tcPr>
          <w:p w14:paraId="2BCCABEA" w14:textId="77777777" w:rsidR="00F77447" w:rsidRPr="008A6545" w:rsidRDefault="00F77447" w:rsidP="00F868C4">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fldChar w:fldCharType="begin"/>
            </w:r>
            <w:r w:rsidRPr="008A6545">
              <w:rPr>
                <w:rFonts w:ascii="Times New Roman" w:hAnsi="Times New Roman" w:cs="Times New Roman"/>
                <w:sz w:val="24"/>
                <w:szCs w:val="24"/>
              </w:rPr>
              <w:instrText xml:space="preserve"> ADDIN EN.CITE &lt;EndNote&gt;&lt;Cite&gt;&lt;Author&gt;Hu&lt;/Author&gt;&lt;Year&gt;2023&lt;/Year&gt;&lt;RecNum&gt;2862&lt;/RecNum&gt;&lt;DisplayText&gt;&lt;style face="superscript"&gt;3&lt;/style&gt;&lt;/DisplayText&gt;&lt;record&gt;&lt;rec-number&gt;2862&lt;/rec-number&gt;&lt;foreign-keys&gt;&lt;key app="EN" db-id="5v9xtp59fv9dsne5dewxvfaj0wt22ptvptp5" timestamp="1731843961"&gt;2862&lt;/key&gt;&lt;/foreign-keys&gt;&lt;ref-type name="Journal Article"&gt;17&lt;/ref-type&gt;&lt;contributors&gt;&lt;authors&gt;&lt;author&gt;Hu, J.&lt;/author&gt;&lt;author&gt;Liang, L.&lt;/author&gt;&lt;author&gt;He, M.&lt;/author&gt;&lt;author&gt;Lu, Y.&lt;/author&gt;&lt;/authors&gt;&lt;/contributors&gt;&lt;auth-address&gt;Science and Technology Innovation Center, Guangyuan Central Hospital, Guangyuan City 628000, Sichuan Province, China.&lt;/auth-address&gt;&lt;titles&gt;&lt;title&gt;Sensitive and Direct Analysis of Pseudomonas aeruginosa through Self-Primer-Assisted Chain Extension and CRISPR-Cas12a-Based Color Reaction&lt;/title&gt;&lt;secondary-title&gt;ACS Omega&lt;/secondary-title&gt;&lt;/titles&gt;&lt;periodical&gt;&lt;full-title&gt;ACS Omega&lt;/full-title&gt;&lt;/periodical&gt;&lt;pages&gt;34852-34858&lt;/pages&gt;&lt;volume&gt;8&lt;/volume&gt;&lt;number&gt;38&lt;/number&gt;&lt;edition&gt;2023/10/02&lt;/edition&gt;&lt;dates&gt;&lt;year&gt;2023&lt;/year&gt;&lt;pub-dates&gt;&lt;date&gt;Sep 26&lt;/date&gt;&lt;/pub-dates&gt;&lt;/dates&gt;&lt;isbn&gt;2470-1343 (Electronic)&amp;#xD;2470-1343 (Linking)&lt;/isbn&gt;&lt;accession-num&gt;37779973&lt;/accession-num&gt;&lt;urls&gt;&lt;related-urls&gt;&lt;url&gt;https://www.ncbi.nlm.nih.gov/pubmed/37779973&lt;/url&gt;&lt;/related-urls&gt;&lt;/urls&gt;&lt;custom2&gt;PMC10536833&lt;/custom2&gt;&lt;electronic-resource-num&gt;10.1021/acsomega.3c04180&lt;/electronic-resource-num&gt;&lt;/record&gt;&lt;/Cite&gt;&lt;/EndNote&gt;</w:instrText>
            </w:r>
            <w:r w:rsidRPr="008A6545">
              <w:rPr>
                <w:rFonts w:ascii="Times New Roman" w:hAnsi="Times New Roman" w:cs="Times New Roman"/>
                <w:sz w:val="24"/>
                <w:szCs w:val="24"/>
              </w:rPr>
              <w:fldChar w:fldCharType="separate"/>
            </w:r>
            <w:r w:rsidRPr="008A6545">
              <w:rPr>
                <w:rFonts w:ascii="Times New Roman" w:hAnsi="Times New Roman" w:cs="Times New Roman"/>
                <w:noProof/>
                <w:sz w:val="24"/>
                <w:szCs w:val="24"/>
                <w:vertAlign w:val="superscript"/>
              </w:rPr>
              <w:t>3</w:t>
            </w:r>
            <w:r w:rsidRPr="008A6545">
              <w:rPr>
                <w:rFonts w:ascii="Times New Roman" w:hAnsi="Times New Roman" w:cs="Times New Roman"/>
                <w:sz w:val="24"/>
                <w:szCs w:val="24"/>
              </w:rPr>
              <w:fldChar w:fldCharType="end"/>
            </w:r>
          </w:p>
        </w:tc>
      </w:tr>
      <w:tr w:rsidR="008A6545" w:rsidRPr="008A6545" w14:paraId="1540C0BC" w14:textId="77777777" w:rsidTr="00F868C4">
        <w:tc>
          <w:tcPr>
            <w:tcW w:w="1413" w:type="dxa"/>
          </w:tcPr>
          <w:p w14:paraId="28A4D9A3" w14:textId="77777777" w:rsidR="00F77447" w:rsidRPr="008A6545" w:rsidRDefault="00F77447" w:rsidP="00F868C4">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Cas12a/crRNA based method</w:t>
            </w:r>
          </w:p>
        </w:tc>
        <w:tc>
          <w:tcPr>
            <w:tcW w:w="2126" w:type="dxa"/>
          </w:tcPr>
          <w:p w14:paraId="573E1CBA" w14:textId="77777777" w:rsidR="00F77447" w:rsidRPr="008A6545" w:rsidRDefault="00F77447" w:rsidP="00F868C4">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Trans-cleavage activity of Cas12a</w:t>
            </w:r>
          </w:p>
        </w:tc>
        <w:tc>
          <w:tcPr>
            <w:tcW w:w="1276" w:type="dxa"/>
          </w:tcPr>
          <w:p w14:paraId="04E0F599" w14:textId="77777777" w:rsidR="00F77447" w:rsidRPr="008A6545" w:rsidRDefault="00F77447" w:rsidP="00F868C4">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50 cfu/mL</w:t>
            </w:r>
          </w:p>
        </w:tc>
        <w:tc>
          <w:tcPr>
            <w:tcW w:w="1559" w:type="dxa"/>
          </w:tcPr>
          <w:p w14:paraId="453AA2E2" w14:textId="77777777" w:rsidR="00F77447" w:rsidRPr="008A6545" w:rsidRDefault="00F77447" w:rsidP="00F868C4">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Fluorescence signal</w:t>
            </w:r>
          </w:p>
        </w:tc>
        <w:tc>
          <w:tcPr>
            <w:tcW w:w="992" w:type="dxa"/>
          </w:tcPr>
          <w:p w14:paraId="758789B2" w14:textId="77777777" w:rsidR="00F77447" w:rsidRPr="008A6545" w:rsidRDefault="00F77447" w:rsidP="00F868C4">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FAM and Cy5</w:t>
            </w:r>
          </w:p>
        </w:tc>
        <w:tc>
          <w:tcPr>
            <w:tcW w:w="5954" w:type="dxa"/>
          </w:tcPr>
          <w:p w14:paraId="6BBA6A72" w14:textId="77777777" w:rsidR="00F77447" w:rsidRPr="008A6545" w:rsidRDefault="00F77447" w:rsidP="00F868C4">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 xml:space="preserve">Advantages: direct bacteria detection; high specificity. </w:t>
            </w:r>
          </w:p>
          <w:p w14:paraId="6992901F" w14:textId="77777777" w:rsidR="00F77447" w:rsidRPr="008A6545" w:rsidRDefault="00F77447" w:rsidP="00F868C4">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Disadvantages: complicated probe design; low sensitivity.</w:t>
            </w:r>
          </w:p>
        </w:tc>
        <w:tc>
          <w:tcPr>
            <w:tcW w:w="628" w:type="dxa"/>
          </w:tcPr>
          <w:p w14:paraId="36AFE714" w14:textId="77777777" w:rsidR="00F77447" w:rsidRPr="008A6545" w:rsidRDefault="00F77447" w:rsidP="00F868C4">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fldChar w:fldCharType="begin">
                <w:fldData xml:space="preserve">PEVuZE5vdGU+PENpdGU+PEF1dGhvcj5IdWFuZzwvQXV0aG9yPjxZZWFyPjIwMjM8L1llYXI+PFJl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</w:fldData>
              </w:fldChar>
            </w:r>
            <w:r w:rsidRPr="008A6545">
              <w:rPr>
                <w:rFonts w:ascii="Times New Roman" w:hAnsi="Times New Roman" w:cs="Times New Roman"/>
                <w:sz w:val="24"/>
                <w:szCs w:val="24"/>
              </w:rPr>
              <w:instrText xml:space="preserve"> ADDIN EN.CITE </w:instrText>
            </w:r>
            <w:r w:rsidRPr="008A6545">
              <w:rPr>
                <w:rFonts w:ascii="Times New Roman" w:hAnsi="Times New Roman" w:cs="Times New Roman"/>
                <w:sz w:val="24"/>
                <w:szCs w:val="24"/>
              </w:rPr>
              <w:fldChar w:fldCharType="begin">
                <w:fldData xml:space="preserve">PEVuZE5vdGU+PENpdGU+PEF1dGhvcj5IdWFuZzwvQXV0aG9yPjxZZWFyPjIwMjM8L1llYXI+PFJl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</w:fldData>
              </w:fldChar>
            </w:r>
            <w:r w:rsidRPr="008A6545">
              <w:rPr>
                <w:rFonts w:ascii="Times New Roman" w:hAnsi="Times New Roman" w:cs="Times New Roman"/>
                <w:sz w:val="24"/>
                <w:szCs w:val="24"/>
              </w:rPr>
              <w:instrText xml:space="preserve"> ADDIN EN.CITE.DATA </w:instrText>
            </w:r>
            <w:r w:rsidRPr="008A6545">
              <w:rPr>
                <w:rFonts w:ascii="Times New Roman" w:hAnsi="Times New Roman" w:cs="Times New Roman"/>
                <w:sz w:val="24"/>
                <w:szCs w:val="24"/>
              </w:rPr>
            </w:r>
            <w:r w:rsidRPr="008A6545">
              <w:rPr>
                <w:rFonts w:ascii="Times New Roman" w:hAnsi="Times New Roman" w:cs="Times New Roman"/>
                <w:sz w:val="24"/>
                <w:szCs w:val="24"/>
              </w:rPr>
              <w:fldChar w:fldCharType="end"/>
            </w:r>
            <w:r w:rsidRPr="008A6545">
              <w:rPr>
                <w:rFonts w:ascii="Times New Roman" w:hAnsi="Times New Roman" w:cs="Times New Roman"/>
                <w:sz w:val="24"/>
                <w:szCs w:val="24"/>
              </w:rPr>
            </w:r>
            <w:r w:rsidRPr="008A6545">
              <w:rPr>
                <w:rFonts w:ascii="Times New Roman" w:hAnsi="Times New Roman" w:cs="Times New Roman"/>
                <w:sz w:val="24"/>
                <w:szCs w:val="24"/>
              </w:rPr>
              <w:fldChar w:fldCharType="separate"/>
            </w:r>
            <w:r w:rsidRPr="008A6545">
              <w:rPr>
                <w:rFonts w:ascii="Times New Roman" w:hAnsi="Times New Roman" w:cs="Times New Roman"/>
                <w:noProof/>
                <w:sz w:val="24"/>
                <w:szCs w:val="24"/>
                <w:vertAlign w:val="superscript"/>
              </w:rPr>
              <w:t>4</w:t>
            </w:r>
            <w:r w:rsidRPr="008A6545">
              <w:rPr>
                <w:rFonts w:ascii="Times New Roman" w:hAnsi="Times New Roman" w:cs="Times New Roman"/>
                <w:sz w:val="24"/>
                <w:szCs w:val="24"/>
              </w:rPr>
              <w:fldChar w:fldCharType="end"/>
            </w:r>
          </w:p>
        </w:tc>
      </w:tr>
    </w:tbl>
    <w:p w14:paraId="25C7AA44" w14:textId="2317ACD6" w:rsidR="00F77447" w:rsidRPr="008A6545" w:rsidRDefault="00F77447" w:rsidP="00F77447">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t>Note: TMB, 3,3’,5,5’-tetramethylbenzidine; FAM, carboxyfluorescein;</w:t>
      </w:r>
    </w:p>
    <w:p w14:paraId="3E5B807D" w14:textId="4686FBA5" w:rsidR="00EE3441" w:rsidRPr="008A6545" w:rsidRDefault="00EE3441" w:rsidP="00F77447">
      <w:pPr>
        <w:rPr>
          <w:rFonts w:ascii="Times New Roman" w:hAnsi="Times New Roman" w:cs="Times New Roman"/>
          <w:sz w:val="24"/>
          <w:szCs w:val="24"/>
        </w:rPr>
        <w:sectPr w:rsidR="00EE3441" w:rsidRPr="008A6545" w:rsidSect="00FD00E6">
          <w:pgSz w:w="16838" w:h="11906" w:orient="landscape"/>
          <w:pgMar w:top="1800" w:right="1440" w:bottom="1800" w:left="1440" w:header="851" w:footer="992" w:gutter="0"/>
          <w:cols w:space="425"/>
          <w:docGrid w:type="lines" w:linePitch="312"/>
        </w:sectPr>
      </w:pPr>
    </w:p>
    <w:p w14:paraId="016D98F8" w14:textId="03A333BF" w:rsidR="00FD00E6" w:rsidRPr="008A6545" w:rsidRDefault="00FD00E6" w:rsidP="00E207D7">
      <w:pPr>
        <w:snapToGrid w:val="0"/>
        <w:spacing w:line="288" w:lineRule="auto"/>
        <w:rPr>
          <w:rFonts w:ascii="Times New Roman" w:hAnsi="Times New Roman" w:cs="Times New Roman"/>
          <w:sz w:val="24"/>
          <w:szCs w:val="24"/>
        </w:rPr>
      </w:pPr>
    </w:p>
    <w:p w14:paraId="2209DE67" w14:textId="1DC58205" w:rsidR="00FD00E6" w:rsidRPr="008A6545" w:rsidRDefault="00476225" w:rsidP="00E207D7">
      <w:pPr>
        <w:snapToGrid w:val="0"/>
        <w:spacing w:line="288" w:lineRule="auto"/>
        <w:rPr>
          <w:rFonts w:ascii="Times New Roman" w:hAnsi="Times New Roman" w:cs="Times New Roman"/>
          <w:sz w:val="24"/>
          <w:szCs w:val="24"/>
        </w:rPr>
      </w:pPr>
      <w:r w:rsidRPr="008A6545">
        <w:rPr>
          <w:rFonts w:ascii="Times New Roman" w:hAnsi="Times New Roman" w:cs="Times New Roman"/>
          <w:b/>
          <w:sz w:val="24"/>
          <w:szCs w:val="24"/>
        </w:rPr>
        <w:t>References</w:t>
      </w:r>
      <w:r w:rsidRPr="008A6545">
        <w:rPr>
          <w:rFonts w:ascii="Times New Roman" w:hAnsi="Times New Roman" w:cs="Times New Roman"/>
          <w:sz w:val="24"/>
          <w:szCs w:val="24"/>
        </w:rPr>
        <w:t xml:space="preserve">: </w:t>
      </w:r>
    </w:p>
    <w:p w14:paraId="6DB631C0" w14:textId="77777777" w:rsidR="00476225" w:rsidRPr="008A6545" w:rsidRDefault="009A25BD" w:rsidP="00E207D7">
      <w:pPr>
        <w:pStyle w:val="EndNoteBibliography"/>
        <w:snapToGrid w:val="0"/>
        <w:spacing w:line="288" w:lineRule="auto"/>
        <w:rPr>
          <w:rFonts w:ascii="Times New Roman" w:hAnsi="Times New Roman" w:cs="Times New Roman"/>
        </w:rPr>
      </w:pPr>
      <w:r w:rsidRPr="008A6545">
        <w:rPr>
          <w:rFonts w:ascii="Times New Roman" w:hAnsi="Times New Roman" w:cs="Times New Roman"/>
          <w:sz w:val="24"/>
          <w:szCs w:val="24"/>
        </w:rPr>
        <w:fldChar w:fldCharType="begin"/>
      </w:r>
      <w:r w:rsidRPr="008A6545">
        <w:rPr>
          <w:rFonts w:ascii="Times New Roman" w:hAnsi="Times New Roman" w:cs="Times New Roman"/>
          <w:sz w:val="24"/>
          <w:szCs w:val="24"/>
        </w:rPr>
        <w:instrText xml:space="preserve"> ADDIN EN.REFLIST </w:instrText>
      </w:r>
      <w:r w:rsidRPr="008A6545">
        <w:rPr>
          <w:rFonts w:ascii="Times New Roman" w:hAnsi="Times New Roman" w:cs="Times New Roman"/>
          <w:sz w:val="24"/>
          <w:szCs w:val="24"/>
        </w:rPr>
        <w:fldChar w:fldCharType="separate"/>
      </w:r>
      <w:r w:rsidR="00476225" w:rsidRPr="008A6545">
        <w:rPr>
          <w:rFonts w:ascii="Times New Roman" w:hAnsi="Times New Roman" w:cs="Times New Roman"/>
        </w:rPr>
        <w:t>1.</w:t>
      </w:r>
      <w:r w:rsidR="00476225" w:rsidRPr="008A6545">
        <w:rPr>
          <w:rFonts w:ascii="Times New Roman" w:hAnsi="Times New Roman" w:cs="Times New Roman"/>
        </w:rPr>
        <w:tab/>
        <w:t xml:space="preserve">Chen, D.;  Pan, Y.;  Yu, H.; Chen, X., Simple and sensitive detection of Pseudomonas aeruginosa in neonatal infection based on a both-end blocked peroxidase-mimicking DNAzyme. </w:t>
      </w:r>
      <w:r w:rsidR="00476225" w:rsidRPr="008A6545">
        <w:rPr>
          <w:rFonts w:ascii="Times New Roman" w:hAnsi="Times New Roman" w:cs="Times New Roman"/>
          <w:i/>
        </w:rPr>
        <w:t xml:space="preserve">Biotechniques </w:t>
      </w:r>
      <w:r w:rsidR="00476225" w:rsidRPr="008A6545">
        <w:rPr>
          <w:rFonts w:ascii="Times New Roman" w:hAnsi="Times New Roman" w:cs="Times New Roman"/>
          <w:b/>
        </w:rPr>
        <w:t>2024,</w:t>
      </w:r>
      <w:r w:rsidR="00476225" w:rsidRPr="008A6545">
        <w:rPr>
          <w:rFonts w:ascii="Times New Roman" w:hAnsi="Times New Roman" w:cs="Times New Roman"/>
        </w:rPr>
        <w:t xml:space="preserve"> </w:t>
      </w:r>
      <w:r w:rsidR="00476225" w:rsidRPr="008A6545">
        <w:rPr>
          <w:rFonts w:ascii="Times New Roman" w:hAnsi="Times New Roman" w:cs="Times New Roman"/>
          <w:i/>
        </w:rPr>
        <w:t>76</w:t>
      </w:r>
      <w:r w:rsidR="00476225" w:rsidRPr="008A6545">
        <w:rPr>
          <w:rFonts w:ascii="Times New Roman" w:hAnsi="Times New Roman" w:cs="Times New Roman"/>
        </w:rPr>
        <w:t xml:space="preserve"> (7), 323-332.</w:t>
      </w:r>
    </w:p>
    <w:p w14:paraId="4BEE6517" w14:textId="77777777" w:rsidR="00476225" w:rsidRPr="008A6545" w:rsidRDefault="00476225" w:rsidP="00E207D7">
      <w:pPr>
        <w:pStyle w:val="EndNoteBibliography"/>
        <w:snapToGrid w:val="0"/>
        <w:spacing w:line="288" w:lineRule="auto"/>
        <w:rPr>
          <w:rFonts w:ascii="Times New Roman" w:hAnsi="Times New Roman" w:cs="Times New Roman"/>
        </w:rPr>
      </w:pPr>
      <w:r w:rsidRPr="008A6545">
        <w:rPr>
          <w:rFonts w:ascii="Times New Roman" w:hAnsi="Times New Roman" w:cs="Times New Roman"/>
        </w:rPr>
        <w:t>2.</w:t>
      </w:r>
      <w:r w:rsidRPr="008A6545">
        <w:rPr>
          <w:rFonts w:ascii="Times New Roman" w:hAnsi="Times New Roman" w:cs="Times New Roman"/>
        </w:rPr>
        <w:tab/>
        <w:t xml:space="preserve">Xue, K.; Kang, S., Target recognition-initiated allosteric probe-based multiple signal amplification strategy for sensitive and direct Pseudomonas aeruginosa detection. </w:t>
      </w:r>
      <w:r w:rsidRPr="008A6545">
        <w:rPr>
          <w:rFonts w:ascii="Times New Roman" w:hAnsi="Times New Roman" w:cs="Times New Roman"/>
          <w:i/>
        </w:rPr>
        <w:t xml:space="preserve">Journal of Analytical Science and Technology </w:t>
      </w:r>
      <w:r w:rsidRPr="008A6545">
        <w:rPr>
          <w:rFonts w:ascii="Times New Roman" w:hAnsi="Times New Roman" w:cs="Times New Roman"/>
          <w:b/>
        </w:rPr>
        <w:t>2024,</w:t>
      </w:r>
      <w:r w:rsidRPr="008A6545">
        <w:rPr>
          <w:rFonts w:ascii="Times New Roman" w:hAnsi="Times New Roman" w:cs="Times New Roman"/>
        </w:rPr>
        <w:t xml:space="preserve"> </w:t>
      </w:r>
      <w:r w:rsidRPr="008A6545">
        <w:rPr>
          <w:rFonts w:ascii="Times New Roman" w:hAnsi="Times New Roman" w:cs="Times New Roman"/>
          <w:i/>
        </w:rPr>
        <w:t>15</w:t>
      </w:r>
      <w:r w:rsidRPr="008A6545">
        <w:rPr>
          <w:rFonts w:ascii="Times New Roman" w:hAnsi="Times New Roman" w:cs="Times New Roman"/>
        </w:rPr>
        <w:t xml:space="preserve"> (1).</w:t>
      </w:r>
    </w:p>
    <w:p w14:paraId="7460D48E" w14:textId="77777777" w:rsidR="00476225" w:rsidRPr="008A6545" w:rsidRDefault="00476225" w:rsidP="00E207D7">
      <w:pPr>
        <w:pStyle w:val="EndNoteBibliography"/>
        <w:snapToGrid w:val="0"/>
        <w:spacing w:line="288" w:lineRule="auto"/>
        <w:rPr>
          <w:rFonts w:ascii="Times New Roman" w:hAnsi="Times New Roman" w:cs="Times New Roman"/>
        </w:rPr>
      </w:pPr>
      <w:r w:rsidRPr="008A6545">
        <w:rPr>
          <w:rFonts w:ascii="Times New Roman" w:hAnsi="Times New Roman" w:cs="Times New Roman"/>
        </w:rPr>
        <w:t>3.</w:t>
      </w:r>
      <w:r w:rsidRPr="008A6545">
        <w:rPr>
          <w:rFonts w:ascii="Times New Roman" w:hAnsi="Times New Roman" w:cs="Times New Roman"/>
        </w:rPr>
        <w:tab/>
        <w:t xml:space="preserve">Hu, J.;  Liang, L.;  He, M.; Lu, Y., Sensitive and Direct Analysis of Pseudomonas aeruginosa through Self-Primer-Assisted Chain Extension and CRISPR-Cas12a-Based Color Reaction. </w:t>
      </w:r>
      <w:r w:rsidRPr="008A6545">
        <w:rPr>
          <w:rFonts w:ascii="Times New Roman" w:hAnsi="Times New Roman" w:cs="Times New Roman"/>
          <w:i/>
        </w:rPr>
        <w:t xml:space="preserve">ACS Omega </w:t>
      </w:r>
      <w:r w:rsidRPr="008A6545">
        <w:rPr>
          <w:rFonts w:ascii="Times New Roman" w:hAnsi="Times New Roman" w:cs="Times New Roman"/>
          <w:b/>
        </w:rPr>
        <w:t>2023,</w:t>
      </w:r>
      <w:r w:rsidRPr="008A6545">
        <w:rPr>
          <w:rFonts w:ascii="Times New Roman" w:hAnsi="Times New Roman" w:cs="Times New Roman"/>
        </w:rPr>
        <w:t xml:space="preserve"> </w:t>
      </w:r>
      <w:r w:rsidRPr="008A6545">
        <w:rPr>
          <w:rFonts w:ascii="Times New Roman" w:hAnsi="Times New Roman" w:cs="Times New Roman"/>
          <w:i/>
        </w:rPr>
        <w:t>8</w:t>
      </w:r>
      <w:r w:rsidRPr="008A6545">
        <w:rPr>
          <w:rFonts w:ascii="Times New Roman" w:hAnsi="Times New Roman" w:cs="Times New Roman"/>
        </w:rPr>
        <w:t xml:space="preserve"> (38), 34852-34858.</w:t>
      </w:r>
    </w:p>
    <w:p w14:paraId="7AAE0267" w14:textId="77777777" w:rsidR="00476225" w:rsidRPr="008A6545" w:rsidRDefault="00476225" w:rsidP="00E207D7">
      <w:pPr>
        <w:pStyle w:val="EndNoteBibliography"/>
        <w:snapToGrid w:val="0"/>
        <w:spacing w:line="288" w:lineRule="auto"/>
        <w:rPr>
          <w:rFonts w:ascii="Times New Roman" w:hAnsi="Times New Roman" w:cs="Times New Roman"/>
        </w:rPr>
      </w:pPr>
      <w:r w:rsidRPr="008A6545">
        <w:rPr>
          <w:rFonts w:ascii="Times New Roman" w:hAnsi="Times New Roman" w:cs="Times New Roman"/>
        </w:rPr>
        <w:t>4.</w:t>
      </w:r>
      <w:r w:rsidRPr="008A6545">
        <w:rPr>
          <w:rFonts w:ascii="Times New Roman" w:hAnsi="Times New Roman" w:cs="Times New Roman"/>
        </w:rPr>
        <w:tab/>
        <w:t xml:space="preserve">Huang, S.;  Wang, X.;  Chen, X.;  Liu, X.;  Xu, Q.;  Zhang, L.;  Huang, G.; Wu, J., Rapid and sensitive detection of Pseudomonas aeruginosa by isothermal amplification combined with Cas12a-mediated detection. </w:t>
      </w:r>
      <w:r w:rsidRPr="008A6545">
        <w:rPr>
          <w:rFonts w:ascii="Times New Roman" w:hAnsi="Times New Roman" w:cs="Times New Roman"/>
          <w:i/>
        </w:rPr>
        <w:t xml:space="preserve">Sci. Rep. </w:t>
      </w:r>
      <w:r w:rsidRPr="008A6545">
        <w:rPr>
          <w:rFonts w:ascii="Times New Roman" w:hAnsi="Times New Roman" w:cs="Times New Roman"/>
          <w:b/>
        </w:rPr>
        <w:t>2023,</w:t>
      </w:r>
      <w:r w:rsidRPr="008A6545">
        <w:rPr>
          <w:rFonts w:ascii="Times New Roman" w:hAnsi="Times New Roman" w:cs="Times New Roman"/>
        </w:rPr>
        <w:t xml:space="preserve"> </w:t>
      </w:r>
      <w:r w:rsidRPr="008A6545">
        <w:rPr>
          <w:rFonts w:ascii="Times New Roman" w:hAnsi="Times New Roman" w:cs="Times New Roman"/>
          <w:i/>
        </w:rPr>
        <w:t>13</w:t>
      </w:r>
      <w:r w:rsidRPr="008A6545">
        <w:rPr>
          <w:rFonts w:ascii="Times New Roman" w:hAnsi="Times New Roman" w:cs="Times New Roman"/>
        </w:rPr>
        <w:t xml:space="preserve"> (1), 19199.</w:t>
      </w:r>
    </w:p>
    <w:p w14:paraId="29C95FD2" w14:textId="14AAE208" w:rsidR="00FD00E6" w:rsidRPr="008A6545" w:rsidRDefault="009A25BD" w:rsidP="00E207D7">
      <w:pPr>
        <w:snapToGrid w:val="0"/>
        <w:spacing w:line="288" w:lineRule="auto"/>
        <w:rPr>
          <w:rFonts w:ascii="Times New Roman" w:hAnsi="Times New Roman" w:cs="Times New Roman"/>
          <w:sz w:val="24"/>
          <w:szCs w:val="24"/>
        </w:rPr>
      </w:pPr>
      <w:r w:rsidRPr="008A6545">
        <w:rPr>
          <w:rFonts w:ascii="Times New Roman" w:hAnsi="Times New Roman" w:cs="Times New Roman"/>
          <w:sz w:val="24"/>
          <w:szCs w:val="24"/>
        </w:rPr>
        <w:fldChar w:fldCharType="end"/>
      </w:r>
    </w:p>
    <w:sectPr w:rsidR="00FD00E6" w:rsidRPr="008A654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266539" w14:textId="77777777" w:rsidR="00EE3441" w:rsidRDefault="00EE3441" w:rsidP="00B55ED0">
      <w:r>
        <w:separator/>
      </w:r>
    </w:p>
  </w:endnote>
  <w:endnote w:type="continuationSeparator" w:id="0">
    <w:p w14:paraId="62D41111" w14:textId="77777777" w:rsidR="00EE3441" w:rsidRDefault="00EE3441" w:rsidP="00B55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0207310"/>
      <w:docPartObj>
        <w:docPartGallery w:val="Page Numbers (Bottom of Page)"/>
        <w:docPartUnique/>
      </w:docPartObj>
    </w:sdtPr>
    <w:sdtEndPr/>
    <w:sdtContent>
      <w:p w14:paraId="6BA05B2B" w14:textId="6B7F80EF" w:rsidR="00EE3441" w:rsidRDefault="00EE3441">
        <w:pPr>
          <w:pStyle w:val="Footer"/>
          <w:jc w:val="center"/>
        </w:pPr>
        <w:r>
          <w:t>s</w:t>
        </w:r>
        <w:r>
          <w:fldChar w:fldCharType="begin"/>
        </w:r>
        <w:r>
          <w:instrText>PAGE   \* MERGEFORMAT</w:instrText>
        </w:r>
        <w:r>
          <w:fldChar w:fldCharType="separate"/>
        </w:r>
        <w:r w:rsidR="008A6545" w:rsidRPr="008A6545">
          <w:rPr>
            <w:noProof/>
            <w:lang w:val="zh-CN"/>
          </w:rPr>
          <w:t>2</w:t>
        </w:r>
        <w:r>
          <w:fldChar w:fldCharType="end"/>
        </w:r>
      </w:p>
    </w:sdtContent>
  </w:sdt>
  <w:p w14:paraId="0B4C59A1" w14:textId="77777777" w:rsidR="00EE3441" w:rsidRDefault="00EE34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3D6C60" w14:textId="77777777" w:rsidR="00EE3441" w:rsidRDefault="00EE3441" w:rsidP="00B55ED0">
      <w:r>
        <w:separator/>
      </w:r>
    </w:p>
  </w:footnote>
  <w:footnote w:type="continuationSeparator" w:id="0">
    <w:p w14:paraId="18CCC6F0" w14:textId="77777777" w:rsidR="00EE3441" w:rsidRDefault="00EE3441" w:rsidP="00B55E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ACS&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v9xtp59fv9dsne5dewxvfaj0wt22ptvptp5&quot;&gt;My EndNote Library-Saved&lt;record-ids&gt;&lt;item&gt;2862&lt;/item&gt;&lt;item&gt;3058&lt;/item&gt;&lt;item&gt;3059&lt;/item&gt;&lt;item&gt;3061&lt;/item&gt;&lt;/record-ids&gt;&lt;/item&gt;&lt;/Libraries&gt;"/>
  </w:docVars>
  <w:rsids>
    <w:rsidRoot w:val="00A5593A"/>
    <w:rsid w:val="00040954"/>
    <w:rsid w:val="00064025"/>
    <w:rsid w:val="00166086"/>
    <w:rsid w:val="00176BCB"/>
    <w:rsid w:val="001C02F9"/>
    <w:rsid w:val="00217428"/>
    <w:rsid w:val="0026532A"/>
    <w:rsid w:val="002D2895"/>
    <w:rsid w:val="002E7E96"/>
    <w:rsid w:val="002F1327"/>
    <w:rsid w:val="003A1F98"/>
    <w:rsid w:val="004534A2"/>
    <w:rsid w:val="00467DDD"/>
    <w:rsid w:val="00475F38"/>
    <w:rsid w:val="00476225"/>
    <w:rsid w:val="005271DD"/>
    <w:rsid w:val="005A033F"/>
    <w:rsid w:val="005B7C26"/>
    <w:rsid w:val="005E0ECC"/>
    <w:rsid w:val="005F7734"/>
    <w:rsid w:val="006A7A61"/>
    <w:rsid w:val="006B66F4"/>
    <w:rsid w:val="006C1700"/>
    <w:rsid w:val="006E16AF"/>
    <w:rsid w:val="006F3ACB"/>
    <w:rsid w:val="0075308D"/>
    <w:rsid w:val="00775242"/>
    <w:rsid w:val="00785696"/>
    <w:rsid w:val="007F62AF"/>
    <w:rsid w:val="00833F12"/>
    <w:rsid w:val="00893E61"/>
    <w:rsid w:val="008A6545"/>
    <w:rsid w:val="008A6CD9"/>
    <w:rsid w:val="008D4A7E"/>
    <w:rsid w:val="00941ADE"/>
    <w:rsid w:val="00956541"/>
    <w:rsid w:val="00973F91"/>
    <w:rsid w:val="009A25BD"/>
    <w:rsid w:val="009A2F4E"/>
    <w:rsid w:val="009B16BD"/>
    <w:rsid w:val="00A5593A"/>
    <w:rsid w:val="00A72D16"/>
    <w:rsid w:val="00AB5225"/>
    <w:rsid w:val="00B55ED0"/>
    <w:rsid w:val="00B672F9"/>
    <w:rsid w:val="00B852B3"/>
    <w:rsid w:val="00C86C24"/>
    <w:rsid w:val="00D35C0E"/>
    <w:rsid w:val="00D46671"/>
    <w:rsid w:val="00DE2791"/>
    <w:rsid w:val="00E207D7"/>
    <w:rsid w:val="00E4166C"/>
    <w:rsid w:val="00E908E7"/>
    <w:rsid w:val="00EE3441"/>
    <w:rsid w:val="00EF4DA9"/>
    <w:rsid w:val="00F231AF"/>
    <w:rsid w:val="00F7618E"/>
    <w:rsid w:val="00F77447"/>
    <w:rsid w:val="00FA5316"/>
    <w:rsid w:val="00FD00E6"/>
    <w:rsid w:val="00FD5B7E"/>
    <w:rsid w:val="00FE2071"/>
    <w:rsid w:val="00FF17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7D230A6"/>
  <w15:chartTrackingRefBased/>
  <w15:docId w15:val="{AE7BCACA-BB8C-4A3F-8A58-1D9932EE3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3441"/>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466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55ED0"/>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B55ED0"/>
    <w:rPr>
      <w:sz w:val="18"/>
      <w:szCs w:val="18"/>
    </w:rPr>
  </w:style>
  <w:style w:type="paragraph" w:styleId="Footer">
    <w:name w:val="footer"/>
    <w:basedOn w:val="Normal"/>
    <w:link w:val="FooterChar"/>
    <w:uiPriority w:val="99"/>
    <w:unhideWhenUsed/>
    <w:rsid w:val="00B55ED0"/>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B55ED0"/>
    <w:rPr>
      <w:sz w:val="18"/>
      <w:szCs w:val="18"/>
    </w:rPr>
  </w:style>
  <w:style w:type="paragraph" w:customStyle="1" w:styleId="EndNoteBibliographyTitle">
    <w:name w:val="EndNote Bibliography Title"/>
    <w:basedOn w:val="Normal"/>
    <w:link w:val="EndNoteBibliographyTitle0"/>
    <w:rsid w:val="009A25BD"/>
    <w:pPr>
      <w:jc w:val="center"/>
    </w:pPr>
    <w:rPr>
      <w:rFonts w:ascii="DengXian" w:eastAsia="DengXian" w:hAnsi="DengXian"/>
      <w:noProof/>
      <w:sz w:val="20"/>
    </w:rPr>
  </w:style>
  <w:style w:type="character" w:customStyle="1" w:styleId="EndNoteBibliographyTitle0">
    <w:name w:val="EndNote Bibliography Title 字符"/>
    <w:basedOn w:val="DefaultParagraphFont"/>
    <w:link w:val="EndNoteBibliographyTitle"/>
    <w:rsid w:val="009A25BD"/>
    <w:rPr>
      <w:rFonts w:ascii="DengXian" w:eastAsia="DengXian" w:hAnsi="DengXian"/>
      <w:noProof/>
      <w:sz w:val="20"/>
    </w:rPr>
  </w:style>
  <w:style w:type="paragraph" w:customStyle="1" w:styleId="EndNoteBibliography">
    <w:name w:val="EndNote Bibliography"/>
    <w:basedOn w:val="Normal"/>
    <w:link w:val="EndNoteBibliography0"/>
    <w:rsid w:val="009A25BD"/>
    <w:rPr>
      <w:rFonts w:ascii="DengXian" w:eastAsia="DengXian" w:hAnsi="DengXian"/>
      <w:noProof/>
      <w:sz w:val="20"/>
    </w:rPr>
  </w:style>
  <w:style w:type="character" w:customStyle="1" w:styleId="EndNoteBibliography0">
    <w:name w:val="EndNote Bibliography 字符"/>
    <w:basedOn w:val="DefaultParagraphFont"/>
    <w:link w:val="EndNoteBibliography"/>
    <w:rsid w:val="009A25BD"/>
    <w:rPr>
      <w:rFonts w:ascii="DengXian" w:eastAsia="DengXian" w:hAnsi="DengXian"/>
      <w:noProo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1845664">
      <w:bodyDiv w:val="1"/>
      <w:marLeft w:val="0"/>
      <w:marRight w:val="0"/>
      <w:marTop w:val="0"/>
      <w:marBottom w:val="0"/>
      <w:divBdr>
        <w:top w:val="none" w:sz="0" w:space="0" w:color="auto"/>
        <w:left w:val="none" w:sz="0" w:space="0" w:color="auto"/>
        <w:bottom w:val="none" w:sz="0" w:space="0" w:color="auto"/>
        <w:right w:val="none" w:sz="0" w:space="0" w:color="auto"/>
      </w:divBdr>
    </w:div>
    <w:div w:id="107003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158</TotalTime>
  <Pages>3</Pages>
  <Words>956</Words>
  <Characters>5453</Characters>
  <Application>Microsoft Office Word</Application>
  <DocSecurity>0</DocSecurity>
  <Lines>45</Lines>
  <Paragraphs>12</Paragraphs>
  <ScaleCrop>false</ScaleCrop>
  <Company/>
  <LinksUpToDate>false</LinksUpToDate>
  <CharactersWithSpaces>6397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ito</dc:creator>
  <cp:keywords/>
  <dc:description/>
  <cp:lastModifiedBy>Divya V</cp:lastModifiedBy>
  <cp:revision>68</cp:revision>
  <dcterms:created xsi:type="dcterms:W3CDTF">2024-11-17T10:31:00Z</dcterms:created>
  <dcterms:modified xsi:type="dcterms:W3CDTF">2025-03-18T14:17:00Z</dcterms:modified>
</cp:coreProperties>
</file>