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F3" w:rsidRPr="00396FF3" w:rsidRDefault="00396FF3" w:rsidP="00396FF3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sz w:val="24"/>
          <w:szCs w:val="18"/>
          <w:shd w:val="clear" w:color="auto" w:fill="FFFFFF"/>
        </w:rPr>
      </w:pPr>
      <w:r w:rsidRPr="00396FF3">
        <w:rPr>
          <w:rFonts w:ascii="Times New Roman" w:eastAsia="Calibri" w:hAnsi="Times New Roman" w:cs="Times New Roman"/>
          <w:b/>
          <w:sz w:val="24"/>
          <w:szCs w:val="18"/>
          <w:shd w:val="clear" w:color="auto" w:fill="FFFFFF"/>
        </w:rPr>
        <w:t xml:space="preserve">Additional file 1:  Description of </w:t>
      </w:r>
      <w:r>
        <w:rPr>
          <w:rFonts w:ascii="Times New Roman" w:eastAsia="Calibri" w:hAnsi="Times New Roman" w:cs="Times New Roman"/>
          <w:b/>
          <w:sz w:val="24"/>
          <w:szCs w:val="18"/>
          <w:shd w:val="clear" w:color="auto" w:fill="FFFFFF"/>
        </w:rPr>
        <w:t>data sources used in</w:t>
      </w:r>
      <w:r w:rsidRPr="00396FF3">
        <w:rPr>
          <w:rFonts w:ascii="Times New Roman" w:eastAsia="Calibri" w:hAnsi="Times New Roman" w:cs="Times New Roman"/>
          <w:b/>
          <w:sz w:val="24"/>
          <w:szCs w:val="18"/>
          <w:shd w:val="clear" w:color="auto" w:fill="FFFFFF"/>
        </w:rPr>
        <w:t xml:space="preserve"> the illustration of findings </w:t>
      </w:r>
      <w:r>
        <w:rPr>
          <w:rFonts w:ascii="Times New Roman" w:eastAsia="Calibri" w:hAnsi="Times New Roman" w:cs="Times New Roman"/>
          <w:b/>
          <w:sz w:val="24"/>
          <w:szCs w:val="18"/>
          <w:shd w:val="clear" w:color="auto" w:fill="FFFFFF"/>
        </w:rPr>
        <w:t>in</w:t>
      </w:r>
      <w:r w:rsidR="004C6EB2">
        <w:rPr>
          <w:rFonts w:ascii="Times New Roman" w:eastAsia="Calibri" w:hAnsi="Times New Roman" w:cs="Times New Roman"/>
          <w:b/>
          <w:sz w:val="24"/>
          <w:szCs w:val="18"/>
          <w:shd w:val="clear" w:color="auto" w:fill="FFFFFF"/>
        </w:rPr>
        <w:t xml:space="preserve"> case 1 and c</w:t>
      </w:r>
      <w:r w:rsidRPr="00396FF3">
        <w:rPr>
          <w:rFonts w:ascii="Times New Roman" w:eastAsia="Calibri" w:hAnsi="Times New Roman" w:cs="Times New Roman"/>
          <w:b/>
          <w:sz w:val="24"/>
          <w:szCs w:val="18"/>
          <w:shd w:val="clear" w:color="auto" w:fill="FFFFFF"/>
        </w:rPr>
        <w:t xml:space="preserve">ase 2 </w:t>
      </w:r>
    </w:p>
    <w:p w:rsidR="00C32F12" w:rsidRDefault="00C32F12" w:rsidP="00C32F12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</w:pPr>
    </w:p>
    <w:p w:rsidR="00C32F12" w:rsidRDefault="00C32F12" w:rsidP="00C32F12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</w:pPr>
    </w:p>
    <w:p w:rsidR="00C32F12" w:rsidRPr="00F70163" w:rsidRDefault="005C7736" w:rsidP="00C32F12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  <w:vertAlign w:val="subscript"/>
        </w:rPr>
      </w:pPr>
      <w:r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Table </w:t>
      </w:r>
      <w:r w:rsidR="00396FF3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1</w:t>
      </w:r>
    </w:p>
    <w:p w:rsidR="00C32F12" w:rsidRPr="00F70163" w:rsidRDefault="00C32F12" w:rsidP="00C32F12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</w:pPr>
      <w:r w:rsidRPr="00F70163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Description of sources of data used in each case </w:t>
      </w:r>
    </w:p>
    <w:p w:rsidR="00C32F12" w:rsidRPr="00F70163" w:rsidRDefault="00C32F12" w:rsidP="00C32F12">
      <w:pPr>
        <w:spacing w:after="0" w:line="240" w:lineRule="auto"/>
        <w:ind w:right="-754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</w:p>
    <w:tbl>
      <w:tblPr>
        <w:tblStyle w:val="LightShading2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2693"/>
        <w:gridCol w:w="6379"/>
      </w:tblGrid>
      <w:tr w:rsidR="00C32F12" w:rsidRPr="00F70163" w:rsidTr="003F04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2"/>
            <w:shd w:val="clear" w:color="auto" w:fill="auto"/>
          </w:tcPr>
          <w:p w:rsidR="00C32F12" w:rsidRPr="00F70163" w:rsidRDefault="00C32F12" w:rsidP="003F0491">
            <w:pPr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>Cases themes</w:t>
            </w:r>
          </w:p>
        </w:tc>
        <w:tc>
          <w:tcPr>
            <w:tcW w:w="6379" w:type="dxa"/>
            <w:shd w:val="clear" w:color="auto" w:fill="auto"/>
          </w:tcPr>
          <w:p w:rsidR="00C32F12" w:rsidRDefault="00C32F12" w:rsidP="003F04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>Sources of data used</w:t>
            </w:r>
          </w:p>
          <w:p w:rsidR="00C32F12" w:rsidRPr="00F70163" w:rsidRDefault="00C32F12" w:rsidP="003F04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</w:p>
        </w:tc>
      </w:tr>
      <w:tr w:rsidR="00C32F12" w:rsidRPr="00F70163" w:rsidTr="003F0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shd w:val="clear" w:color="auto" w:fill="auto"/>
          </w:tcPr>
          <w:p w:rsidR="00C32F12" w:rsidRPr="00F70163" w:rsidRDefault="00C32F12" w:rsidP="003F0491">
            <w:pPr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Case 1 </w:t>
            </w:r>
          </w:p>
        </w:tc>
        <w:tc>
          <w:tcPr>
            <w:tcW w:w="2693" w:type="dxa"/>
            <w:shd w:val="clear" w:color="auto" w:fill="auto"/>
          </w:tcPr>
          <w:p w:rsidR="00C32F12" w:rsidRPr="00F70163" w:rsidRDefault="00C32F12" w:rsidP="003F04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Context, Actors, Content and </w:t>
            </w:r>
          </w:p>
          <w:p w:rsidR="00C32F12" w:rsidRPr="00F70163" w:rsidRDefault="00C32F12" w:rsidP="003F04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Process in the development and</w:t>
            </w:r>
          </w:p>
          <w:p w:rsidR="00C32F12" w:rsidRPr="00F70163" w:rsidRDefault="00C32F12" w:rsidP="003F04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implementation of  the </w:t>
            </w:r>
          </w:p>
          <w:p w:rsidR="00C32F12" w:rsidRPr="00F70163" w:rsidRDefault="00C32F12" w:rsidP="003F04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</w:t>
            </w:r>
            <w:r>
              <w:rPr>
                <w:rFonts w:ascii="AdvPTimes" w:eastAsia="Calibri" w:hAnsi="AdvPTimes" w:cs="Times New Roman"/>
                <w:sz w:val="17"/>
                <w:szCs w:val="17"/>
              </w:rPr>
              <w:t>PPC policy</w:t>
            </w: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in the NHRA</w:t>
            </w:r>
          </w:p>
        </w:tc>
        <w:tc>
          <w:tcPr>
            <w:tcW w:w="6379" w:type="dxa"/>
            <w:shd w:val="clear" w:color="auto" w:fill="auto"/>
          </w:tcPr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>Data from interviews with 5 reviewers (KI1, KI2, KI3, KI4, KI5) and 3 managers (KI6,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KI7, KI8)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Document review of the Economic Vision 2030, Law (18) of 1997 With Respect 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the Practice of Pharmacists and Pharmaceutical Centres, IDI Technical Support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Services for the Development, Operations and Management of the NHRA, Decree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(9) in relation to Classifying Pharmaceutical Products and Health Products, Health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Products Checklist, Medicines Checklist, Strategic Plan (2016 2020) and NHRA</w:t>
            </w:r>
          </w:p>
          <w:p w:rsidR="00C32F12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annual report 2016, Pricing Guideline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</w:p>
        </w:tc>
      </w:tr>
      <w:tr w:rsidR="00C32F12" w:rsidRPr="00F70163" w:rsidTr="003F0491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shd w:val="clear" w:color="auto" w:fill="auto"/>
          </w:tcPr>
          <w:p w:rsidR="00C32F12" w:rsidRPr="00F70163" w:rsidRDefault="00C32F12" w:rsidP="003F0491">
            <w:pPr>
              <w:autoSpaceDE w:val="0"/>
              <w:autoSpaceDN w:val="0"/>
              <w:adjustRightInd w:val="0"/>
              <w:ind w:right="152"/>
              <w:rPr>
                <w:rFonts w:ascii="AdvPTimes" w:eastAsia="Calibri" w:hAnsi="AdvPTimes" w:cs="Times New Roman"/>
                <w:sz w:val="17"/>
                <w:szCs w:val="17"/>
              </w:rPr>
            </w:pPr>
          </w:p>
        </w:tc>
        <w:tc>
          <w:tcPr>
            <w:tcW w:w="2693" w:type="dxa"/>
            <w:shd w:val="clear" w:color="auto" w:fill="auto"/>
          </w:tcPr>
          <w:p w:rsidR="00C32F12" w:rsidRDefault="00C32F12" w:rsidP="003F04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  <w:shd w:val="clear" w:color="auto" w:fill="FFFFFF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  <w:shd w:val="clear" w:color="auto" w:fill="FFFFFF"/>
              </w:rPr>
              <w:t>The registration process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  <w:shd w:val="clear" w:color="auto" w:fill="FFFFFF"/>
              </w:rPr>
            </w:pPr>
            <w:r>
              <w:rPr>
                <w:rFonts w:ascii="AdvPTimes" w:eastAsia="Calibri" w:hAnsi="AdvPTimes" w:cs="Times New Roman"/>
                <w:sz w:val="17"/>
                <w:szCs w:val="17"/>
                <w:shd w:val="clear" w:color="auto" w:fill="FFFFFF"/>
              </w:rPr>
              <w:t xml:space="preserve">  </w:t>
            </w:r>
            <w:r w:rsidRPr="00F70163">
              <w:rPr>
                <w:rFonts w:ascii="AdvPTimes" w:eastAsia="Calibri" w:hAnsi="AdvPTimes" w:cs="Times New Roman"/>
                <w:sz w:val="17"/>
                <w:szCs w:val="17"/>
                <w:shd w:val="clear" w:color="auto" w:fill="FFFFFF"/>
              </w:rPr>
              <w:t>of HMs in the NHRA</w:t>
            </w:r>
          </w:p>
        </w:tc>
        <w:tc>
          <w:tcPr>
            <w:tcW w:w="6379" w:type="dxa"/>
            <w:shd w:val="clear" w:color="auto" w:fill="auto"/>
          </w:tcPr>
          <w:p w:rsidR="00C32F12" w:rsidRPr="00F70163" w:rsidRDefault="00C32F12" w:rsidP="0032155D">
            <w:pPr>
              <w:autoSpaceDE w:val="0"/>
              <w:autoSpaceDN w:val="0"/>
              <w:adjustRightInd w:val="0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>Field notes from10 observations of 5 reviewers (KI1, KI2, KI3, KI4, KI5)</w:t>
            </w:r>
          </w:p>
          <w:p w:rsidR="00C32F12" w:rsidRPr="00F70163" w:rsidRDefault="00C32F12" w:rsidP="0032155D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>Document review of PPC guideline (2013), health</w:t>
            </w:r>
          </w:p>
          <w:p w:rsidR="00C32F12" w:rsidRPr="00F70163" w:rsidRDefault="00C32F12" w:rsidP="0032155D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products registration requirements, medicines registration requirements and</w:t>
            </w:r>
          </w:p>
          <w:p w:rsidR="00C32F12" w:rsidRPr="00F70163" w:rsidRDefault="00C32F12" w:rsidP="0032155D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Pricing Guideline</w:t>
            </w:r>
          </w:p>
          <w:p w:rsidR="00C32F12" w:rsidRPr="00F70163" w:rsidRDefault="00C32F12" w:rsidP="0032155D">
            <w:pPr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</w:p>
        </w:tc>
      </w:tr>
      <w:tr w:rsidR="00C32F12" w:rsidRPr="00F70163" w:rsidTr="003F0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shd w:val="clear" w:color="auto" w:fill="auto"/>
          </w:tcPr>
          <w:p w:rsidR="00C32F12" w:rsidRPr="00F70163" w:rsidRDefault="00C32F12" w:rsidP="003F0491">
            <w:pPr>
              <w:autoSpaceDE w:val="0"/>
              <w:autoSpaceDN w:val="0"/>
              <w:adjustRightInd w:val="0"/>
              <w:ind w:right="152"/>
              <w:rPr>
                <w:rFonts w:ascii="AdvPTimes" w:eastAsia="Calibri" w:hAnsi="AdvPTimes" w:cs="Times New Roman"/>
                <w:sz w:val="17"/>
                <w:szCs w:val="17"/>
              </w:rPr>
            </w:pPr>
          </w:p>
        </w:tc>
        <w:tc>
          <w:tcPr>
            <w:tcW w:w="2693" w:type="dxa"/>
            <w:shd w:val="clear" w:color="auto" w:fill="auto"/>
          </w:tcPr>
          <w:p w:rsidR="00C32F12" w:rsidRDefault="00C32F12" w:rsidP="003F0491">
            <w:pPr>
              <w:autoSpaceDE w:val="0"/>
              <w:autoSpaceDN w:val="0"/>
              <w:adjustRightInd w:val="0"/>
              <w:ind w:right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>
              <w:rPr>
                <w:rFonts w:ascii="AdvPTimes" w:eastAsia="Calibri" w:hAnsi="AdvPTimes" w:cs="Times New Roman"/>
                <w:sz w:val="17"/>
                <w:szCs w:val="17"/>
              </w:rPr>
              <w:t>SWOT analysis for the HM</w:t>
            </w:r>
          </w:p>
          <w:p w:rsidR="00C32F12" w:rsidRDefault="00C32F12" w:rsidP="003F0491">
            <w:pPr>
              <w:autoSpaceDE w:val="0"/>
              <w:autoSpaceDN w:val="0"/>
              <w:adjustRightInd w:val="0"/>
              <w:ind w:right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>
              <w:rPr>
                <w:rFonts w:ascii="AdvPTimes" w:eastAsia="Calibri" w:hAnsi="AdvPTimes" w:cs="Times New Roman"/>
                <w:sz w:val="17"/>
                <w:szCs w:val="17"/>
              </w:rPr>
              <w:t xml:space="preserve">  registration system in the</w:t>
            </w:r>
          </w:p>
          <w:p w:rsidR="00C32F12" w:rsidRDefault="00C32F12" w:rsidP="003F0491">
            <w:pPr>
              <w:autoSpaceDE w:val="0"/>
              <w:autoSpaceDN w:val="0"/>
              <w:adjustRightInd w:val="0"/>
              <w:ind w:right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>
              <w:rPr>
                <w:rFonts w:ascii="AdvPTimes" w:eastAsia="Calibri" w:hAnsi="AdvPTimes" w:cs="Times New Roman"/>
                <w:sz w:val="17"/>
                <w:szCs w:val="17"/>
              </w:rPr>
              <w:t xml:space="preserve">  </w:t>
            </w: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>NHRA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ind w:right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</w:p>
        </w:tc>
        <w:tc>
          <w:tcPr>
            <w:tcW w:w="6379" w:type="dxa"/>
            <w:shd w:val="clear" w:color="auto" w:fill="auto"/>
          </w:tcPr>
          <w:p w:rsidR="00C32F12" w:rsidRPr="00F70163" w:rsidRDefault="00C32F12" w:rsidP="0032155D">
            <w:pPr>
              <w:autoSpaceDE w:val="0"/>
              <w:autoSpaceDN w:val="0"/>
              <w:adjustRightInd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>Data from interviews with 5 reviewers (KI1, KI2, KI3, KI4, KI5) and 3 managers (KI6, KI7, KI8)</w:t>
            </w:r>
          </w:p>
          <w:p w:rsidR="00C32F12" w:rsidRPr="00F70163" w:rsidRDefault="00C32F12" w:rsidP="0032155D">
            <w:pPr>
              <w:autoSpaceDE w:val="0"/>
              <w:autoSpaceDN w:val="0"/>
              <w:adjustRightInd w:val="0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</w:p>
        </w:tc>
      </w:tr>
      <w:tr w:rsidR="00C32F12" w:rsidRPr="00F70163" w:rsidTr="003F0491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shd w:val="clear" w:color="auto" w:fill="auto"/>
          </w:tcPr>
          <w:p w:rsidR="00C32F12" w:rsidRPr="00F70163" w:rsidRDefault="00C32F12" w:rsidP="003F0491">
            <w:pPr>
              <w:autoSpaceDE w:val="0"/>
              <w:autoSpaceDN w:val="0"/>
              <w:adjustRightInd w:val="0"/>
              <w:ind w:right="-108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Case 2 </w:t>
            </w:r>
          </w:p>
        </w:tc>
        <w:tc>
          <w:tcPr>
            <w:tcW w:w="2693" w:type="dxa"/>
            <w:shd w:val="clear" w:color="auto" w:fill="auto"/>
          </w:tcPr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  <w:shd w:val="clear" w:color="auto" w:fill="FFFFFF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  <w:shd w:val="clear" w:color="auto" w:fill="FFFFFF"/>
              </w:rPr>
              <w:t>The registration process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  <w:shd w:val="clear" w:color="auto" w:fill="FFFFFF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  <w:shd w:val="clear" w:color="auto" w:fill="FFFFFF"/>
              </w:rPr>
              <w:t xml:space="preserve">  of HMs in the KDFCA</w:t>
            </w:r>
          </w:p>
        </w:tc>
        <w:tc>
          <w:tcPr>
            <w:tcW w:w="6379" w:type="dxa"/>
            <w:shd w:val="clear" w:color="auto" w:fill="auto"/>
          </w:tcPr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>Field notes from 19 observations of 9 reviewers (K19, KI10, KI11, KI12, KI13,KI14,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KI15, KI16, KI17)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>Document review of Herbal Department Ministerial Decree (201/97), Dietary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Supplement Department Ministerial Decree (532/2002), Unclassified Department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Ministerial Decree (201/99)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</w:p>
        </w:tc>
      </w:tr>
      <w:tr w:rsidR="00C32F12" w:rsidRPr="00F70163" w:rsidTr="003F04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shd w:val="clear" w:color="auto" w:fill="auto"/>
          </w:tcPr>
          <w:p w:rsidR="00C32F12" w:rsidRPr="00F70163" w:rsidRDefault="00C32F12" w:rsidP="003F0491">
            <w:pPr>
              <w:autoSpaceDE w:val="0"/>
              <w:autoSpaceDN w:val="0"/>
              <w:adjustRightInd w:val="0"/>
              <w:rPr>
                <w:rFonts w:ascii="AdvPTimes" w:eastAsia="Calibri" w:hAnsi="AdvPTimes" w:cs="Times New Roman"/>
                <w:sz w:val="17"/>
                <w:szCs w:val="17"/>
              </w:rPr>
            </w:pPr>
          </w:p>
        </w:tc>
        <w:tc>
          <w:tcPr>
            <w:tcW w:w="2693" w:type="dxa"/>
            <w:shd w:val="clear" w:color="auto" w:fill="auto"/>
          </w:tcPr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bookmarkStart w:id="0" w:name="OLE_LINK3"/>
            <w:bookmarkStart w:id="1" w:name="OLE_LINK4"/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>Perceptions on the current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KDFCA’s HMs registration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system and readiness towards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implementation</w:t>
            </w:r>
            <w:bookmarkEnd w:id="0"/>
            <w:bookmarkEnd w:id="1"/>
          </w:p>
        </w:tc>
        <w:tc>
          <w:tcPr>
            <w:tcW w:w="6379" w:type="dxa"/>
            <w:shd w:val="clear" w:color="auto" w:fill="auto"/>
          </w:tcPr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Data from interviews with </w:t>
            </w:r>
            <w:r w:rsidR="0033691C">
              <w:rPr>
                <w:rFonts w:ascii="AdvPTimes" w:eastAsia="Calibri" w:hAnsi="AdvPTimes" w:cs="Times New Roman"/>
                <w:sz w:val="17"/>
                <w:szCs w:val="17"/>
              </w:rPr>
              <w:t>9</w:t>
            </w: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reviewers (K19, KI10, KI11, KI12, KI13, KI14, KI15,</w:t>
            </w:r>
          </w:p>
          <w:p w:rsidR="00C32F12" w:rsidRPr="00F70163" w:rsidRDefault="00C32F12" w:rsidP="003F049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PTimes" w:eastAsia="Calibri" w:hAnsi="AdvPTimes" w:cs="Times New Roman"/>
                <w:sz w:val="17"/>
                <w:szCs w:val="17"/>
              </w:rPr>
            </w:pP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 KI16, KI17) and </w:t>
            </w:r>
            <w:r w:rsidR="0033691C">
              <w:rPr>
                <w:rFonts w:ascii="AdvPTimes" w:eastAsia="Calibri" w:hAnsi="AdvPTimes" w:cs="Times New Roman"/>
                <w:sz w:val="17"/>
                <w:szCs w:val="17"/>
              </w:rPr>
              <w:t>6</w:t>
            </w:r>
            <w:r w:rsidRPr="00F70163">
              <w:rPr>
                <w:rFonts w:ascii="AdvPTimes" w:eastAsia="Calibri" w:hAnsi="AdvPTimes" w:cs="Times New Roman"/>
                <w:sz w:val="17"/>
                <w:szCs w:val="17"/>
              </w:rPr>
              <w:t xml:space="preserve"> Managers (K118, K119, K120, K121, K122, K123)</w:t>
            </w:r>
          </w:p>
        </w:tc>
      </w:tr>
    </w:tbl>
    <w:p w:rsidR="00C32F12" w:rsidRPr="00F70163" w:rsidRDefault="00C32F12" w:rsidP="00C32F12">
      <w:pPr>
        <w:spacing w:after="200" w:line="240" w:lineRule="auto"/>
        <w:ind w:right="-754"/>
        <w:jc w:val="both"/>
        <w:rPr>
          <w:rFonts w:ascii="Times New Roman" w:eastAsia="Calibri" w:hAnsi="Times New Roman" w:cs="Times New Roman"/>
          <w:color w:val="333333"/>
          <w:sz w:val="18"/>
          <w:szCs w:val="18"/>
          <w:shd w:val="clear" w:color="auto" w:fill="FFFFFF"/>
        </w:rPr>
      </w:pPr>
      <w:r w:rsidRPr="00F70163">
        <w:rPr>
          <w:rFonts w:ascii="Times New Roman" w:eastAsia="Calibri" w:hAnsi="Times New Roman" w:cs="Times New Roman"/>
          <w:i/>
          <w:iCs/>
          <w:color w:val="333333"/>
          <w:sz w:val="18"/>
          <w:szCs w:val="18"/>
          <w:shd w:val="clear" w:color="auto" w:fill="FFFFFF"/>
        </w:rPr>
        <w:t>HM</w:t>
      </w:r>
      <w:r w:rsidRPr="00F70163">
        <w:rPr>
          <w:rFonts w:ascii="Times New Roman" w:eastAsia="Calibri" w:hAnsi="Times New Roman" w:cs="Times New Roman"/>
          <w:color w:val="333333"/>
          <w:sz w:val="18"/>
          <w:szCs w:val="18"/>
          <w:shd w:val="clear" w:color="auto" w:fill="FFFFFF"/>
        </w:rPr>
        <w:t xml:space="preserve"> herbal medicine, </w:t>
      </w:r>
      <w:r w:rsidRPr="00F70163">
        <w:rPr>
          <w:rFonts w:ascii="Times New Roman" w:eastAsia="Calibri" w:hAnsi="Times New Roman" w:cs="Times New Roman"/>
          <w:i/>
          <w:iCs/>
          <w:color w:val="333333"/>
          <w:sz w:val="18"/>
          <w:szCs w:val="18"/>
          <w:shd w:val="clear" w:color="auto" w:fill="FFFFFF"/>
        </w:rPr>
        <w:t>IDI</w:t>
      </w:r>
      <w:r w:rsidRPr="00F70163">
        <w:rPr>
          <w:rFonts w:ascii="Times New Roman" w:eastAsia="Calibri" w:hAnsi="Times New Roman" w:cs="Times New Roman"/>
          <w:color w:val="333333"/>
          <w:sz w:val="18"/>
          <w:szCs w:val="18"/>
          <w:shd w:val="clear" w:color="auto" w:fill="FFFFFF"/>
        </w:rPr>
        <w:t xml:space="preserve"> </w:t>
      </w:r>
      <w:r w:rsidRPr="00F70163">
        <w:rPr>
          <w:rFonts w:ascii="Times New Roman" w:eastAsia="Calibri" w:hAnsi="Times New Roman" w:cs="Times New Roman"/>
          <w:iCs/>
          <w:color w:val="333333"/>
          <w:sz w:val="18"/>
          <w:szCs w:val="18"/>
          <w:shd w:val="clear" w:color="auto" w:fill="FFFFFF"/>
        </w:rPr>
        <w:t xml:space="preserve">International Development Ireland, </w:t>
      </w:r>
      <w:r w:rsidRPr="00F70163">
        <w:rPr>
          <w:rFonts w:ascii="Times New Roman" w:eastAsia="Calibri" w:hAnsi="Times New Roman" w:cs="Times New Roman"/>
          <w:i/>
          <w:iCs/>
          <w:color w:val="333333"/>
          <w:sz w:val="18"/>
          <w:szCs w:val="18"/>
          <w:shd w:val="clear" w:color="auto" w:fill="FFFFFF"/>
        </w:rPr>
        <w:t>KDFCA</w:t>
      </w:r>
      <w:r w:rsidRPr="00F70163">
        <w:rPr>
          <w:rFonts w:ascii="Times New Roman" w:eastAsia="Calibri" w:hAnsi="Times New Roman" w:cs="Times New Roman"/>
          <w:color w:val="333333"/>
          <w:sz w:val="18"/>
          <w:szCs w:val="18"/>
          <w:shd w:val="clear" w:color="auto" w:fill="FFFFFF"/>
        </w:rPr>
        <w:t xml:space="preserve"> Kuwait Drug and Food Control and Administration, </w:t>
      </w:r>
      <w:r w:rsidRPr="00F70163">
        <w:rPr>
          <w:rFonts w:ascii="Times New Roman" w:eastAsia="Calibri" w:hAnsi="Times New Roman" w:cs="Times New Roman"/>
          <w:i/>
          <w:iCs/>
          <w:color w:val="333333"/>
          <w:sz w:val="18"/>
          <w:szCs w:val="18"/>
          <w:shd w:val="clear" w:color="auto" w:fill="FFFFFF"/>
        </w:rPr>
        <w:t>NHRA</w:t>
      </w:r>
      <w:r w:rsidRPr="00F70163">
        <w:rPr>
          <w:rFonts w:ascii="Times New Roman" w:eastAsia="Calibri" w:hAnsi="Times New Roman" w:cs="Times New Roman"/>
          <w:color w:val="333333"/>
          <w:sz w:val="18"/>
          <w:szCs w:val="18"/>
          <w:shd w:val="clear" w:color="auto" w:fill="FFFFFF"/>
        </w:rPr>
        <w:t xml:space="preserve"> National Health Regulatory Authority, </w:t>
      </w:r>
      <w:r w:rsidRPr="00F70163">
        <w:rPr>
          <w:rFonts w:ascii="Times New Roman" w:eastAsia="Calibri" w:hAnsi="Times New Roman" w:cs="Times New Roman"/>
          <w:i/>
          <w:iCs/>
          <w:color w:val="333333"/>
          <w:sz w:val="18"/>
          <w:szCs w:val="18"/>
          <w:shd w:val="clear" w:color="auto" w:fill="FFFFFF"/>
        </w:rPr>
        <w:t>PPC</w:t>
      </w:r>
      <w:r w:rsidRPr="00F70163">
        <w:rPr>
          <w:rFonts w:ascii="Times New Roman" w:eastAsia="Calibri" w:hAnsi="Times New Roman" w:cs="Times New Roman"/>
          <w:color w:val="333333"/>
          <w:sz w:val="18"/>
          <w:szCs w:val="18"/>
          <w:shd w:val="clear" w:color="auto" w:fill="FFFFFF"/>
        </w:rPr>
        <w:t xml:space="preserve"> Pharmaceutical Product Classification, </w:t>
      </w:r>
      <w:r w:rsidRPr="00F70163">
        <w:rPr>
          <w:rFonts w:ascii="Times New Roman" w:eastAsia="Calibri" w:hAnsi="Times New Roman" w:cs="Times New Roman"/>
          <w:i/>
          <w:iCs/>
          <w:color w:val="333333"/>
          <w:sz w:val="18"/>
          <w:szCs w:val="18"/>
          <w:shd w:val="clear" w:color="auto" w:fill="FFFFFF"/>
        </w:rPr>
        <w:t xml:space="preserve">SWOT </w:t>
      </w:r>
      <w:r w:rsidRPr="00F70163">
        <w:rPr>
          <w:rFonts w:ascii="Times New Roman" w:eastAsia="Calibri" w:hAnsi="Times New Roman" w:cs="Times New Roman"/>
          <w:color w:val="333333"/>
          <w:sz w:val="18"/>
          <w:szCs w:val="18"/>
          <w:shd w:val="clear" w:color="auto" w:fill="FFFFFF"/>
        </w:rPr>
        <w:t>Strengths, Weaknesses Opportunities and Threats</w:t>
      </w:r>
    </w:p>
    <w:p w:rsidR="00C32F12" w:rsidRDefault="00C32F12" w:rsidP="00C32F12"/>
    <w:p w:rsidR="00C32F12" w:rsidRDefault="00C32F12" w:rsidP="00C32F12"/>
    <w:p w:rsidR="00C32F12" w:rsidRDefault="00C32F12" w:rsidP="00C32F12"/>
    <w:p w:rsidR="00C32F12" w:rsidRDefault="00C32F12" w:rsidP="00C32F12"/>
    <w:p w:rsidR="00C32F12" w:rsidRDefault="00C32F12" w:rsidP="00C32F12">
      <w:pPr>
        <w:spacing w:after="0" w:line="240" w:lineRule="auto"/>
        <w:ind w:right="-45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</w:p>
    <w:p w:rsidR="00C32F12" w:rsidRDefault="00C32F12" w:rsidP="00C32F12">
      <w:pPr>
        <w:spacing w:after="0" w:line="240" w:lineRule="auto"/>
        <w:ind w:right="-45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</w:p>
    <w:p w:rsidR="00C32F12" w:rsidRDefault="00C32F12" w:rsidP="00C32F12">
      <w:pPr>
        <w:spacing w:after="0" w:line="240" w:lineRule="auto"/>
        <w:ind w:right="-45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</w:p>
    <w:p w:rsidR="00C32F12" w:rsidRDefault="00C32F12" w:rsidP="00C32F12">
      <w:pPr>
        <w:spacing w:after="0" w:line="240" w:lineRule="auto"/>
        <w:ind w:right="-45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</w:p>
    <w:p w:rsidR="00C32F12" w:rsidRDefault="00C32F12" w:rsidP="00C32F12">
      <w:pPr>
        <w:pBdr>
          <w:bottom w:val="single" w:sz="4" w:space="1" w:color="auto"/>
        </w:pBdr>
        <w:spacing w:after="0" w:line="240" w:lineRule="auto"/>
        <w:ind w:right="-45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</w:p>
    <w:p w:rsidR="00396FF3" w:rsidRPr="00396FF3" w:rsidRDefault="00396FF3" w:rsidP="00396FF3">
      <w:pPr>
        <w:spacing w:after="0" w:line="240" w:lineRule="auto"/>
        <w:ind w:right="-45"/>
        <w:contextualSpacing/>
        <w:jc w:val="both"/>
        <w:rPr>
          <w:rFonts w:ascii="Times New Roman" w:eastAsia="Calibri" w:hAnsi="Times New Roman" w:cs="Times New Roman"/>
          <w:sz w:val="24"/>
          <w:szCs w:val="18"/>
        </w:rPr>
      </w:pPr>
      <w:r w:rsidRPr="00396FF3">
        <w:rPr>
          <w:rFonts w:ascii="Times New Roman" w:eastAsia="Calibri" w:hAnsi="Times New Roman" w:cs="Times New Roman"/>
          <w:sz w:val="24"/>
          <w:szCs w:val="18"/>
        </w:rPr>
        <w:t xml:space="preserve">Additional file 1: </w:t>
      </w:r>
      <w:r>
        <w:rPr>
          <w:rFonts w:ascii="Times New Roman" w:eastAsia="Calibri" w:hAnsi="Times New Roman" w:cs="Times New Roman"/>
          <w:sz w:val="24"/>
          <w:szCs w:val="18"/>
        </w:rPr>
        <w:t xml:space="preserve">Description of data from documents, field notes and interviews used for the illustration of findings in </w:t>
      </w:r>
      <w:r w:rsidR="008A6327">
        <w:rPr>
          <w:rFonts w:ascii="Times New Roman" w:eastAsia="Calibri" w:hAnsi="Times New Roman" w:cs="Times New Roman"/>
          <w:sz w:val="24"/>
          <w:szCs w:val="18"/>
        </w:rPr>
        <w:t>c</w:t>
      </w:r>
      <w:bookmarkStart w:id="2" w:name="_GoBack"/>
      <w:bookmarkEnd w:id="2"/>
      <w:r w:rsidR="008A6327">
        <w:rPr>
          <w:rFonts w:ascii="Times New Roman" w:eastAsia="Calibri" w:hAnsi="Times New Roman" w:cs="Times New Roman"/>
          <w:sz w:val="24"/>
          <w:szCs w:val="18"/>
        </w:rPr>
        <w:t>ase 1 and c</w:t>
      </w:r>
      <w:r w:rsidRPr="00396FF3">
        <w:rPr>
          <w:rFonts w:ascii="Times New Roman" w:eastAsia="Calibri" w:hAnsi="Times New Roman" w:cs="Times New Roman"/>
          <w:sz w:val="24"/>
          <w:szCs w:val="18"/>
        </w:rPr>
        <w:t xml:space="preserve">ase 2 </w:t>
      </w:r>
    </w:p>
    <w:p w:rsidR="00C32F12" w:rsidRDefault="00C32F12" w:rsidP="00C32F12">
      <w:pPr>
        <w:spacing w:after="0" w:line="240" w:lineRule="auto"/>
        <w:ind w:right="-45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</w:p>
    <w:p w:rsidR="00C32F12" w:rsidRDefault="00C32F12" w:rsidP="00C32F12">
      <w:pPr>
        <w:spacing w:after="0" w:line="240" w:lineRule="auto"/>
        <w:ind w:right="-45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</w:p>
    <w:p w:rsidR="00C32F12" w:rsidRDefault="00C32F12" w:rsidP="00C32F12">
      <w:pPr>
        <w:spacing w:after="0" w:line="240" w:lineRule="auto"/>
        <w:ind w:right="-45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</w:p>
    <w:p w:rsidR="00C32F12" w:rsidRDefault="00C32F12" w:rsidP="00C32F12">
      <w:pPr>
        <w:spacing w:after="0" w:line="240" w:lineRule="auto"/>
        <w:ind w:right="-45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</w:p>
    <w:p w:rsidR="00C32F12" w:rsidRDefault="00C32F12" w:rsidP="00C32F12">
      <w:pPr>
        <w:spacing w:after="0" w:line="240" w:lineRule="auto"/>
        <w:ind w:right="-45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</w:p>
    <w:p w:rsidR="001E74B9" w:rsidRDefault="008A6327"/>
    <w:sectPr w:rsidR="001E74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Ti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12"/>
    <w:rsid w:val="001F1E4A"/>
    <w:rsid w:val="0032155D"/>
    <w:rsid w:val="0033691C"/>
    <w:rsid w:val="00396FF3"/>
    <w:rsid w:val="00421572"/>
    <w:rsid w:val="00424DFC"/>
    <w:rsid w:val="00461CF5"/>
    <w:rsid w:val="004C6EB2"/>
    <w:rsid w:val="005B57A1"/>
    <w:rsid w:val="005C7736"/>
    <w:rsid w:val="006B0A55"/>
    <w:rsid w:val="008A6327"/>
    <w:rsid w:val="00C3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D02AD"/>
  <w15:chartTrackingRefBased/>
  <w15:docId w15:val="{012060BE-2479-41EC-8725-30BAD586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2">
    <w:name w:val="Light Shading2"/>
    <w:basedOn w:val="TableNormal"/>
    <w:next w:val="LightShading"/>
    <w:uiPriority w:val="60"/>
    <w:rsid w:val="00C32F12"/>
    <w:pPr>
      <w:spacing w:after="0" w:line="240" w:lineRule="auto"/>
      <w:ind w:right="-754"/>
      <w:jc w:val="both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semiHidden/>
    <w:unhideWhenUsed/>
    <w:rsid w:val="00C32F1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Azhar Alostad</dc:creator>
  <cp:keywords/>
  <dc:description/>
  <cp:lastModifiedBy>Azhar Alostad</cp:lastModifiedBy>
  <cp:revision>11</cp:revision>
  <dcterms:created xsi:type="dcterms:W3CDTF">2019-06-06T14:28:00Z</dcterms:created>
  <dcterms:modified xsi:type="dcterms:W3CDTF">2019-07-03T13:47:00Z</dcterms:modified>
</cp:coreProperties>
</file>