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49F" w:rsidRPr="004A5ED7" w:rsidRDefault="0048249F" w:rsidP="0048249F">
      <w:pPr>
        <w:rPr>
          <w:rFonts w:eastAsia="Calibri" w:cs="Lato-Regular"/>
          <w:b/>
        </w:rPr>
      </w:pPr>
      <w:r w:rsidRPr="004A5ED7">
        <w:rPr>
          <w:rFonts w:eastAsia="Calibri" w:cs="Lato-Regular"/>
          <w:b/>
        </w:rPr>
        <w:t xml:space="preserve">Supplementary Material </w:t>
      </w:r>
    </w:p>
    <w:p w:rsidR="0048249F" w:rsidRPr="004A5ED7" w:rsidRDefault="0048249F" w:rsidP="0048249F">
      <w:pPr>
        <w:rPr>
          <w:rFonts w:eastAsia="Calibri" w:cs="Lato-Regular"/>
          <w:b/>
        </w:rPr>
      </w:pPr>
      <w:r w:rsidRPr="004A5ED7">
        <w:rPr>
          <w:rFonts w:eastAsia="Calibri" w:cs="Lato-Regular"/>
          <w:b/>
        </w:rPr>
        <w:t xml:space="preserve">Table </w:t>
      </w:r>
      <w:r w:rsidR="00BC6427">
        <w:rPr>
          <w:rFonts w:eastAsia="Calibri" w:cs="Lato-Regular"/>
          <w:b/>
        </w:rPr>
        <w:t>S</w:t>
      </w:r>
      <w:r w:rsidRPr="004A5ED7">
        <w:rPr>
          <w:rFonts w:eastAsia="Calibri" w:cs="Lato-Regular"/>
          <w:b/>
        </w:rPr>
        <w:t>1: Categories of respondents at the regional, district and facility level</w:t>
      </w:r>
    </w:p>
    <w:tbl>
      <w:tblPr>
        <w:tblStyle w:val="LightShading"/>
        <w:tblW w:w="13864" w:type="dxa"/>
        <w:tblLook w:val="04A0" w:firstRow="1" w:lastRow="0" w:firstColumn="1" w:lastColumn="0" w:noHBand="0" w:noVBand="1"/>
      </w:tblPr>
      <w:tblGrid>
        <w:gridCol w:w="4345"/>
        <w:gridCol w:w="978"/>
        <w:gridCol w:w="712"/>
        <w:gridCol w:w="801"/>
        <w:gridCol w:w="978"/>
        <w:gridCol w:w="801"/>
        <w:gridCol w:w="712"/>
        <w:gridCol w:w="978"/>
        <w:gridCol w:w="922"/>
        <w:gridCol w:w="619"/>
        <w:gridCol w:w="896"/>
        <w:gridCol w:w="548"/>
        <w:gridCol w:w="574"/>
      </w:tblGrid>
      <w:tr w:rsidR="0048249F" w:rsidRPr="004E39A2" w:rsidTr="00E40E82">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345" w:type="dxa"/>
            <w:vMerge w:val="restart"/>
            <w:tcBorders>
              <w:top w:val="thinThickSmallGap" w:sz="18" w:space="0" w:color="auto"/>
              <w:right w:val="single" w:sz="2" w:space="0" w:color="auto"/>
            </w:tcBorders>
            <w:shd w:val="clear" w:color="auto" w:fill="auto"/>
            <w:noWrap/>
            <w:hideMark/>
          </w:tcPr>
          <w:p w:rsidR="0048249F" w:rsidRPr="004E39A2" w:rsidRDefault="0048249F" w:rsidP="00DB45C3">
            <w:pPr>
              <w:spacing w:line="276" w:lineRule="auto"/>
              <w:jc w:val="right"/>
              <w:rPr>
                <w:rFonts w:cs="Calibri"/>
                <w:b w:val="0"/>
                <w:sz w:val="20"/>
                <w:szCs w:val="20"/>
                <w:lang w:eastAsia="en-GB"/>
              </w:rPr>
            </w:pPr>
            <w:r w:rsidRPr="004E39A2">
              <w:rPr>
                <w:rFonts w:cs="Calibri"/>
                <w:b w:val="0"/>
                <w:sz w:val="20"/>
                <w:szCs w:val="20"/>
                <w:lang w:eastAsia="en-GB"/>
              </w:rPr>
              <w:t xml:space="preserve"> Region </w:t>
            </w:r>
          </w:p>
          <w:p w:rsidR="0048249F" w:rsidRPr="004E39A2" w:rsidRDefault="0048249F" w:rsidP="00DB45C3">
            <w:pPr>
              <w:spacing w:line="276" w:lineRule="auto"/>
              <w:jc w:val="right"/>
              <w:rPr>
                <w:rFonts w:cs="Calibri"/>
                <w:b w:val="0"/>
                <w:sz w:val="20"/>
                <w:szCs w:val="20"/>
                <w:lang w:eastAsia="en-GB"/>
              </w:rPr>
            </w:pPr>
            <w:r w:rsidRPr="004E39A2">
              <w:rPr>
                <w:rFonts w:cs="Calibri"/>
                <w:b w:val="0"/>
                <w:sz w:val="20"/>
                <w:szCs w:val="20"/>
                <w:lang w:eastAsia="en-GB"/>
              </w:rPr>
              <w:t xml:space="preserve">Council </w:t>
            </w:r>
          </w:p>
          <w:p w:rsidR="0048249F" w:rsidRPr="004E39A2" w:rsidRDefault="0048249F" w:rsidP="00DB45C3">
            <w:pPr>
              <w:spacing w:line="276" w:lineRule="auto"/>
              <w:rPr>
                <w:rFonts w:cs="Calibri"/>
                <w:b w:val="0"/>
                <w:sz w:val="20"/>
                <w:szCs w:val="20"/>
                <w:lang w:eastAsia="en-GB"/>
              </w:rPr>
            </w:pPr>
            <w:r w:rsidRPr="004E39A2">
              <w:rPr>
                <w:rFonts w:eastAsia="Calibri" w:cs="Lato-Bold"/>
                <w:b w:val="0"/>
                <w:sz w:val="20"/>
                <w:szCs w:val="20"/>
                <w:lang w:eastAsia="en-GB"/>
              </w:rPr>
              <w:t>Category of Respondent</w:t>
            </w:r>
            <w:r w:rsidRPr="004E39A2">
              <w:rPr>
                <w:rFonts w:cs="Calibri"/>
                <w:b w:val="0"/>
                <w:sz w:val="20"/>
                <w:szCs w:val="20"/>
                <w:lang w:eastAsia="en-GB"/>
              </w:rPr>
              <w:t> </w:t>
            </w:r>
          </w:p>
        </w:tc>
        <w:tc>
          <w:tcPr>
            <w:tcW w:w="4982" w:type="dxa"/>
            <w:gridSpan w:val="6"/>
            <w:tcBorders>
              <w:top w:val="thinThickSmallGap" w:sz="18" w:space="0" w:color="auto"/>
              <w:left w:val="single" w:sz="2" w:space="0" w:color="auto"/>
              <w:bottom w:val="single" w:sz="12" w:space="0" w:color="auto"/>
              <w:right w:val="single" w:sz="4" w:space="0" w:color="auto"/>
            </w:tcBorders>
            <w:shd w:val="clear" w:color="auto" w:fill="auto"/>
          </w:tcPr>
          <w:p w:rsidR="0048249F" w:rsidRPr="004E39A2" w:rsidRDefault="0048249F" w:rsidP="00DB45C3">
            <w:pPr>
              <w:spacing w:line="276" w:lineRule="auto"/>
              <w:jc w:val="center"/>
              <w:cnfStyle w:val="100000000000" w:firstRow="1" w:lastRow="0" w:firstColumn="0" w:lastColumn="0" w:oddVBand="0" w:evenVBand="0" w:oddHBand="0" w:evenHBand="0" w:firstRowFirstColumn="0" w:firstRowLastColumn="0" w:lastRowFirstColumn="0" w:lastRowLastColumn="0"/>
              <w:rPr>
                <w:rFonts w:cs="Calibri"/>
                <w:b w:val="0"/>
                <w:sz w:val="20"/>
                <w:szCs w:val="20"/>
                <w:lang w:eastAsia="en-GB"/>
              </w:rPr>
            </w:pPr>
            <w:r w:rsidRPr="004E39A2">
              <w:rPr>
                <w:rFonts w:cs="Calibri"/>
                <w:b w:val="0"/>
                <w:sz w:val="20"/>
                <w:szCs w:val="20"/>
                <w:lang w:eastAsia="en-GB"/>
              </w:rPr>
              <w:t>Dodoma Region</w:t>
            </w:r>
          </w:p>
        </w:tc>
        <w:tc>
          <w:tcPr>
            <w:tcW w:w="4537" w:type="dxa"/>
            <w:gridSpan w:val="6"/>
            <w:tcBorders>
              <w:top w:val="thinThickSmallGap" w:sz="18" w:space="0" w:color="auto"/>
              <w:left w:val="single" w:sz="4" w:space="0" w:color="auto"/>
              <w:bottom w:val="single" w:sz="12" w:space="0" w:color="auto"/>
            </w:tcBorders>
            <w:shd w:val="clear" w:color="auto" w:fill="auto"/>
          </w:tcPr>
          <w:p w:rsidR="0048249F" w:rsidRPr="004E39A2" w:rsidRDefault="0048249F" w:rsidP="00DB45C3">
            <w:pPr>
              <w:spacing w:line="276" w:lineRule="auto"/>
              <w:jc w:val="center"/>
              <w:cnfStyle w:val="100000000000" w:firstRow="1" w:lastRow="0" w:firstColumn="0" w:lastColumn="0" w:oddVBand="0" w:evenVBand="0" w:oddHBand="0" w:evenHBand="0" w:firstRowFirstColumn="0" w:firstRowLastColumn="0" w:lastRowFirstColumn="0" w:lastRowLastColumn="0"/>
              <w:rPr>
                <w:rFonts w:cs="Calibri"/>
                <w:b w:val="0"/>
                <w:sz w:val="20"/>
                <w:szCs w:val="20"/>
                <w:lang w:eastAsia="en-GB"/>
              </w:rPr>
            </w:pPr>
            <w:r w:rsidRPr="004E39A2">
              <w:rPr>
                <w:rFonts w:cs="Calibri"/>
                <w:b w:val="0"/>
                <w:sz w:val="20"/>
                <w:szCs w:val="20"/>
                <w:lang w:eastAsia="en-GB"/>
              </w:rPr>
              <w:t>Morogoro Region</w:t>
            </w:r>
          </w:p>
        </w:tc>
      </w:tr>
      <w:tr w:rsidR="0048249F" w:rsidRPr="004E39A2" w:rsidTr="00E40E8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345" w:type="dxa"/>
            <w:vMerge/>
            <w:tcBorders>
              <w:right w:val="single" w:sz="2" w:space="0" w:color="auto"/>
            </w:tcBorders>
            <w:shd w:val="clear" w:color="auto" w:fill="auto"/>
            <w:noWrap/>
            <w:hideMark/>
          </w:tcPr>
          <w:p w:rsidR="0048249F" w:rsidRPr="004E39A2" w:rsidRDefault="0048249F" w:rsidP="00DB45C3">
            <w:pPr>
              <w:spacing w:line="276" w:lineRule="auto"/>
              <w:rPr>
                <w:rFonts w:cs="Calibri"/>
                <w:b w:val="0"/>
                <w:sz w:val="20"/>
                <w:szCs w:val="20"/>
                <w:lang w:eastAsia="en-GB"/>
              </w:rPr>
            </w:pPr>
          </w:p>
        </w:tc>
        <w:tc>
          <w:tcPr>
            <w:tcW w:w="2491" w:type="dxa"/>
            <w:gridSpan w:val="3"/>
            <w:tcBorders>
              <w:top w:val="single" w:sz="12" w:space="0" w:color="auto"/>
              <w:left w:val="single" w:sz="2" w:space="0" w:color="auto"/>
              <w:bottom w:val="single" w:sz="12" w:space="0" w:color="auto"/>
            </w:tcBorders>
            <w:shd w:val="clear" w:color="auto" w:fill="auto"/>
            <w:noWrap/>
            <w:hideMark/>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Kondoa DC</w:t>
            </w:r>
          </w:p>
        </w:tc>
        <w:tc>
          <w:tcPr>
            <w:tcW w:w="2491" w:type="dxa"/>
            <w:gridSpan w:val="3"/>
            <w:tcBorders>
              <w:top w:val="single" w:sz="12" w:space="0" w:color="auto"/>
              <w:bottom w:val="single" w:sz="12" w:space="0" w:color="auto"/>
              <w:right w:val="single" w:sz="4" w:space="0" w:color="auto"/>
            </w:tcBorders>
            <w:shd w:val="clear" w:color="auto" w:fill="auto"/>
            <w:noWrap/>
            <w:hideMark/>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Bahi DC</w:t>
            </w:r>
          </w:p>
        </w:tc>
        <w:tc>
          <w:tcPr>
            <w:tcW w:w="2519" w:type="dxa"/>
            <w:gridSpan w:val="3"/>
            <w:tcBorders>
              <w:left w:val="single" w:sz="4" w:space="0" w:color="auto"/>
              <w:bottom w:val="single" w:sz="12" w:space="0" w:color="auto"/>
            </w:tcBorders>
            <w:shd w:val="clear" w:color="auto" w:fill="auto"/>
            <w:noWrap/>
            <w:hideMark/>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Ulanga DC</w:t>
            </w:r>
          </w:p>
        </w:tc>
        <w:tc>
          <w:tcPr>
            <w:tcW w:w="2018" w:type="dxa"/>
            <w:gridSpan w:val="3"/>
            <w:tcBorders>
              <w:bottom w:val="single" w:sz="12" w:space="0" w:color="auto"/>
            </w:tcBorders>
            <w:shd w:val="clear" w:color="auto" w:fill="auto"/>
            <w:noWrap/>
            <w:hideMark/>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Kilosa DC</w:t>
            </w:r>
          </w:p>
        </w:tc>
      </w:tr>
      <w:tr w:rsidR="0048249F" w:rsidRPr="004E39A2" w:rsidTr="00E40E82">
        <w:trPr>
          <w:trHeight w:val="250"/>
        </w:trPr>
        <w:tc>
          <w:tcPr>
            <w:cnfStyle w:val="001000000000" w:firstRow="0" w:lastRow="0" w:firstColumn="1" w:lastColumn="0" w:oddVBand="0" w:evenVBand="0" w:oddHBand="0" w:evenHBand="0" w:firstRowFirstColumn="0" w:firstRowLastColumn="0" w:lastRowFirstColumn="0" w:lastRowLastColumn="0"/>
            <w:tcW w:w="4345" w:type="dxa"/>
            <w:vMerge/>
            <w:tcBorders>
              <w:bottom w:val="single" w:sz="12" w:space="0" w:color="auto"/>
              <w:right w:val="single" w:sz="2" w:space="0" w:color="auto"/>
            </w:tcBorders>
            <w:shd w:val="clear" w:color="auto" w:fill="auto"/>
            <w:noWrap/>
          </w:tcPr>
          <w:p w:rsidR="0048249F" w:rsidRPr="004E39A2" w:rsidRDefault="0048249F" w:rsidP="00DB45C3">
            <w:pPr>
              <w:spacing w:line="276" w:lineRule="auto"/>
              <w:rPr>
                <w:rFonts w:cs="Calibri"/>
                <w:b w:val="0"/>
                <w:sz w:val="20"/>
                <w:szCs w:val="20"/>
                <w:lang w:eastAsia="en-GB"/>
              </w:rPr>
            </w:pPr>
          </w:p>
        </w:tc>
        <w:tc>
          <w:tcPr>
            <w:tcW w:w="978" w:type="dxa"/>
            <w:tcBorders>
              <w:left w:val="single" w:sz="2" w:space="0" w:color="auto"/>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FGD</w:t>
            </w:r>
          </w:p>
        </w:tc>
        <w:tc>
          <w:tcPr>
            <w:tcW w:w="712"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IDI</w:t>
            </w:r>
          </w:p>
        </w:tc>
        <w:tc>
          <w:tcPr>
            <w:tcW w:w="801" w:type="dxa"/>
            <w:tcBorders>
              <w:bottom w:val="single" w:sz="12" w:space="0" w:color="auto"/>
              <w:right w:val="nil"/>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GD</w:t>
            </w:r>
          </w:p>
        </w:tc>
        <w:tc>
          <w:tcPr>
            <w:tcW w:w="978" w:type="dxa"/>
            <w:tcBorders>
              <w:left w:val="nil"/>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FGD</w:t>
            </w:r>
          </w:p>
        </w:tc>
        <w:tc>
          <w:tcPr>
            <w:tcW w:w="801"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IDI</w:t>
            </w:r>
          </w:p>
        </w:tc>
        <w:tc>
          <w:tcPr>
            <w:tcW w:w="712" w:type="dxa"/>
            <w:tcBorders>
              <w:bottom w:val="single" w:sz="12" w:space="0" w:color="auto"/>
              <w:right w:val="single" w:sz="4"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GD</w:t>
            </w:r>
          </w:p>
        </w:tc>
        <w:tc>
          <w:tcPr>
            <w:tcW w:w="978" w:type="dxa"/>
            <w:tcBorders>
              <w:left w:val="single" w:sz="4" w:space="0" w:color="auto"/>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FGD</w:t>
            </w:r>
          </w:p>
        </w:tc>
        <w:tc>
          <w:tcPr>
            <w:tcW w:w="922"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IDI</w:t>
            </w:r>
          </w:p>
        </w:tc>
        <w:tc>
          <w:tcPr>
            <w:tcW w:w="619" w:type="dxa"/>
            <w:tcBorders>
              <w:bottom w:val="single" w:sz="12" w:space="0" w:color="auto"/>
              <w:right w:val="nil"/>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GD</w:t>
            </w:r>
          </w:p>
        </w:tc>
        <w:tc>
          <w:tcPr>
            <w:tcW w:w="896" w:type="dxa"/>
            <w:tcBorders>
              <w:left w:val="nil"/>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FGD</w:t>
            </w:r>
          </w:p>
        </w:tc>
        <w:tc>
          <w:tcPr>
            <w:tcW w:w="548"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IDI</w:t>
            </w:r>
          </w:p>
        </w:tc>
        <w:tc>
          <w:tcPr>
            <w:tcW w:w="574"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GD</w:t>
            </w:r>
          </w:p>
        </w:tc>
      </w:tr>
      <w:tr w:rsidR="004E39A2" w:rsidRPr="004E39A2" w:rsidTr="00E40E8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345" w:type="dxa"/>
            <w:tcBorders>
              <w:top w:val="single" w:sz="12" w:space="0" w:color="auto"/>
            </w:tcBorders>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Council health management team (CHMT)</w:t>
            </w:r>
          </w:p>
        </w:tc>
        <w:tc>
          <w:tcPr>
            <w:tcW w:w="978" w:type="dxa"/>
            <w:tcBorders>
              <w:top w:val="single" w:sz="12"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712"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801"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tcBorders>
              <w:top w:val="single" w:sz="12"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01"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712"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978" w:type="dxa"/>
            <w:tcBorders>
              <w:top w:val="single" w:sz="12"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22"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619"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96" w:type="dxa"/>
            <w:tcBorders>
              <w:top w:val="single" w:sz="12"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548"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574" w:type="dxa"/>
            <w:tcBorders>
              <w:top w:val="single" w:sz="12"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E40E82">
        <w:trPr>
          <w:trHeight w:val="250"/>
        </w:trPr>
        <w:tc>
          <w:tcPr>
            <w:cnfStyle w:val="001000000000" w:firstRow="0" w:lastRow="0" w:firstColumn="1" w:lastColumn="0" w:oddVBand="0" w:evenVBand="0" w:oddHBand="0" w:evenHBand="0" w:firstRowFirstColumn="0" w:firstRowLastColumn="0" w:lastRowFirstColumn="0" w:lastRowLastColumn="0"/>
            <w:tcW w:w="4345"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District accountants/ auditors</w:t>
            </w:r>
          </w:p>
        </w:tc>
        <w:tc>
          <w:tcPr>
            <w:tcW w:w="978"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712"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01"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801"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712" w:type="dxa"/>
            <w:tcBorders>
              <w:right w:val="nil"/>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78" w:type="dxa"/>
            <w:tcBorders>
              <w:left w:val="nil"/>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22"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619"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896"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548"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574"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E39A2" w:rsidRPr="004E39A2" w:rsidTr="00E40E82">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4345"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 xml:space="preserve">District procurement managers </w:t>
            </w: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71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01"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01"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71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2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619"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96"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548"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574"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E40E82">
        <w:trPr>
          <w:trHeight w:val="250"/>
        </w:trPr>
        <w:tc>
          <w:tcPr>
            <w:cnfStyle w:val="001000000000" w:firstRow="0" w:lastRow="0" w:firstColumn="1" w:lastColumn="0" w:oddVBand="0" w:evenVBand="0" w:oddHBand="0" w:evenHBand="0" w:firstRowFirstColumn="0" w:firstRowLastColumn="0" w:lastRowFirstColumn="0" w:lastRowLastColumn="0"/>
            <w:tcW w:w="4345"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Health service providers</w:t>
            </w:r>
          </w:p>
        </w:tc>
        <w:tc>
          <w:tcPr>
            <w:tcW w:w="978"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712"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01"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801"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712" w:type="dxa"/>
            <w:tcBorders>
              <w:right w:val="nil"/>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978" w:type="dxa"/>
            <w:tcBorders>
              <w:left w:val="nil"/>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22"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619"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896" w:type="dxa"/>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548"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574" w:type="dxa"/>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E39A2" w:rsidRPr="004E39A2" w:rsidTr="00E40E8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345"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Health facility governing committee (HFGC)</w:t>
            </w: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5</w:t>
            </w:r>
          </w:p>
        </w:tc>
        <w:tc>
          <w:tcPr>
            <w:tcW w:w="71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01"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801"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71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922"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619"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896" w:type="dxa"/>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4</w:t>
            </w:r>
          </w:p>
        </w:tc>
        <w:tc>
          <w:tcPr>
            <w:tcW w:w="548"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574" w:type="dxa"/>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E40E82">
        <w:trPr>
          <w:trHeight w:val="250"/>
        </w:trPr>
        <w:tc>
          <w:tcPr>
            <w:cnfStyle w:val="001000000000" w:firstRow="0" w:lastRow="0" w:firstColumn="1" w:lastColumn="0" w:oddVBand="0" w:evenVBand="0" w:oddHBand="0" w:evenHBand="0" w:firstRowFirstColumn="0" w:firstRowLastColumn="0" w:lastRowFirstColumn="0" w:lastRowLastColumn="0"/>
            <w:tcW w:w="4345" w:type="dxa"/>
            <w:tcBorders>
              <w:bottom w:val="single" w:sz="12" w:space="0" w:color="auto"/>
            </w:tcBorders>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Council health service board (CHSB)</w:t>
            </w:r>
          </w:p>
        </w:tc>
        <w:tc>
          <w:tcPr>
            <w:tcW w:w="978" w:type="dxa"/>
            <w:tcBorders>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712"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01"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78" w:type="dxa"/>
            <w:tcBorders>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801"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712" w:type="dxa"/>
            <w:tcBorders>
              <w:bottom w:val="single" w:sz="12" w:space="0" w:color="auto"/>
              <w:right w:val="nil"/>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78" w:type="dxa"/>
            <w:tcBorders>
              <w:left w:val="nil"/>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922"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619"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896" w:type="dxa"/>
            <w:tcBorders>
              <w:bottom w:val="single" w:sz="12" w:space="0" w:color="auto"/>
            </w:tcBorders>
            <w:shd w:val="clear" w:color="auto" w:fill="auto"/>
            <w:noWrap/>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548"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c>
          <w:tcPr>
            <w:tcW w:w="574" w:type="dxa"/>
            <w:tcBorders>
              <w:bottom w:val="single" w:sz="12" w:space="0" w:color="auto"/>
            </w:tcBorders>
            <w:shd w:val="clear" w:color="auto" w:fill="auto"/>
          </w:tcPr>
          <w:p w:rsidR="0048249F" w:rsidRPr="004E39A2" w:rsidRDefault="0048249F" w:rsidP="00DB45C3">
            <w:pPr>
              <w:spacing w:line="276" w:lineRule="auto"/>
              <w:jc w:val="center"/>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E39A2" w:rsidRPr="004E39A2" w:rsidTr="00E40E82">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4345"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right"/>
              <w:rPr>
                <w:rFonts w:cs="Calibri"/>
                <w:b w:val="0"/>
                <w:sz w:val="20"/>
                <w:szCs w:val="20"/>
                <w:lang w:eastAsia="en-GB"/>
              </w:rPr>
            </w:pPr>
            <w:r w:rsidRPr="004E39A2">
              <w:rPr>
                <w:rFonts w:cs="Calibri"/>
                <w:b w:val="0"/>
                <w:sz w:val="20"/>
                <w:szCs w:val="20"/>
                <w:lang w:eastAsia="en-GB"/>
              </w:rPr>
              <w:t>Total</w:t>
            </w:r>
          </w:p>
        </w:tc>
        <w:tc>
          <w:tcPr>
            <w:tcW w:w="978"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5</w:t>
            </w:r>
          </w:p>
        </w:tc>
        <w:tc>
          <w:tcPr>
            <w:tcW w:w="712"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5</w:t>
            </w:r>
          </w:p>
        </w:tc>
        <w:tc>
          <w:tcPr>
            <w:tcW w:w="801"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c>
          <w:tcPr>
            <w:tcW w:w="978"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801"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712"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978"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922"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5</w:t>
            </w:r>
          </w:p>
        </w:tc>
        <w:tc>
          <w:tcPr>
            <w:tcW w:w="619"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896"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4</w:t>
            </w:r>
          </w:p>
        </w:tc>
        <w:tc>
          <w:tcPr>
            <w:tcW w:w="548"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7</w:t>
            </w:r>
          </w:p>
        </w:tc>
        <w:tc>
          <w:tcPr>
            <w:tcW w:w="574"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jc w:val="center"/>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bl>
    <w:p w:rsidR="0048249F" w:rsidRPr="004A5ED7" w:rsidRDefault="0048249F" w:rsidP="0048249F">
      <w:pPr>
        <w:rPr>
          <w:rFonts w:eastAsia="Calibri" w:cs="Lato-Regular"/>
        </w:rPr>
      </w:pPr>
    </w:p>
    <w:p w:rsidR="0048249F" w:rsidRPr="004A5ED7" w:rsidRDefault="0048249F" w:rsidP="0048249F">
      <w:pPr>
        <w:rPr>
          <w:rFonts w:eastAsia="Calibri" w:cs="Lato-Regular"/>
        </w:rPr>
      </w:pPr>
    </w:p>
    <w:p w:rsidR="0048249F" w:rsidRDefault="0048249F" w:rsidP="0048249F">
      <w:pPr>
        <w:rPr>
          <w:rFonts w:eastAsia="Calibri" w:cs="Lato-Regular"/>
        </w:rPr>
      </w:pPr>
    </w:p>
    <w:p w:rsidR="004E39A2" w:rsidRDefault="004E39A2" w:rsidP="0048249F">
      <w:pPr>
        <w:rPr>
          <w:rFonts w:eastAsia="Calibri" w:cs="Lato-Regular"/>
        </w:rPr>
      </w:pPr>
    </w:p>
    <w:p w:rsidR="004E39A2" w:rsidRDefault="004E39A2" w:rsidP="0048249F">
      <w:pPr>
        <w:rPr>
          <w:rFonts w:eastAsia="Calibri" w:cs="Lato-Regular"/>
        </w:rPr>
      </w:pPr>
    </w:p>
    <w:p w:rsidR="004E39A2" w:rsidRPr="004A5ED7" w:rsidRDefault="004E39A2" w:rsidP="0048249F">
      <w:pPr>
        <w:rPr>
          <w:rFonts w:eastAsia="Calibri" w:cs="Lato-Regular"/>
        </w:rPr>
      </w:pPr>
    </w:p>
    <w:p w:rsidR="0048249F" w:rsidRPr="004A5ED7" w:rsidRDefault="0048249F" w:rsidP="0048249F">
      <w:pPr>
        <w:rPr>
          <w:rFonts w:eastAsia="Calibri" w:cs="Lato-Regular"/>
        </w:rPr>
      </w:pPr>
    </w:p>
    <w:p w:rsidR="0048249F" w:rsidRPr="004A5ED7" w:rsidRDefault="0048249F" w:rsidP="0048249F">
      <w:pPr>
        <w:rPr>
          <w:rFonts w:eastAsia="Calibri" w:cs="Lato-Regular"/>
          <w:b/>
        </w:rPr>
      </w:pPr>
      <w:r>
        <w:rPr>
          <w:rFonts w:eastAsia="Calibri" w:cs="Lato-Regular"/>
          <w:b/>
        </w:rPr>
        <w:t xml:space="preserve">Table </w:t>
      </w:r>
      <w:r w:rsidR="00BC6427">
        <w:rPr>
          <w:rFonts w:eastAsia="Calibri" w:cs="Lato-Regular"/>
          <w:b/>
        </w:rPr>
        <w:t>S</w:t>
      </w:r>
      <w:r>
        <w:rPr>
          <w:rFonts w:eastAsia="Calibri" w:cs="Lato-Regular"/>
          <w:b/>
        </w:rPr>
        <w:t>2</w:t>
      </w:r>
      <w:r w:rsidRPr="004A5ED7">
        <w:rPr>
          <w:rFonts w:eastAsia="Calibri" w:cs="Lato-Regular"/>
          <w:b/>
        </w:rPr>
        <w:t xml:space="preserve">: </w:t>
      </w:r>
      <w:r w:rsidR="00A56855">
        <w:rPr>
          <w:rFonts w:eastAsia="Calibri" w:cs="Lato-Regular"/>
          <w:b/>
        </w:rPr>
        <w:t>R</w:t>
      </w:r>
      <w:r w:rsidRPr="004A5ED7">
        <w:rPr>
          <w:rFonts w:eastAsia="Calibri" w:cs="Lato-Regular"/>
          <w:b/>
        </w:rPr>
        <w:t xml:space="preserve">espondents at the </w:t>
      </w:r>
      <w:r w:rsidRPr="004A5ED7">
        <w:rPr>
          <w:rFonts w:eastAsia="Calibri" w:cs="Lato-Regular"/>
          <w:b/>
          <w:noProof/>
        </w:rPr>
        <w:t>national</w:t>
      </w:r>
      <w:r w:rsidRPr="004A5ED7">
        <w:rPr>
          <w:rFonts w:eastAsia="Calibri" w:cs="Lato-Regular"/>
          <w:b/>
        </w:rPr>
        <w:t xml:space="preserve">, regional, and district level </w:t>
      </w:r>
    </w:p>
    <w:tbl>
      <w:tblPr>
        <w:tblStyle w:val="LightShading"/>
        <w:tblW w:w="11928" w:type="dxa"/>
        <w:tblLook w:val="04A0" w:firstRow="1" w:lastRow="0" w:firstColumn="1" w:lastColumn="0" w:noHBand="0" w:noVBand="1"/>
      </w:tblPr>
      <w:tblGrid>
        <w:gridCol w:w="10233"/>
        <w:gridCol w:w="798"/>
        <w:gridCol w:w="897"/>
      </w:tblGrid>
      <w:tr w:rsidR="0048249F" w:rsidRPr="004E39A2" w:rsidTr="004E39A2">
        <w:trPr>
          <w:cnfStyle w:val="100000000000" w:firstRow="1" w:lastRow="0" w:firstColumn="0" w:lastColumn="0" w:oddVBand="0" w:evenVBand="0" w:oddHBand="0"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0233" w:type="dxa"/>
            <w:tcBorders>
              <w:top w:val="thinThickSmallGap" w:sz="18" w:space="0" w:color="auto"/>
              <w:bottom w:val="single" w:sz="12" w:space="0" w:color="auto"/>
            </w:tcBorders>
            <w:shd w:val="clear" w:color="auto" w:fill="auto"/>
            <w:noWrap/>
          </w:tcPr>
          <w:p w:rsidR="0048249F" w:rsidRPr="004E39A2" w:rsidRDefault="00A56855" w:rsidP="00A56855">
            <w:pPr>
              <w:spacing w:line="276" w:lineRule="auto"/>
              <w:rPr>
                <w:rFonts w:cs="Calibri"/>
                <w:sz w:val="20"/>
                <w:szCs w:val="20"/>
                <w:lang w:eastAsia="en-GB"/>
              </w:rPr>
            </w:pPr>
            <w:r>
              <w:rPr>
                <w:rFonts w:cs="Calibri"/>
                <w:sz w:val="20"/>
                <w:szCs w:val="20"/>
                <w:lang w:eastAsia="en-GB"/>
              </w:rPr>
              <w:t xml:space="preserve">Representative (s) </w:t>
            </w:r>
          </w:p>
        </w:tc>
        <w:tc>
          <w:tcPr>
            <w:tcW w:w="798" w:type="dxa"/>
            <w:tcBorders>
              <w:top w:val="thinThickSmallGap" w:sz="18" w:space="0" w:color="auto"/>
              <w:bottom w:val="single" w:sz="12" w:space="0" w:color="auto"/>
            </w:tcBorders>
            <w:shd w:val="clear" w:color="auto" w:fill="auto"/>
          </w:tcPr>
          <w:p w:rsidR="0048249F" w:rsidRPr="004E39A2" w:rsidRDefault="0048249F" w:rsidP="00DB45C3">
            <w:pPr>
              <w:spacing w:line="276" w:lineRule="auto"/>
              <w:cnfStyle w:val="100000000000" w:firstRow="1"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IDI</w:t>
            </w:r>
          </w:p>
        </w:tc>
        <w:tc>
          <w:tcPr>
            <w:tcW w:w="897" w:type="dxa"/>
            <w:tcBorders>
              <w:top w:val="thinThickSmallGap" w:sz="18" w:space="0" w:color="auto"/>
              <w:bottom w:val="single" w:sz="12" w:space="0" w:color="auto"/>
            </w:tcBorders>
            <w:shd w:val="clear" w:color="auto" w:fill="auto"/>
          </w:tcPr>
          <w:p w:rsidR="0048249F" w:rsidRPr="004E39A2" w:rsidRDefault="0048249F" w:rsidP="00DB45C3">
            <w:pPr>
              <w:spacing w:line="276" w:lineRule="auto"/>
              <w:cnfStyle w:val="100000000000" w:firstRow="1"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GD</w:t>
            </w:r>
          </w:p>
        </w:tc>
      </w:tr>
      <w:tr w:rsidR="0048249F" w:rsidRPr="004E39A2" w:rsidTr="004E39A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233" w:type="dxa"/>
            <w:tcBorders>
              <w:top w:val="single" w:sz="12" w:space="0" w:color="auto"/>
            </w:tcBorders>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 xml:space="preserve">Health Promotion System Strengthening (HPSS) </w:t>
            </w:r>
          </w:p>
        </w:tc>
        <w:tc>
          <w:tcPr>
            <w:tcW w:w="798" w:type="dxa"/>
            <w:tcBorders>
              <w:top w:val="single" w:sz="12" w:space="0" w:color="auto"/>
            </w:tcBorders>
            <w:shd w:val="clear" w:color="auto" w:fill="auto"/>
            <w:noWrap/>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3</w:t>
            </w:r>
          </w:p>
        </w:tc>
        <w:tc>
          <w:tcPr>
            <w:tcW w:w="897" w:type="dxa"/>
            <w:tcBorders>
              <w:top w:val="single" w:sz="12" w:space="0" w:color="auto"/>
            </w:tcBorders>
            <w:shd w:val="clear" w:color="auto" w:fill="auto"/>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r>
      <w:tr w:rsidR="0048249F" w:rsidRPr="004E39A2" w:rsidTr="004E39A2">
        <w:trPr>
          <w:trHeight w:val="276"/>
        </w:trPr>
        <w:tc>
          <w:tcPr>
            <w:cnfStyle w:val="001000000000" w:firstRow="0" w:lastRow="0" w:firstColumn="1" w:lastColumn="0" w:oddVBand="0" w:evenVBand="0" w:oddHBand="0" w:evenHBand="0" w:firstRowFirstColumn="0" w:firstRowLastColumn="0" w:lastRowFirstColumn="0" w:lastRowLastColumn="0"/>
            <w:tcW w:w="10233"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President’s Office for Regional Administration and Local Government –PO-RALG (Jazia coordinating office)</w:t>
            </w:r>
          </w:p>
        </w:tc>
        <w:tc>
          <w:tcPr>
            <w:tcW w:w="798" w:type="dxa"/>
            <w:shd w:val="clear" w:color="auto" w:fill="auto"/>
            <w:noWrap/>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97" w:type="dxa"/>
            <w:shd w:val="clear" w:color="auto" w:fill="auto"/>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8249F" w:rsidRPr="004E39A2" w:rsidTr="004E39A2">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0233"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President’s Office for Regional Administration and Local Government –PO-RALG (Procurement department)</w:t>
            </w:r>
          </w:p>
        </w:tc>
        <w:tc>
          <w:tcPr>
            <w:tcW w:w="798" w:type="dxa"/>
            <w:shd w:val="clear" w:color="auto" w:fill="auto"/>
            <w:noWrap/>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97" w:type="dxa"/>
            <w:shd w:val="clear" w:color="auto" w:fill="auto"/>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4E39A2">
        <w:trPr>
          <w:trHeight w:val="276"/>
        </w:trPr>
        <w:tc>
          <w:tcPr>
            <w:cnfStyle w:val="001000000000" w:firstRow="0" w:lastRow="0" w:firstColumn="1" w:lastColumn="0" w:oddVBand="0" w:evenVBand="0" w:oddHBand="0" w:evenHBand="0" w:firstRowFirstColumn="0" w:firstRowLastColumn="0" w:lastRowFirstColumn="0" w:lastRowLastColumn="0"/>
            <w:tcW w:w="10233"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 xml:space="preserve">Jazia PVS Regional Coordination office </w:t>
            </w:r>
          </w:p>
        </w:tc>
        <w:tc>
          <w:tcPr>
            <w:tcW w:w="798" w:type="dxa"/>
            <w:shd w:val="clear" w:color="auto" w:fill="auto"/>
            <w:noWrap/>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897" w:type="dxa"/>
            <w:shd w:val="clear" w:color="auto" w:fill="auto"/>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8249F" w:rsidRPr="004E39A2" w:rsidTr="004E39A2">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0233" w:type="dxa"/>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RHMT members (Regional Pharmacists /Regional medical officer)</w:t>
            </w:r>
          </w:p>
        </w:tc>
        <w:tc>
          <w:tcPr>
            <w:tcW w:w="798" w:type="dxa"/>
            <w:shd w:val="clear" w:color="auto" w:fill="auto"/>
            <w:noWrap/>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c>
          <w:tcPr>
            <w:tcW w:w="897" w:type="dxa"/>
            <w:shd w:val="clear" w:color="auto" w:fill="auto"/>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4E39A2">
        <w:trPr>
          <w:trHeight w:val="276"/>
        </w:trPr>
        <w:tc>
          <w:tcPr>
            <w:cnfStyle w:val="001000000000" w:firstRow="0" w:lastRow="0" w:firstColumn="1" w:lastColumn="0" w:oddVBand="0" w:evenVBand="0" w:oddHBand="0" w:evenHBand="0" w:firstRowFirstColumn="0" w:firstRowLastColumn="0" w:lastRowFirstColumn="0" w:lastRowLastColumn="0"/>
            <w:tcW w:w="10233" w:type="dxa"/>
            <w:shd w:val="clear" w:color="auto" w:fill="auto"/>
            <w:noWrap/>
          </w:tcPr>
          <w:p w:rsidR="0048249F" w:rsidRPr="004E39A2" w:rsidRDefault="00A56855" w:rsidP="00DB45C3">
            <w:pPr>
              <w:spacing w:line="276" w:lineRule="auto"/>
              <w:rPr>
                <w:rFonts w:cs="Calibri"/>
                <w:b w:val="0"/>
                <w:sz w:val="20"/>
                <w:szCs w:val="20"/>
                <w:lang w:eastAsia="en-GB"/>
              </w:rPr>
            </w:pPr>
            <w:r>
              <w:rPr>
                <w:rFonts w:cs="Calibri"/>
                <w:b w:val="0"/>
                <w:sz w:val="20"/>
                <w:szCs w:val="20"/>
                <w:lang w:eastAsia="en-GB"/>
              </w:rPr>
              <w:t xml:space="preserve">Prime vendor </w:t>
            </w:r>
            <w:r w:rsidR="0048249F" w:rsidRPr="004E39A2">
              <w:rPr>
                <w:rFonts w:cs="Calibri"/>
                <w:b w:val="0"/>
                <w:sz w:val="20"/>
                <w:szCs w:val="20"/>
                <w:lang w:eastAsia="en-GB"/>
              </w:rPr>
              <w:t xml:space="preserve">representative </w:t>
            </w:r>
          </w:p>
        </w:tc>
        <w:tc>
          <w:tcPr>
            <w:tcW w:w="798" w:type="dxa"/>
            <w:shd w:val="clear" w:color="auto" w:fill="auto"/>
            <w:noWrap/>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97" w:type="dxa"/>
            <w:shd w:val="clear" w:color="auto" w:fill="auto"/>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p>
        </w:tc>
      </w:tr>
      <w:tr w:rsidR="0048249F" w:rsidRPr="004E39A2" w:rsidTr="004E39A2">
        <w:trPr>
          <w:cnfStyle w:val="000000100000" w:firstRow="0" w:lastRow="0" w:firstColumn="0" w:lastColumn="0" w:oddVBand="0" w:evenVBand="0" w:oddHBand="1" w:evenHBand="0" w:firstRowFirstColumn="0" w:firstRowLastColumn="0" w:lastRowFirstColumn="0" w:lastRowLastColumn="0"/>
          <w:trHeight w:val="64"/>
        </w:trPr>
        <w:tc>
          <w:tcPr>
            <w:cnfStyle w:val="001000000000" w:firstRow="0" w:lastRow="0" w:firstColumn="1" w:lastColumn="0" w:oddVBand="0" w:evenVBand="0" w:oddHBand="0" w:evenHBand="0" w:firstRowFirstColumn="0" w:firstRowLastColumn="0" w:lastRowFirstColumn="0" w:lastRowLastColumn="0"/>
            <w:tcW w:w="10233" w:type="dxa"/>
            <w:tcBorders>
              <w:bottom w:val="single" w:sz="12" w:space="0" w:color="auto"/>
            </w:tcBorders>
            <w:shd w:val="clear" w:color="auto" w:fill="auto"/>
            <w:noWrap/>
          </w:tcPr>
          <w:p w:rsidR="0048249F" w:rsidRPr="004E39A2" w:rsidRDefault="0048249F" w:rsidP="00DB45C3">
            <w:pPr>
              <w:spacing w:line="276" w:lineRule="auto"/>
              <w:rPr>
                <w:rFonts w:cs="Calibri"/>
                <w:b w:val="0"/>
                <w:sz w:val="20"/>
                <w:szCs w:val="20"/>
                <w:lang w:eastAsia="en-GB"/>
              </w:rPr>
            </w:pPr>
            <w:r w:rsidRPr="004E39A2">
              <w:rPr>
                <w:rFonts w:cs="Calibri"/>
                <w:b w:val="0"/>
                <w:sz w:val="20"/>
                <w:szCs w:val="20"/>
                <w:lang w:eastAsia="en-GB"/>
              </w:rPr>
              <w:t xml:space="preserve">Jazia PVS Consultant </w:t>
            </w:r>
          </w:p>
        </w:tc>
        <w:tc>
          <w:tcPr>
            <w:tcW w:w="798" w:type="dxa"/>
            <w:tcBorders>
              <w:bottom w:val="single" w:sz="12" w:space="0" w:color="auto"/>
            </w:tcBorders>
            <w:shd w:val="clear" w:color="auto" w:fill="auto"/>
            <w:noWrap/>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r w:rsidRPr="004E39A2">
              <w:rPr>
                <w:rFonts w:cs="Calibri"/>
                <w:sz w:val="20"/>
                <w:szCs w:val="20"/>
                <w:lang w:eastAsia="en-GB"/>
              </w:rPr>
              <w:t>1</w:t>
            </w:r>
          </w:p>
        </w:tc>
        <w:tc>
          <w:tcPr>
            <w:tcW w:w="897" w:type="dxa"/>
            <w:tcBorders>
              <w:bottom w:val="single" w:sz="12" w:space="0" w:color="auto"/>
            </w:tcBorders>
            <w:shd w:val="clear" w:color="auto" w:fill="auto"/>
          </w:tcPr>
          <w:p w:rsidR="0048249F" w:rsidRPr="004E39A2" w:rsidRDefault="0048249F" w:rsidP="00DB45C3">
            <w:pPr>
              <w:spacing w:line="276" w:lineRule="auto"/>
              <w:cnfStyle w:val="000000100000" w:firstRow="0" w:lastRow="0" w:firstColumn="0" w:lastColumn="0" w:oddVBand="0" w:evenVBand="0" w:oddHBand="1" w:evenHBand="0" w:firstRowFirstColumn="0" w:firstRowLastColumn="0" w:lastRowFirstColumn="0" w:lastRowLastColumn="0"/>
              <w:rPr>
                <w:rFonts w:cs="Calibri"/>
                <w:sz w:val="20"/>
                <w:szCs w:val="20"/>
                <w:lang w:eastAsia="en-GB"/>
              </w:rPr>
            </w:pPr>
          </w:p>
        </w:tc>
      </w:tr>
      <w:tr w:rsidR="0048249F" w:rsidRPr="004E39A2" w:rsidTr="004E39A2">
        <w:trPr>
          <w:trHeight w:val="276"/>
        </w:trPr>
        <w:tc>
          <w:tcPr>
            <w:cnfStyle w:val="001000000000" w:firstRow="0" w:lastRow="0" w:firstColumn="1" w:lastColumn="0" w:oddVBand="0" w:evenVBand="0" w:oddHBand="0" w:evenHBand="0" w:firstRowFirstColumn="0" w:firstRowLastColumn="0" w:lastRowFirstColumn="0" w:lastRowLastColumn="0"/>
            <w:tcW w:w="10233"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jc w:val="right"/>
              <w:rPr>
                <w:rFonts w:cs="Calibri"/>
                <w:b w:val="0"/>
                <w:sz w:val="20"/>
                <w:szCs w:val="20"/>
                <w:lang w:eastAsia="en-GB"/>
              </w:rPr>
            </w:pPr>
            <w:r w:rsidRPr="004E39A2">
              <w:rPr>
                <w:rFonts w:cs="Calibri"/>
                <w:b w:val="0"/>
                <w:sz w:val="20"/>
                <w:szCs w:val="20"/>
                <w:lang w:eastAsia="en-GB"/>
              </w:rPr>
              <w:t xml:space="preserve">Total </w:t>
            </w:r>
          </w:p>
        </w:tc>
        <w:tc>
          <w:tcPr>
            <w:tcW w:w="798" w:type="dxa"/>
            <w:tcBorders>
              <w:top w:val="single" w:sz="12" w:space="0" w:color="auto"/>
              <w:bottom w:val="thickThinSmallGap" w:sz="18" w:space="0" w:color="auto"/>
            </w:tcBorders>
            <w:shd w:val="clear" w:color="auto" w:fill="auto"/>
            <w:noWrap/>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11</w:t>
            </w:r>
          </w:p>
        </w:tc>
        <w:tc>
          <w:tcPr>
            <w:tcW w:w="897" w:type="dxa"/>
            <w:tcBorders>
              <w:top w:val="single" w:sz="12" w:space="0" w:color="auto"/>
              <w:bottom w:val="thickThinSmallGap" w:sz="18" w:space="0" w:color="auto"/>
            </w:tcBorders>
            <w:shd w:val="clear" w:color="auto" w:fill="auto"/>
          </w:tcPr>
          <w:p w:rsidR="0048249F" w:rsidRPr="004E39A2" w:rsidRDefault="0048249F" w:rsidP="00DB45C3">
            <w:pPr>
              <w:spacing w:line="276" w:lineRule="auto"/>
              <w:cnfStyle w:val="000000000000" w:firstRow="0" w:lastRow="0" w:firstColumn="0" w:lastColumn="0" w:oddVBand="0" w:evenVBand="0" w:oddHBand="0" w:evenHBand="0" w:firstRowFirstColumn="0" w:firstRowLastColumn="0" w:lastRowFirstColumn="0" w:lastRowLastColumn="0"/>
              <w:rPr>
                <w:rFonts w:cs="Calibri"/>
                <w:sz w:val="20"/>
                <w:szCs w:val="20"/>
                <w:lang w:eastAsia="en-GB"/>
              </w:rPr>
            </w:pPr>
            <w:r w:rsidRPr="004E39A2">
              <w:rPr>
                <w:rFonts w:cs="Calibri"/>
                <w:sz w:val="20"/>
                <w:szCs w:val="20"/>
                <w:lang w:eastAsia="en-GB"/>
              </w:rPr>
              <w:t>2</w:t>
            </w:r>
          </w:p>
        </w:tc>
      </w:tr>
    </w:tbl>
    <w:p w:rsidR="00E7141A" w:rsidRDefault="00E7141A"/>
    <w:p w:rsidR="0087626E" w:rsidRDefault="0087626E"/>
    <w:p w:rsidR="0087626E" w:rsidRDefault="0087626E"/>
    <w:p w:rsidR="0087626E" w:rsidRDefault="0087626E"/>
    <w:p w:rsidR="0087626E" w:rsidRPr="006B26F7" w:rsidRDefault="0087626E" w:rsidP="0087626E">
      <w:pPr>
        <w:rPr>
          <w:b/>
          <w:lang w:val="it-IT"/>
        </w:rPr>
      </w:pPr>
      <w:r w:rsidRPr="006B26F7">
        <w:rPr>
          <w:b/>
          <w:lang w:val="it-IT"/>
        </w:rPr>
        <w:lastRenderedPageBreak/>
        <w:t xml:space="preserve">Box </w:t>
      </w:r>
      <w:r w:rsidR="00BC6427">
        <w:rPr>
          <w:b/>
          <w:lang w:val="it-IT"/>
        </w:rPr>
        <w:t>S</w:t>
      </w:r>
      <w:bookmarkStart w:id="0" w:name="_GoBack"/>
      <w:bookmarkEnd w:id="0"/>
      <w:r w:rsidRPr="006B26F7">
        <w:rPr>
          <w:b/>
          <w:lang w:val="it-IT"/>
        </w:rPr>
        <w:t>1: Jazia Prime Vendor System (Jazia PVS)</w:t>
      </w:r>
    </w:p>
    <w:tbl>
      <w:tblPr>
        <w:tblW w:w="13570" w:type="dxa"/>
        <w:tblBorders>
          <w:top w:val="thinThickSmallGap" w:sz="18" w:space="0" w:color="auto"/>
          <w:left w:val="thinThickSmallGap" w:sz="18" w:space="0" w:color="auto"/>
          <w:bottom w:val="thickThinSmallGap" w:sz="18" w:space="0" w:color="auto"/>
          <w:right w:val="thickThinSmallGap" w:sz="18" w:space="0" w:color="auto"/>
          <w:insideH w:val="single" w:sz="6" w:space="0" w:color="auto"/>
          <w:insideV w:val="single" w:sz="6" w:space="0" w:color="auto"/>
        </w:tblBorders>
        <w:tblLook w:val="04A0" w:firstRow="1" w:lastRow="0" w:firstColumn="1" w:lastColumn="0" w:noHBand="0" w:noVBand="1"/>
      </w:tblPr>
      <w:tblGrid>
        <w:gridCol w:w="2943"/>
        <w:gridCol w:w="10627"/>
      </w:tblGrid>
      <w:tr w:rsidR="0087626E" w:rsidRPr="00C860A7" w:rsidTr="0087626E">
        <w:trPr>
          <w:trHeight w:val="588"/>
        </w:trPr>
        <w:tc>
          <w:tcPr>
            <w:tcW w:w="2943" w:type="dxa"/>
            <w:tcBorders>
              <w:top w:val="thinThickSmallGap" w:sz="18" w:space="0" w:color="auto"/>
              <w:bottom w:val="dotDotDash" w:sz="4" w:space="0" w:color="auto"/>
              <w:right w:val="dotDash" w:sz="4" w:space="0" w:color="auto"/>
            </w:tcBorders>
            <w:shd w:val="clear" w:color="auto" w:fill="auto"/>
            <w:noWrap/>
            <w:hideMark/>
          </w:tcPr>
          <w:p w:rsidR="0087626E" w:rsidRPr="00C860A7" w:rsidRDefault="0087626E" w:rsidP="004B2CE5">
            <w:pPr>
              <w:rPr>
                <w:b/>
                <w:szCs w:val="24"/>
                <w:lang w:val="it-IT" w:eastAsia="en-GB"/>
              </w:rPr>
            </w:pPr>
            <w:r w:rsidRPr="00C860A7">
              <w:rPr>
                <w:b/>
                <w:szCs w:val="24"/>
                <w:lang w:val="it-IT" w:eastAsia="en-GB"/>
              </w:rPr>
              <w:t xml:space="preserve">  </w:t>
            </w:r>
          </w:p>
        </w:tc>
        <w:tc>
          <w:tcPr>
            <w:tcW w:w="10627" w:type="dxa"/>
            <w:tcBorders>
              <w:left w:val="dotDash" w:sz="4" w:space="0" w:color="auto"/>
              <w:bottom w:val="dotDash" w:sz="4" w:space="0" w:color="auto"/>
            </w:tcBorders>
            <w:shd w:val="clear" w:color="auto" w:fill="auto"/>
            <w:noWrap/>
            <w:hideMark/>
          </w:tcPr>
          <w:p w:rsidR="0087626E" w:rsidRPr="00C860A7" w:rsidRDefault="0087626E" w:rsidP="004B2CE5">
            <w:pPr>
              <w:jc w:val="center"/>
              <w:rPr>
                <w:b/>
                <w:szCs w:val="24"/>
                <w:lang w:eastAsia="en-GB"/>
              </w:rPr>
            </w:pPr>
            <w:r w:rsidRPr="00C860A7">
              <w:rPr>
                <w:b/>
                <w:szCs w:val="24"/>
                <w:lang w:eastAsia="en-GB"/>
              </w:rPr>
              <w:t>Description</w:t>
            </w:r>
          </w:p>
        </w:tc>
      </w:tr>
      <w:tr w:rsidR="0087626E" w:rsidRPr="00C860A7" w:rsidTr="0087626E">
        <w:trPr>
          <w:trHeight w:val="588"/>
        </w:trPr>
        <w:tc>
          <w:tcPr>
            <w:tcW w:w="2943" w:type="dxa"/>
            <w:tcBorders>
              <w:top w:val="dotDotDash" w:sz="4" w:space="0" w:color="auto"/>
              <w:bottom w:val="dotDash" w:sz="4" w:space="0" w:color="auto"/>
              <w:right w:val="dotDash" w:sz="4" w:space="0" w:color="auto"/>
            </w:tcBorders>
            <w:shd w:val="clear" w:color="auto" w:fill="auto"/>
            <w:noWrap/>
          </w:tcPr>
          <w:p w:rsidR="0087626E" w:rsidRPr="00C860A7" w:rsidRDefault="0087626E" w:rsidP="004B2CE5">
            <w:pPr>
              <w:rPr>
                <w:szCs w:val="24"/>
                <w:lang w:eastAsia="en-GB"/>
              </w:rPr>
            </w:pPr>
            <w:r w:rsidRPr="00C860A7">
              <w:rPr>
                <w:szCs w:val="24"/>
                <w:lang w:eastAsia="en-GB"/>
              </w:rPr>
              <w:t xml:space="preserve">Jazia –PVS </w:t>
            </w:r>
          </w:p>
        </w:tc>
        <w:tc>
          <w:tcPr>
            <w:tcW w:w="10627" w:type="dxa"/>
            <w:tcBorders>
              <w:left w:val="dotDash" w:sz="4" w:space="0" w:color="auto"/>
              <w:bottom w:val="dotDash" w:sz="4" w:space="0" w:color="auto"/>
            </w:tcBorders>
            <w:shd w:val="clear" w:color="auto" w:fill="auto"/>
            <w:noWrap/>
          </w:tcPr>
          <w:p w:rsidR="0087626E" w:rsidRPr="00C860A7" w:rsidRDefault="0087626E" w:rsidP="0087626E">
            <w:pPr>
              <w:numPr>
                <w:ilvl w:val="0"/>
                <w:numId w:val="4"/>
              </w:numPr>
              <w:spacing w:after="0" w:line="480" w:lineRule="auto"/>
              <w:rPr>
                <w:szCs w:val="24"/>
              </w:rPr>
            </w:pPr>
            <w:r w:rsidRPr="00C860A7">
              <w:rPr>
                <w:rFonts w:cs="Arial"/>
                <w:szCs w:val="24"/>
              </w:rPr>
              <w:t xml:space="preserve">Jazia PVS is public-private partnership (PPP) initiative between the </w:t>
            </w:r>
            <w:r w:rsidRPr="00C860A7">
              <w:rPr>
                <w:rFonts w:cs="Arial"/>
                <w:sz w:val="22"/>
              </w:rPr>
              <w:t>regional</w:t>
            </w:r>
            <w:r w:rsidRPr="00C860A7">
              <w:rPr>
                <w:rFonts w:cs="Arial"/>
                <w:szCs w:val="24"/>
              </w:rPr>
              <w:t xml:space="preserve"> health authorities and private suppliers that aims at  improving the </w:t>
            </w:r>
            <w:r w:rsidRPr="00C860A7">
              <w:rPr>
                <w:rFonts w:cs="Arial"/>
                <w:noProof/>
                <w:szCs w:val="24"/>
              </w:rPr>
              <w:t>availability</w:t>
            </w:r>
            <w:r w:rsidRPr="00C860A7">
              <w:rPr>
                <w:rFonts w:cs="Arial"/>
                <w:szCs w:val="24"/>
              </w:rPr>
              <w:t xml:space="preserve"> of medicines, equipment, and supplies by consolidating and pooling orders for supplementary medicines from all public healthcare facilities at the </w:t>
            </w:r>
            <w:r w:rsidRPr="00C860A7">
              <w:rPr>
                <w:rFonts w:cs="Arial"/>
                <w:noProof/>
                <w:szCs w:val="24"/>
              </w:rPr>
              <w:t>district</w:t>
            </w:r>
            <w:r w:rsidRPr="00C860A7">
              <w:rPr>
                <w:rFonts w:cs="Arial"/>
                <w:szCs w:val="24"/>
              </w:rPr>
              <w:t xml:space="preserve"> level and then purchasing them from one contracted single whole supplier ‘</w:t>
            </w:r>
            <w:r w:rsidRPr="00C860A7">
              <w:rPr>
                <w:rFonts w:cs="Arial"/>
                <w:i/>
                <w:szCs w:val="24"/>
              </w:rPr>
              <w:t>the Prime Vendor</w:t>
            </w:r>
            <w:r w:rsidRPr="00C860A7">
              <w:rPr>
                <w:rFonts w:cs="Arial"/>
                <w:szCs w:val="24"/>
              </w:rPr>
              <w:t xml:space="preserve">’ </w:t>
            </w:r>
            <w:r w:rsidRPr="00C860A7">
              <w:rPr>
                <w:rFonts w:cs="Arial"/>
                <w:szCs w:val="24"/>
              </w:rPr>
              <w:fldChar w:fldCharType="begin"/>
            </w:r>
            <w:r>
              <w:rPr>
                <w:rFonts w:cs="Arial"/>
                <w:szCs w:val="24"/>
              </w:rPr>
              <w:instrText xml:space="preserve"> ADDIN EN.CITE &lt;EndNote&gt;&lt;Cite&gt;&lt;Author&gt;HPSS&lt;/Author&gt;&lt;Year&gt;2014&lt;/Year&gt;&lt;RecNum&gt;450&lt;/RecNum&gt;&lt;DisplayText&gt;(22)&lt;/DisplayText&gt;&lt;record&gt;&lt;rec-number&gt;450&lt;/rec-number&gt;&lt;foreign-keys&gt;&lt;key app="EN" db-id="pvpdzxt9zff5z6eapzextsvgfee9v22dtdp9" timestamp="0"&gt;450&lt;/key&gt;&lt;/foreign-keys&gt;&lt;ref-type name="Generic"&gt;13&lt;/ref-type&gt;&lt;contributors&gt;&lt;authors&gt;&lt;author&gt;HPSS, &lt;/author&gt;&lt;/authors&gt;&lt;secondary-authors&gt;&lt;author&gt;Swiss TPH&lt;/author&gt;&lt;/secondary-authors&gt;&lt;/contributors&gt;&lt;titles&gt;&lt;title&gt;Complementing the medicines supply gap with a regional Prime Vendor system in Dodoma Region&lt;/title&gt;&lt;/titles&gt;&lt;dates&gt;&lt;year&gt;2014&lt;/year&gt;&lt;/dates&gt;&lt;pub-location&gt;Dodoma &lt;/pub-location&gt;&lt;urls&gt;&lt;/urls&gt;&lt;/record&gt;&lt;/Cite&gt;&lt;/EndNote&gt;</w:instrText>
            </w:r>
            <w:r w:rsidRPr="00C860A7">
              <w:rPr>
                <w:rFonts w:cs="Arial"/>
                <w:szCs w:val="24"/>
              </w:rPr>
              <w:fldChar w:fldCharType="separate"/>
            </w:r>
            <w:r>
              <w:rPr>
                <w:rFonts w:cs="Arial"/>
                <w:noProof/>
                <w:szCs w:val="24"/>
              </w:rPr>
              <w:t>(22)</w:t>
            </w:r>
            <w:r w:rsidRPr="00C860A7">
              <w:rPr>
                <w:rFonts w:cs="Arial"/>
                <w:szCs w:val="24"/>
              </w:rPr>
              <w:fldChar w:fldCharType="end"/>
            </w:r>
            <w:r w:rsidRPr="00C860A7">
              <w:rPr>
                <w:rFonts w:cs="Arial"/>
                <w:szCs w:val="24"/>
              </w:rPr>
              <w:t xml:space="preserve"> for the </w:t>
            </w:r>
            <w:r w:rsidRPr="00C860A7">
              <w:rPr>
                <w:rFonts w:cs="Arial"/>
                <w:noProof/>
                <w:szCs w:val="24"/>
              </w:rPr>
              <w:t>duration</w:t>
            </w:r>
            <w:r w:rsidRPr="00C860A7">
              <w:rPr>
                <w:rFonts w:cs="Arial"/>
                <w:szCs w:val="24"/>
              </w:rPr>
              <w:t xml:space="preserve"> of two calendar years (Figure, 1).</w:t>
            </w:r>
            <w:r w:rsidRPr="00C860A7">
              <w:rPr>
                <w:szCs w:val="24"/>
              </w:rPr>
              <w:t xml:space="preserve"> Furthermore, </w:t>
            </w:r>
            <w:r w:rsidRPr="00C860A7">
              <w:rPr>
                <w:noProof/>
                <w:szCs w:val="24"/>
              </w:rPr>
              <w:t>along with</w:t>
            </w:r>
            <w:r w:rsidRPr="00C860A7">
              <w:rPr>
                <w:szCs w:val="24"/>
              </w:rPr>
              <w:t xml:space="preserve"> the implementation of Jazia PVS, capacity-building, peer coaching, and auditing interventions were strengthened in order to improve </w:t>
            </w:r>
            <w:r w:rsidRPr="00C860A7">
              <w:rPr>
                <w:noProof/>
                <w:szCs w:val="24"/>
              </w:rPr>
              <w:t>accountability</w:t>
            </w:r>
            <w:r>
              <w:rPr>
                <w:noProof/>
                <w:szCs w:val="24"/>
              </w:rPr>
              <w:t xml:space="preserve"> </w:t>
            </w:r>
            <w:r>
              <w:rPr>
                <w:noProof/>
                <w:szCs w:val="24"/>
              </w:rPr>
              <w:fldChar w:fldCharType="begin"/>
            </w:r>
            <w:r>
              <w:rPr>
                <w:noProof/>
                <w:szCs w:val="24"/>
              </w:rPr>
              <w:instrText xml:space="preserve"> ADDIN EN.CITE &lt;EndNote&gt;&lt;Cite&gt;&lt;Author&gt;Wiedenmayer&lt;/Author&gt;&lt;Year&gt;2019&lt;/Year&gt;&lt;RecNum&gt;465&lt;/RecNum&gt;&lt;DisplayText&gt;(23)&lt;/DisplayText&gt;&lt;record&gt;&lt;rec-number&gt;465&lt;/rec-number&gt;&lt;foreign-keys&gt;&lt;key app="EN" db-id="pvpdzxt9zff5z6eapzextsvgfee9v22dtdp9" timestamp="0"&gt;465&lt;/key&gt;&lt;/foreign-keys&gt;&lt;ref-type name="Journal Article"&gt;17&lt;/ref-type&gt;&lt;contributors&gt;&lt;authors&gt;&lt;author&gt;Wiedenmayer, K.&lt;/author&gt;&lt;author&gt;Mbwasi, R.&lt;/author&gt;&lt;author&gt;Mfuko, W.&lt;/author&gt;&lt;author&gt;Mpuya, E.&lt;/author&gt;&lt;author&gt;Charles, J.&lt;/author&gt;&lt;author&gt;Chilunda, F.&lt;/author&gt;&lt;author&gt;Mbepera, D.&lt;/author&gt;&lt;author&gt;Kapologwe, N.&lt;/author&gt;&lt;/authors&gt;&lt;/contributors&gt;&lt;titles&gt;&lt;title&gt;Jazia prime vendor system- a public-private partnership to improve medicine availability in Tanzania: from pilot to scale&lt;/title&gt;&lt;secondary-title&gt;Journal of Pharmaceutical Policy and Practice&lt;/secondary-title&gt;&lt;/titles&gt;&lt;pages&gt;4&lt;/pages&gt;&lt;volume&gt;12&lt;/volume&gt;&lt;number&gt;1&lt;/number&gt;&lt;dates&gt;&lt;year&gt;2019&lt;/year&gt;&lt;pub-dates&gt;&lt;date&gt;2019/02/25&lt;/date&gt;&lt;/pub-dates&gt;&lt;/dates&gt;&lt;urls&gt;&lt;related-urls&gt;&lt;url&gt;https://doi.org/10.1186/s40545-019-0163-4&lt;/url&gt;&lt;/related-urls&gt;&lt;/urls&gt;&lt;/record&gt;&lt;/Cite&gt;&lt;/EndNote&gt;</w:instrText>
            </w:r>
            <w:r>
              <w:rPr>
                <w:noProof/>
                <w:szCs w:val="24"/>
              </w:rPr>
              <w:fldChar w:fldCharType="separate"/>
            </w:r>
            <w:r>
              <w:rPr>
                <w:noProof/>
                <w:szCs w:val="24"/>
              </w:rPr>
              <w:t>(23)</w:t>
            </w:r>
            <w:r>
              <w:rPr>
                <w:noProof/>
                <w:szCs w:val="24"/>
              </w:rPr>
              <w:fldChar w:fldCharType="end"/>
            </w:r>
            <w:r w:rsidRPr="00C860A7">
              <w:rPr>
                <w:szCs w:val="24"/>
              </w:rPr>
              <w:t xml:space="preserve">. Moreover, public financial management was reviewed and revised to standardize and simplify procedures and transactions. </w:t>
            </w:r>
            <w:r w:rsidRPr="00C860A7">
              <w:rPr>
                <w:noProof/>
                <w:szCs w:val="24"/>
              </w:rPr>
              <w:t>Additionally,</w:t>
            </w:r>
            <w:r w:rsidRPr="00C860A7">
              <w:rPr>
                <w:szCs w:val="24"/>
              </w:rPr>
              <w:t xml:space="preserve"> the system is anchored in the structures of the regional health administration and is overseen, supported, and managed by mandated administrative structures </w:t>
            </w:r>
          </w:p>
        </w:tc>
      </w:tr>
      <w:tr w:rsidR="0087626E" w:rsidRPr="00C860A7" w:rsidTr="0087626E">
        <w:trPr>
          <w:trHeight w:val="588"/>
        </w:trPr>
        <w:tc>
          <w:tcPr>
            <w:tcW w:w="2943" w:type="dxa"/>
            <w:tcBorders>
              <w:top w:val="dotDash" w:sz="4" w:space="0" w:color="auto"/>
              <w:right w:val="dotDash" w:sz="4" w:space="0" w:color="auto"/>
            </w:tcBorders>
            <w:shd w:val="clear" w:color="auto" w:fill="auto"/>
            <w:noWrap/>
          </w:tcPr>
          <w:p w:rsidR="0087626E" w:rsidRPr="00C860A7" w:rsidRDefault="0087626E" w:rsidP="004B2CE5">
            <w:pPr>
              <w:rPr>
                <w:szCs w:val="24"/>
                <w:lang w:eastAsia="en-GB"/>
              </w:rPr>
            </w:pPr>
            <w:r w:rsidRPr="00C860A7">
              <w:rPr>
                <w:szCs w:val="24"/>
                <w:lang w:eastAsia="en-GB"/>
              </w:rPr>
              <w:t>Mandated  administrative structures</w:t>
            </w:r>
          </w:p>
        </w:tc>
        <w:tc>
          <w:tcPr>
            <w:tcW w:w="10627" w:type="dxa"/>
            <w:tcBorders>
              <w:top w:val="dotDash" w:sz="4" w:space="0" w:color="auto"/>
              <w:left w:val="dotDash" w:sz="4" w:space="0" w:color="auto"/>
              <w:bottom w:val="dotDash" w:sz="4" w:space="0" w:color="auto"/>
            </w:tcBorders>
            <w:shd w:val="clear" w:color="auto" w:fill="auto"/>
            <w:noWrap/>
          </w:tcPr>
          <w:p w:rsidR="0087626E" w:rsidRPr="00C860A7" w:rsidRDefault="0087626E" w:rsidP="0087626E">
            <w:pPr>
              <w:numPr>
                <w:ilvl w:val="0"/>
                <w:numId w:val="1"/>
              </w:numPr>
              <w:spacing w:after="0" w:line="480" w:lineRule="auto"/>
              <w:ind w:left="317" w:hanging="142"/>
              <w:rPr>
                <w:szCs w:val="24"/>
              </w:rPr>
            </w:pPr>
            <w:r w:rsidRPr="00C860A7">
              <w:rPr>
                <w:szCs w:val="24"/>
              </w:rPr>
              <w:t xml:space="preserve">Each region has a Prime Vendor coordinating office responsible for supportive supervision, training (on the rational use of medicines, ordering and reporting); monitoring of system </w:t>
            </w:r>
            <w:r w:rsidRPr="00C860A7">
              <w:rPr>
                <w:szCs w:val="24"/>
              </w:rPr>
              <w:lastRenderedPageBreak/>
              <w:t xml:space="preserve">performance and overseeing implementation of the system standard operating procedures (SOPs). The coordination office works closely with the Health Promotion and System Strengthening (HPSS), President Office Regional Administration and Local Government (PORALG), Regional Health Management Teams (RHMT), Council Health Management Teams (CHMT), prime vendor and healthcare providers.  </w:t>
            </w:r>
          </w:p>
          <w:p w:rsidR="0087626E" w:rsidRPr="00C860A7" w:rsidRDefault="0087626E" w:rsidP="0087626E">
            <w:pPr>
              <w:numPr>
                <w:ilvl w:val="0"/>
                <w:numId w:val="1"/>
              </w:numPr>
              <w:spacing w:after="0" w:line="480" w:lineRule="auto"/>
              <w:ind w:left="317" w:hanging="142"/>
              <w:rPr>
                <w:szCs w:val="24"/>
              </w:rPr>
            </w:pPr>
            <w:r w:rsidRPr="00C860A7">
              <w:rPr>
                <w:szCs w:val="24"/>
                <w:lang w:eastAsia="en-GB"/>
              </w:rPr>
              <w:t xml:space="preserve">Regional Prime Vendor Technical Committee (RPVTC). This is responsible with the </w:t>
            </w:r>
            <w:r w:rsidRPr="00C860A7">
              <w:rPr>
                <w:noProof/>
                <w:szCs w:val="24"/>
                <w:lang w:eastAsia="en-GB"/>
              </w:rPr>
              <w:t>provision</w:t>
            </w:r>
            <w:r w:rsidRPr="00C860A7">
              <w:rPr>
                <w:szCs w:val="24"/>
                <w:lang w:eastAsia="en-GB"/>
              </w:rPr>
              <w:t xml:space="preserve"> of advice to all the technical and administrative issues including identification of the prime vendor, review of system performance and actors compliance with the contractual agreement. </w:t>
            </w:r>
            <w:r w:rsidRPr="00C860A7">
              <w:rPr>
                <w:szCs w:val="24"/>
              </w:rPr>
              <w:t>Meetings are held twice a year, though if the need for a meeting arises then the secretary may call for a meeting.</w:t>
            </w:r>
            <w:r w:rsidRPr="00C860A7">
              <w:rPr>
                <w:noProof/>
                <w:szCs w:val="24"/>
                <w:lang w:eastAsia="en-GB"/>
              </w:rPr>
              <w:t xml:space="preserve"> The technical</w:t>
            </w:r>
            <w:r w:rsidRPr="00C860A7">
              <w:rPr>
                <w:szCs w:val="24"/>
                <w:lang w:eastAsia="en-GB"/>
              </w:rPr>
              <w:t xml:space="preserve"> team is answerable to the tender board and to the regional administrative secretary (contract holder)</w:t>
            </w:r>
          </w:p>
          <w:p w:rsidR="0087626E" w:rsidRPr="00C860A7" w:rsidRDefault="0087626E" w:rsidP="0087626E">
            <w:pPr>
              <w:numPr>
                <w:ilvl w:val="0"/>
                <w:numId w:val="1"/>
              </w:numPr>
              <w:spacing w:after="0" w:line="480" w:lineRule="auto"/>
              <w:ind w:left="317" w:hanging="142"/>
              <w:rPr>
                <w:szCs w:val="24"/>
              </w:rPr>
            </w:pPr>
            <w:r w:rsidRPr="00C860A7">
              <w:rPr>
                <w:szCs w:val="24"/>
                <w:lang w:eastAsia="en-GB"/>
              </w:rPr>
              <w:t>Regional Prime Vendor Tender Board (RPVTB)</w:t>
            </w:r>
            <w:r w:rsidRPr="00C860A7">
              <w:rPr>
                <w:szCs w:val="24"/>
              </w:rPr>
              <w:t xml:space="preserve"> </w:t>
            </w:r>
            <w:r w:rsidRPr="00C860A7">
              <w:rPr>
                <w:noProof/>
                <w:szCs w:val="24"/>
              </w:rPr>
              <w:t>oversees</w:t>
            </w:r>
            <w:r w:rsidRPr="00C860A7">
              <w:rPr>
                <w:szCs w:val="24"/>
              </w:rPr>
              <w:t xml:space="preserve"> the operations of the system, links to the technical committee, oversees transparency in the selection of the prime vendor. Regular meetings are held twice a year, but in case of </w:t>
            </w:r>
            <w:r w:rsidRPr="00C860A7">
              <w:rPr>
                <w:noProof/>
                <w:szCs w:val="24"/>
              </w:rPr>
              <w:t>anything,</w:t>
            </w:r>
            <w:r w:rsidRPr="00C860A7">
              <w:rPr>
                <w:szCs w:val="24"/>
              </w:rPr>
              <w:t xml:space="preserve"> the board secretary may call for a meeting. After the </w:t>
            </w:r>
            <w:r w:rsidRPr="00C860A7">
              <w:rPr>
                <w:noProof/>
                <w:szCs w:val="24"/>
              </w:rPr>
              <w:t>rollout, the</w:t>
            </w:r>
            <w:r w:rsidRPr="00C860A7">
              <w:rPr>
                <w:szCs w:val="24"/>
              </w:rPr>
              <w:t xml:space="preserve"> tender board has been anchored within the government structures to ensure </w:t>
            </w:r>
            <w:r w:rsidRPr="00C860A7">
              <w:rPr>
                <w:szCs w:val="24"/>
              </w:rPr>
              <w:lastRenderedPageBreak/>
              <w:t xml:space="preserve">compliance with the Public Procurement Act.     </w:t>
            </w:r>
          </w:p>
        </w:tc>
      </w:tr>
      <w:tr w:rsidR="0087626E" w:rsidRPr="00C860A7" w:rsidTr="0087626E">
        <w:trPr>
          <w:trHeight w:val="807"/>
        </w:trPr>
        <w:tc>
          <w:tcPr>
            <w:tcW w:w="2943" w:type="dxa"/>
            <w:tcBorders>
              <w:top w:val="dotDash" w:sz="4" w:space="0" w:color="auto"/>
              <w:bottom w:val="dotDash" w:sz="4" w:space="0" w:color="auto"/>
              <w:right w:val="dotDash" w:sz="4" w:space="0" w:color="auto"/>
            </w:tcBorders>
            <w:shd w:val="clear" w:color="auto" w:fill="auto"/>
            <w:noWrap/>
            <w:hideMark/>
          </w:tcPr>
          <w:p w:rsidR="0087626E" w:rsidRPr="00C860A7" w:rsidRDefault="0087626E" w:rsidP="004B2CE5">
            <w:pPr>
              <w:rPr>
                <w:szCs w:val="24"/>
                <w:lang w:eastAsia="en-GB"/>
              </w:rPr>
            </w:pPr>
            <w:r w:rsidRPr="00C860A7">
              <w:rPr>
                <w:szCs w:val="24"/>
                <w:lang w:eastAsia="en-GB"/>
              </w:rPr>
              <w:lastRenderedPageBreak/>
              <w:t xml:space="preserve">Other supporting mechanisms </w:t>
            </w:r>
          </w:p>
        </w:tc>
        <w:tc>
          <w:tcPr>
            <w:tcW w:w="10627" w:type="dxa"/>
            <w:tcBorders>
              <w:top w:val="dotDash" w:sz="4" w:space="0" w:color="auto"/>
              <w:left w:val="dotDash" w:sz="4" w:space="0" w:color="auto"/>
              <w:bottom w:val="dotDash" w:sz="4" w:space="0" w:color="auto"/>
            </w:tcBorders>
            <w:shd w:val="clear" w:color="auto" w:fill="auto"/>
            <w:noWrap/>
            <w:hideMark/>
          </w:tcPr>
          <w:p w:rsidR="0087626E" w:rsidRPr="00C860A7" w:rsidRDefault="0087626E" w:rsidP="0087626E">
            <w:pPr>
              <w:numPr>
                <w:ilvl w:val="0"/>
                <w:numId w:val="2"/>
              </w:numPr>
              <w:spacing w:after="0" w:line="480" w:lineRule="auto"/>
              <w:ind w:left="317" w:hanging="142"/>
              <w:rPr>
                <w:szCs w:val="24"/>
                <w:lang w:eastAsia="en-GB"/>
              </w:rPr>
            </w:pPr>
            <w:r w:rsidRPr="00C860A7">
              <w:rPr>
                <w:szCs w:val="24"/>
                <w:lang w:eastAsia="en-GB"/>
              </w:rPr>
              <w:t xml:space="preserve">Ad hoc Regional Bids Evaluation Committee (EC). This is usually established whenever the need arises to evaluate the proposals of prequalification of suppliers and during the </w:t>
            </w:r>
            <w:r w:rsidRPr="00C860A7">
              <w:rPr>
                <w:noProof/>
                <w:szCs w:val="24"/>
                <w:lang w:eastAsia="en-GB"/>
              </w:rPr>
              <w:t>bidding</w:t>
            </w:r>
            <w:r w:rsidRPr="00C860A7">
              <w:rPr>
                <w:szCs w:val="24"/>
                <w:lang w:eastAsia="en-GB"/>
              </w:rPr>
              <w:t xml:space="preserve"> evaluation process, in which prime vendors are selected.</w:t>
            </w:r>
          </w:p>
        </w:tc>
      </w:tr>
      <w:tr w:rsidR="0087626E" w:rsidRPr="00C860A7" w:rsidTr="0087626E">
        <w:trPr>
          <w:trHeight w:val="807"/>
        </w:trPr>
        <w:tc>
          <w:tcPr>
            <w:tcW w:w="2943" w:type="dxa"/>
            <w:tcBorders>
              <w:top w:val="dotDash" w:sz="4" w:space="0" w:color="auto"/>
              <w:right w:val="dotDash" w:sz="4" w:space="0" w:color="auto"/>
            </w:tcBorders>
            <w:shd w:val="clear" w:color="auto" w:fill="auto"/>
            <w:noWrap/>
            <w:hideMark/>
          </w:tcPr>
          <w:p w:rsidR="0087626E" w:rsidRPr="00C860A7" w:rsidRDefault="0087626E" w:rsidP="004B2CE5">
            <w:pPr>
              <w:rPr>
                <w:szCs w:val="24"/>
                <w:lang w:eastAsia="en-GB"/>
              </w:rPr>
            </w:pPr>
            <w:r w:rsidRPr="00C860A7">
              <w:rPr>
                <w:szCs w:val="24"/>
                <w:lang w:eastAsia="en-GB"/>
              </w:rPr>
              <w:t>Operating procedures (6)</w:t>
            </w:r>
          </w:p>
        </w:tc>
        <w:tc>
          <w:tcPr>
            <w:tcW w:w="10627" w:type="dxa"/>
            <w:tcBorders>
              <w:top w:val="dotDash" w:sz="4" w:space="0" w:color="auto"/>
              <w:left w:val="dotDash" w:sz="4" w:space="0" w:color="auto"/>
            </w:tcBorders>
            <w:shd w:val="clear" w:color="auto" w:fill="auto"/>
            <w:noWrap/>
            <w:hideMark/>
          </w:tcPr>
          <w:p w:rsidR="0087626E" w:rsidRPr="00C860A7" w:rsidRDefault="0087626E" w:rsidP="0087626E">
            <w:pPr>
              <w:numPr>
                <w:ilvl w:val="0"/>
                <w:numId w:val="1"/>
              </w:numPr>
              <w:spacing w:after="0" w:line="480" w:lineRule="auto"/>
              <w:ind w:left="317" w:hanging="142"/>
              <w:rPr>
                <w:szCs w:val="24"/>
              </w:rPr>
            </w:pPr>
            <w:r w:rsidRPr="00C860A7">
              <w:rPr>
                <w:szCs w:val="24"/>
              </w:rPr>
              <w:t xml:space="preserve">Jazia PVS has standard operating procedures guiding the process and the purchase of medicines from the prime vendor when these are either out of stock, in short supply, or not stocked by medical store department.  </w:t>
            </w:r>
          </w:p>
          <w:p w:rsidR="0087626E" w:rsidRPr="00C860A7" w:rsidRDefault="0087626E" w:rsidP="0087626E">
            <w:pPr>
              <w:numPr>
                <w:ilvl w:val="0"/>
                <w:numId w:val="3"/>
              </w:numPr>
              <w:spacing w:after="0" w:line="480" w:lineRule="auto"/>
              <w:rPr>
                <w:szCs w:val="24"/>
              </w:rPr>
            </w:pPr>
            <w:r w:rsidRPr="00C860A7">
              <w:rPr>
                <w:szCs w:val="24"/>
              </w:rPr>
              <w:t>In each quarter health facility staff order commodities from CMS, upon delivery of the order, a list of missing items has to be presented to the facility. In turn, facilities review the list of missing items and prepare commodities (quantification) to be purchased from a prime vendor, conditioned on available funds at the facility bank account.</w:t>
            </w:r>
          </w:p>
          <w:p w:rsidR="0087626E" w:rsidRPr="00C860A7" w:rsidRDefault="0087626E" w:rsidP="0087626E">
            <w:pPr>
              <w:numPr>
                <w:ilvl w:val="0"/>
                <w:numId w:val="3"/>
              </w:numPr>
              <w:spacing w:after="0" w:line="480" w:lineRule="auto"/>
              <w:rPr>
                <w:szCs w:val="24"/>
              </w:rPr>
            </w:pPr>
            <w:r w:rsidRPr="00C860A7">
              <w:rPr>
                <w:szCs w:val="24"/>
              </w:rPr>
              <w:t>The order is shared with the district pharmacist, who consolidates the lists from other facilities and then forwards the consolidated order(s) to the vendor.</w:t>
            </w:r>
          </w:p>
          <w:p w:rsidR="0087626E" w:rsidRPr="00C860A7" w:rsidRDefault="0087626E" w:rsidP="0087626E">
            <w:pPr>
              <w:numPr>
                <w:ilvl w:val="0"/>
                <w:numId w:val="3"/>
              </w:numPr>
              <w:spacing w:after="0" w:line="480" w:lineRule="auto"/>
              <w:rPr>
                <w:szCs w:val="24"/>
              </w:rPr>
            </w:pPr>
            <w:r w:rsidRPr="00C860A7">
              <w:rPr>
                <w:szCs w:val="24"/>
              </w:rPr>
              <w:t xml:space="preserve">The prime vendor delivers the consignments at the district‘s headquarters, for inspection by district pharmacists and members of council health management team (CHMT). </w:t>
            </w:r>
          </w:p>
          <w:p w:rsidR="0087626E" w:rsidRPr="00C860A7" w:rsidRDefault="0087626E" w:rsidP="0087626E">
            <w:pPr>
              <w:numPr>
                <w:ilvl w:val="0"/>
                <w:numId w:val="3"/>
              </w:numPr>
              <w:spacing w:after="0" w:line="480" w:lineRule="auto"/>
              <w:rPr>
                <w:szCs w:val="24"/>
              </w:rPr>
            </w:pPr>
            <w:r w:rsidRPr="00C860A7">
              <w:rPr>
                <w:szCs w:val="24"/>
              </w:rPr>
              <w:lastRenderedPageBreak/>
              <w:t xml:space="preserve">Each facility is informed to come and collect its consignment at the district level. At the </w:t>
            </w:r>
            <w:r w:rsidRPr="00C860A7">
              <w:rPr>
                <w:noProof/>
                <w:szCs w:val="24"/>
              </w:rPr>
              <w:t>facility,</w:t>
            </w:r>
            <w:r w:rsidRPr="00C860A7">
              <w:rPr>
                <w:szCs w:val="24"/>
              </w:rPr>
              <w:t xml:space="preserve"> consignment is then being inspected by the health facility governing committee (HFGC) </w:t>
            </w:r>
          </w:p>
          <w:p w:rsidR="0087626E" w:rsidRPr="00C860A7" w:rsidRDefault="0087626E" w:rsidP="0087626E">
            <w:pPr>
              <w:numPr>
                <w:ilvl w:val="0"/>
                <w:numId w:val="3"/>
              </w:numPr>
              <w:spacing w:after="0" w:line="480" w:lineRule="auto"/>
              <w:rPr>
                <w:szCs w:val="24"/>
              </w:rPr>
            </w:pPr>
            <w:r w:rsidRPr="00C860A7">
              <w:rPr>
                <w:noProof/>
                <w:szCs w:val="24"/>
              </w:rPr>
              <w:t>The facility</w:t>
            </w:r>
            <w:r w:rsidRPr="00C860A7">
              <w:rPr>
                <w:szCs w:val="24"/>
              </w:rPr>
              <w:t xml:space="preserve"> in charge and the committee issues a cheque to pay the vendor, it is reviewed by district executive director (DED) or the district medical office (DMO), before being deposited into the vendor’s bank account. </w:t>
            </w:r>
          </w:p>
          <w:p w:rsidR="0087626E" w:rsidRPr="00C860A7" w:rsidRDefault="0087626E" w:rsidP="0087626E">
            <w:pPr>
              <w:numPr>
                <w:ilvl w:val="0"/>
                <w:numId w:val="3"/>
              </w:numPr>
              <w:spacing w:after="0" w:line="480" w:lineRule="auto"/>
              <w:rPr>
                <w:szCs w:val="24"/>
              </w:rPr>
            </w:pPr>
            <w:r w:rsidRPr="00C860A7">
              <w:rPr>
                <w:szCs w:val="24"/>
              </w:rPr>
              <w:t xml:space="preserve"> All communications for the procurement, problems with the consignment and related issues are </w:t>
            </w:r>
            <w:r w:rsidRPr="00C860A7">
              <w:rPr>
                <w:noProof/>
                <w:szCs w:val="24"/>
              </w:rPr>
              <w:t>directed</w:t>
            </w:r>
            <w:r w:rsidRPr="00C860A7">
              <w:rPr>
                <w:szCs w:val="24"/>
              </w:rPr>
              <w:t xml:space="preserve"> to the district pharmacists (</w:t>
            </w:r>
            <w:proofErr w:type="spellStart"/>
            <w:r w:rsidRPr="00C860A7">
              <w:rPr>
                <w:szCs w:val="24"/>
              </w:rPr>
              <w:t>DPharm</w:t>
            </w:r>
            <w:proofErr w:type="spellEnd"/>
            <w:r w:rsidRPr="00C860A7">
              <w:rPr>
                <w:szCs w:val="24"/>
              </w:rPr>
              <w:t xml:space="preserve">). </w:t>
            </w:r>
            <w:proofErr w:type="spellStart"/>
            <w:r w:rsidRPr="00C860A7">
              <w:rPr>
                <w:szCs w:val="24"/>
              </w:rPr>
              <w:t>DPharm</w:t>
            </w:r>
            <w:proofErr w:type="spellEnd"/>
            <w:r w:rsidRPr="00C860A7">
              <w:rPr>
                <w:szCs w:val="24"/>
              </w:rPr>
              <w:t xml:space="preserve"> is responsible in all communication with the </w:t>
            </w:r>
            <w:r w:rsidRPr="00C860A7">
              <w:rPr>
                <w:noProof/>
                <w:szCs w:val="24"/>
              </w:rPr>
              <w:t>vendor</w:t>
            </w:r>
            <w:r w:rsidRPr="00C860A7">
              <w:rPr>
                <w:szCs w:val="24"/>
              </w:rPr>
              <w:t xml:space="preserve"> and is answerable to the CHMT, technical committee and tender board. In the process of </w:t>
            </w:r>
            <w:r w:rsidRPr="00C860A7">
              <w:rPr>
                <w:noProof/>
                <w:szCs w:val="24"/>
              </w:rPr>
              <w:t>communication,</w:t>
            </w:r>
            <w:r w:rsidRPr="00C860A7">
              <w:rPr>
                <w:szCs w:val="24"/>
              </w:rPr>
              <w:t xml:space="preserve"> </w:t>
            </w:r>
            <w:proofErr w:type="spellStart"/>
            <w:r w:rsidRPr="00C860A7">
              <w:rPr>
                <w:szCs w:val="24"/>
              </w:rPr>
              <w:t>DPharm</w:t>
            </w:r>
            <w:proofErr w:type="spellEnd"/>
            <w:r w:rsidRPr="00C860A7">
              <w:rPr>
                <w:szCs w:val="24"/>
              </w:rPr>
              <w:t xml:space="preserve"> has to inform the regional Jazia PVS coordination office. </w:t>
            </w:r>
          </w:p>
        </w:tc>
      </w:tr>
    </w:tbl>
    <w:p w:rsidR="0087626E" w:rsidRPr="0004395B" w:rsidRDefault="0087626E" w:rsidP="0087626E"/>
    <w:p w:rsidR="0087626E" w:rsidRDefault="0087626E"/>
    <w:p w:rsidR="0087626E" w:rsidRDefault="0087626E"/>
    <w:sectPr w:rsidR="0087626E" w:rsidSect="004E39A2">
      <w:footerReference w:type="default" r:id="rId8"/>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E05" w:rsidRDefault="006A7E05" w:rsidP="00336324">
      <w:pPr>
        <w:spacing w:after="0" w:line="240" w:lineRule="auto"/>
      </w:pPr>
      <w:r>
        <w:separator/>
      </w:r>
    </w:p>
  </w:endnote>
  <w:endnote w:type="continuationSeparator" w:id="0">
    <w:p w:rsidR="006A7E05" w:rsidRDefault="006A7E05" w:rsidP="0033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Regular">
    <w:panose1 w:val="00000000000000000000"/>
    <w:charset w:val="00"/>
    <w:family w:val="swiss"/>
    <w:notTrueType/>
    <w:pitch w:val="default"/>
    <w:sig w:usb0="00000003" w:usb1="00000000" w:usb2="00000000" w:usb3="00000000" w:csb0="00000001" w:csb1="00000000"/>
  </w:font>
  <w:font w:name="Lato-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9171978"/>
      <w:docPartObj>
        <w:docPartGallery w:val="Page Numbers (Bottom of Page)"/>
        <w:docPartUnique/>
      </w:docPartObj>
    </w:sdtPr>
    <w:sdtEndPr>
      <w:rPr>
        <w:noProof/>
      </w:rPr>
    </w:sdtEndPr>
    <w:sdtContent>
      <w:p w:rsidR="00336324" w:rsidRDefault="00336324">
        <w:pPr>
          <w:pStyle w:val="Footer"/>
          <w:jc w:val="center"/>
        </w:pPr>
        <w:r>
          <w:fldChar w:fldCharType="begin"/>
        </w:r>
        <w:r>
          <w:instrText xml:space="preserve"> PAGE   \* MERGEFORMAT </w:instrText>
        </w:r>
        <w:r>
          <w:fldChar w:fldCharType="separate"/>
        </w:r>
        <w:r w:rsidR="00BC6427">
          <w:rPr>
            <w:noProof/>
          </w:rPr>
          <w:t>6</w:t>
        </w:r>
        <w:r>
          <w:rPr>
            <w:noProof/>
          </w:rPr>
          <w:fldChar w:fldCharType="end"/>
        </w:r>
      </w:p>
    </w:sdtContent>
  </w:sdt>
  <w:p w:rsidR="00336324" w:rsidRDefault="00336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E05" w:rsidRDefault="006A7E05" w:rsidP="00336324">
      <w:pPr>
        <w:spacing w:after="0" w:line="240" w:lineRule="auto"/>
      </w:pPr>
      <w:r>
        <w:separator/>
      </w:r>
    </w:p>
  </w:footnote>
  <w:footnote w:type="continuationSeparator" w:id="0">
    <w:p w:rsidR="006A7E05" w:rsidRDefault="006A7E05" w:rsidP="00336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111FE"/>
    <w:multiLevelType w:val="hybridMultilevel"/>
    <w:tmpl w:val="F218219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E05A4C"/>
    <w:multiLevelType w:val="hybridMultilevel"/>
    <w:tmpl w:val="A5369EE8"/>
    <w:lvl w:ilvl="0" w:tplc="42EE31E6">
      <w:start w:val="1"/>
      <w:numFmt w:val="decimal"/>
      <w:lvlText w:val="%1."/>
      <w:lvlJc w:val="left"/>
      <w:pPr>
        <w:ind w:left="677" w:hanging="360"/>
      </w:pPr>
      <w:rPr>
        <w:rFonts w:hint="default"/>
      </w:rPr>
    </w:lvl>
    <w:lvl w:ilvl="1" w:tplc="08090019" w:tentative="1">
      <w:start w:val="1"/>
      <w:numFmt w:val="lowerLetter"/>
      <w:lvlText w:val="%2."/>
      <w:lvlJc w:val="left"/>
      <w:pPr>
        <w:ind w:left="1397" w:hanging="360"/>
      </w:pPr>
    </w:lvl>
    <w:lvl w:ilvl="2" w:tplc="0809001B" w:tentative="1">
      <w:start w:val="1"/>
      <w:numFmt w:val="lowerRoman"/>
      <w:lvlText w:val="%3."/>
      <w:lvlJc w:val="right"/>
      <w:pPr>
        <w:ind w:left="2117" w:hanging="180"/>
      </w:pPr>
    </w:lvl>
    <w:lvl w:ilvl="3" w:tplc="0809000F" w:tentative="1">
      <w:start w:val="1"/>
      <w:numFmt w:val="decimal"/>
      <w:lvlText w:val="%4."/>
      <w:lvlJc w:val="left"/>
      <w:pPr>
        <w:ind w:left="2837" w:hanging="360"/>
      </w:pPr>
    </w:lvl>
    <w:lvl w:ilvl="4" w:tplc="08090019" w:tentative="1">
      <w:start w:val="1"/>
      <w:numFmt w:val="lowerLetter"/>
      <w:lvlText w:val="%5."/>
      <w:lvlJc w:val="left"/>
      <w:pPr>
        <w:ind w:left="3557" w:hanging="360"/>
      </w:pPr>
    </w:lvl>
    <w:lvl w:ilvl="5" w:tplc="0809001B" w:tentative="1">
      <w:start w:val="1"/>
      <w:numFmt w:val="lowerRoman"/>
      <w:lvlText w:val="%6."/>
      <w:lvlJc w:val="right"/>
      <w:pPr>
        <w:ind w:left="4277" w:hanging="180"/>
      </w:pPr>
    </w:lvl>
    <w:lvl w:ilvl="6" w:tplc="0809000F" w:tentative="1">
      <w:start w:val="1"/>
      <w:numFmt w:val="decimal"/>
      <w:lvlText w:val="%7."/>
      <w:lvlJc w:val="left"/>
      <w:pPr>
        <w:ind w:left="4997" w:hanging="360"/>
      </w:pPr>
    </w:lvl>
    <w:lvl w:ilvl="7" w:tplc="08090019" w:tentative="1">
      <w:start w:val="1"/>
      <w:numFmt w:val="lowerLetter"/>
      <w:lvlText w:val="%8."/>
      <w:lvlJc w:val="left"/>
      <w:pPr>
        <w:ind w:left="5717" w:hanging="360"/>
      </w:pPr>
    </w:lvl>
    <w:lvl w:ilvl="8" w:tplc="0809001B" w:tentative="1">
      <w:start w:val="1"/>
      <w:numFmt w:val="lowerRoman"/>
      <w:lvlText w:val="%9."/>
      <w:lvlJc w:val="right"/>
      <w:pPr>
        <w:ind w:left="6437" w:hanging="180"/>
      </w:pPr>
    </w:lvl>
  </w:abstractNum>
  <w:abstractNum w:abstractNumId="2">
    <w:nsid w:val="310C59B7"/>
    <w:multiLevelType w:val="hybridMultilevel"/>
    <w:tmpl w:val="0E2E493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E33139E"/>
    <w:multiLevelType w:val="hybridMultilevel"/>
    <w:tmpl w:val="A790B0A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cwsjQxA1IGxobGBko6SsGpxcWZ+XkgBSa1AIBPFZEsAAAA"/>
    <w:docVar w:name="Total_Editing_Time" w:val="12"/>
  </w:docVars>
  <w:rsids>
    <w:rsidRoot w:val="0048249F"/>
    <w:rsid w:val="00091186"/>
    <w:rsid w:val="00336324"/>
    <w:rsid w:val="0048249F"/>
    <w:rsid w:val="004E39A2"/>
    <w:rsid w:val="006A7E05"/>
    <w:rsid w:val="0087626E"/>
    <w:rsid w:val="00A374D5"/>
    <w:rsid w:val="00A56855"/>
    <w:rsid w:val="00BC6427"/>
    <w:rsid w:val="00E40E82"/>
    <w:rsid w:val="00E7141A"/>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9F"/>
    <w:pPr>
      <w:spacing w:after="200" w:line="360" w:lineRule="auto"/>
    </w:pPr>
    <w:rPr>
      <w:rFonts w:ascii="Cambria" w:hAnsi="Cambria"/>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48249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363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6324"/>
    <w:rPr>
      <w:rFonts w:ascii="Cambria" w:hAnsi="Cambria"/>
      <w:sz w:val="24"/>
      <w:lang w:val="en-GB"/>
    </w:rPr>
  </w:style>
  <w:style w:type="paragraph" w:styleId="Footer">
    <w:name w:val="footer"/>
    <w:basedOn w:val="Normal"/>
    <w:link w:val="FooterChar"/>
    <w:uiPriority w:val="99"/>
    <w:unhideWhenUsed/>
    <w:rsid w:val="003363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6324"/>
    <w:rPr>
      <w:rFonts w:ascii="Cambria" w:hAnsi="Cambria"/>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49F"/>
    <w:pPr>
      <w:spacing w:after="200" w:line="360" w:lineRule="auto"/>
    </w:pPr>
    <w:rPr>
      <w:rFonts w:ascii="Cambria" w:hAnsi="Cambria"/>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
    <w:name w:val="Light Shading"/>
    <w:basedOn w:val="TableNormal"/>
    <w:uiPriority w:val="60"/>
    <w:rsid w:val="0048249F"/>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36324"/>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6324"/>
    <w:rPr>
      <w:rFonts w:ascii="Cambria" w:hAnsi="Cambria"/>
      <w:sz w:val="24"/>
      <w:lang w:val="en-GB"/>
    </w:rPr>
  </w:style>
  <w:style w:type="paragraph" w:styleId="Footer">
    <w:name w:val="footer"/>
    <w:basedOn w:val="Normal"/>
    <w:link w:val="FooterChar"/>
    <w:uiPriority w:val="99"/>
    <w:unhideWhenUsed/>
    <w:rsid w:val="00336324"/>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6324"/>
    <w:rPr>
      <w:rFonts w:ascii="Cambria" w:hAnsi="Cambr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1109</Words>
  <Characters>6313</Characters>
  <Application>Microsoft Office Word</Application>
  <DocSecurity>0</DocSecurity>
  <Lines>300</Lines>
  <Paragraphs>157</Paragraphs>
  <ScaleCrop>false</ScaleCrop>
  <Company/>
  <LinksUpToDate>false</LinksUpToDate>
  <CharactersWithSpaces>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 Joachim</dc:creator>
  <cp:keywords/>
  <dc:description/>
  <cp:lastModifiedBy>S3G_Reference_Citation_Sequence</cp:lastModifiedBy>
  <cp:revision>9</cp:revision>
  <dcterms:created xsi:type="dcterms:W3CDTF">2019-11-10T03:17:00Z</dcterms:created>
  <dcterms:modified xsi:type="dcterms:W3CDTF">2020-05-14T08:27:00Z</dcterms:modified>
</cp:coreProperties>
</file>