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EC" w:rsidRPr="008C224A" w:rsidRDefault="000E3FEC" w:rsidP="000E3FE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24A">
        <w:rPr>
          <w:rFonts w:ascii="Times New Roman" w:hAnsi="Times New Roman" w:cs="Times New Roman"/>
          <w:b/>
          <w:sz w:val="24"/>
          <w:szCs w:val="24"/>
        </w:rPr>
        <w:t>1.</w:t>
      </w:r>
      <w:proofErr w:type="gramEnd"/>
      <w:r w:rsidRPr="008C224A">
        <w:rPr>
          <w:rFonts w:ascii="Times New Roman" w:hAnsi="Times New Roman" w:cs="Times New Roman"/>
          <w:b/>
          <w:sz w:val="24"/>
          <w:szCs w:val="24"/>
        </w:rPr>
        <w:t xml:space="preserve"> Resolution of differences between the Ugandan EML and NDR</w:t>
      </w: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3652"/>
        <w:gridCol w:w="5245"/>
      </w:tblGrid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b/>
                <w:sz w:val="16"/>
                <w:szCs w:val="16"/>
              </w:rPr>
              <w:t>Differences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b/>
                <w:sz w:val="16"/>
                <w:szCs w:val="16"/>
              </w:rPr>
              <w:t>Solution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jc w:val="both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Typos in the medicine name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The EML and NDR list were checked by at least two researchers to ensure that we did not miss any relevant products and their manufacturers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jc w:val="both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Different strength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 xml:space="preserve">The strength on the EML is higher than on the NDR and use of multiple doses equals to strength recommended by the EML-&gt; list the product available on the NDR with a note about the licensed strength </w:t>
            </w:r>
          </w:p>
          <w:p w:rsidR="000E3FEC" w:rsidRPr="005E42F0" w:rsidRDefault="000E3FEC" w:rsidP="00D640CF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The strength on the EML is lower than on the NDR -&gt; no registered product corresponding to the essential medicine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Tablet vs. capsule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Although the tablet and capsule formulation are pharmacologically different we assumed that they can be used interchangeably in practice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Tablet vs. uncoated tablet vs. tablet FC (film coated)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Can be used interchangeably in practice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Injection vs. infusion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Not the same and cannot be used interchangeably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Solution vs. cream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Not the same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Injection vs. powder for injection vs. solution for injection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Considered to be interchangeable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Powder for injection vs. lyophilized injection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The same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>Suspension vs. syrup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Decided on case by case basis</w:t>
            </w:r>
          </w:p>
        </w:tc>
      </w:tr>
      <w:tr w:rsidR="000E3FEC" w:rsidRPr="005E42F0" w:rsidTr="00D640C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pStyle w:val="ListParagraph"/>
              <w:numPr>
                <w:ilvl w:val="0"/>
                <w:numId w:val="1"/>
              </w:numPr>
              <w:suppressAutoHyphens/>
              <w:spacing w:line="100" w:lineRule="atLeast"/>
              <w:contextualSpacing w:val="0"/>
              <w:rPr>
                <w:sz w:val="16"/>
                <w:szCs w:val="16"/>
              </w:rPr>
            </w:pPr>
            <w:r w:rsidRPr="005E42F0">
              <w:rPr>
                <w:sz w:val="16"/>
                <w:szCs w:val="16"/>
              </w:rPr>
              <w:t xml:space="preserve">Medicine salts </w:t>
            </w:r>
          </w:p>
          <w:p w:rsidR="000E3FEC" w:rsidRPr="005E42F0" w:rsidRDefault="000E3FEC" w:rsidP="00D640CF">
            <w:pPr>
              <w:pStyle w:val="ListParagraph"/>
              <w:spacing w:line="100" w:lineRule="atLeast"/>
              <w:ind w:left="0"/>
              <w:rPr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Decided on case by case basis</w:t>
            </w:r>
          </w:p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>If the exact INN/dosage form/strength available -&gt; excluded salts</w:t>
            </w:r>
          </w:p>
          <w:p w:rsidR="000E3FEC" w:rsidRPr="005E42F0" w:rsidRDefault="000E3FEC" w:rsidP="00D640CF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E42F0">
              <w:rPr>
                <w:rFonts w:ascii="Times New Roman" w:hAnsi="Times New Roman" w:cs="Times New Roman"/>
                <w:sz w:val="16"/>
                <w:szCs w:val="16"/>
              </w:rPr>
              <w:t xml:space="preserve">If the exact INN/dosage form/strength not available &gt; recorded available salt products </w:t>
            </w:r>
          </w:p>
        </w:tc>
      </w:tr>
    </w:tbl>
    <w:p w:rsidR="003C293A" w:rsidRDefault="003C293A"/>
    <w:sectPr w:rsidR="003C2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EC"/>
    <w:rsid w:val="000E3FEC"/>
    <w:rsid w:val="003C293A"/>
    <w:rsid w:val="0080452B"/>
    <w:rsid w:val="00E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1174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2020-06-03T09:28:00Z</dcterms:created>
  <dcterms:modified xsi:type="dcterms:W3CDTF">2020-06-03T09:29:00Z</dcterms:modified>
</cp:coreProperties>
</file>