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2F9B01" w14:textId="1DE57FA9" w:rsidR="007D183F" w:rsidRPr="007540B0" w:rsidRDefault="007D183F" w:rsidP="005A1C2A">
      <w:pPr>
        <w:spacing w:after="0" w:line="240" w:lineRule="auto"/>
        <w:jc w:val="center"/>
        <w:rPr>
          <w:rFonts w:ascii="Times New Roman" w:eastAsia="Times New Roman" w:hAnsi="Times New Roman" w:cs="Times New Roman"/>
          <w:color w:val="000000" w:themeColor="text1"/>
          <w:sz w:val="24"/>
          <w:szCs w:val="24"/>
        </w:rPr>
      </w:pPr>
      <w:r w:rsidRPr="00047616">
        <w:rPr>
          <w:rFonts w:ascii="Times New Roman" w:eastAsia="Times New Roman" w:hAnsi="Times New Roman" w:cs="Times New Roman"/>
          <w:b/>
          <w:bCs/>
          <w:color w:val="000000" w:themeColor="text1"/>
          <w:sz w:val="24"/>
          <w:szCs w:val="24"/>
        </w:rPr>
        <w:t>Additional file 2.</w:t>
      </w:r>
      <w:r w:rsidRPr="007540B0">
        <w:rPr>
          <w:rFonts w:ascii="Times New Roman" w:eastAsia="Times New Roman" w:hAnsi="Times New Roman" w:cs="Times New Roman"/>
          <w:color w:val="000000" w:themeColor="text1"/>
          <w:sz w:val="24"/>
          <w:szCs w:val="24"/>
        </w:rPr>
        <w:t xml:space="preserve"> </w:t>
      </w:r>
      <w:r w:rsidR="00784B39">
        <w:rPr>
          <w:rFonts w:ascii="Times New Roman" w:eastAsia="Times New Roman" w:hAnsi="Times New Roman" w:cs="Times New Roman"/>
          <w:color w:val="000000" w:themeColor="text1"/>
          <w:sz w:val="24"/>
          <w:szCs w:val="24"/>
        </w:rPr>
        <w:t>Secondary o</w:t>
      </w:r>
      <w:r w:rsidRPr="007540B0">
        <w:rPr>
          <w:rFonts w:ascii="Times New Roman" w:eastAsia="Times New Roman" w:hAnsi="Times New Roman" w:cs="Times New Roman"/>
          <w:color w:val="000000" w:themeColor="text1"/>
          <w:sz w:val="24"/>
          <w:szCs w:val="24"/>
        </w:rPr>
        <w:t>utcome measurement details</w:t>
      </w:r>
    </w:p>
    <w:p w14:paraId="63A51D51" w14:textId="740B1669" w:rsidR="005A1C2A" w:rsidRPr="007540B0" w:rsidRDefault="005A1C2A" w:rsidP="005A1C2A">
      <w:pPr>
        <w:spacing w:after="0" w:line="240" w:lineRule="auto"/>
        <w:jc w:val="center"/>
        <w:rPr>
          <w:rFonts w:ascii="Times New Roman" w:eastAsia="Times New Roman" w:hAnsi="Times New Roman" w:cs="Times New Roman"/>
          <w:color w:val="000000" w:themeColor="text1"/>
          <w:sz w:val="24"/>
          <w:szCs w:val="24"/>
        </w:rPr>
      </w:pPr>
    </w:p>
    <w:p w14:paraId="67D3FA27" w14:textId="67888BF9" w:rsidR="0067446B" w:rsidRPr="0067446B" w:rsidRDefault="0067446B" w:rsidP="0067446B">
      <w:pPr>
        <w:pStyle w:val="ListParagraph"/>
        <w:numPr>
          <w:ilvl w:val="0"/>
          <w:numId w:val="3"/>
        </w:numPr>
        <w:ind w:left="284" w:hanging="284"/>
        <w:jc w:val="both"/>
        <w:rPr>
          <w:color w:val="000000" w:themeColor="text1"/>
        </w:rPr>
      </w:pPr>
      <w:r w:rsidRPr="0067446B">
        <w:rPr>
          <w:color w:val="000000" w:themeColor="text1"/>
        </w:rPr>
        <w:t>Number of medication-related problems [1]</w:t>
      </w:r>
    </w:p>
    <w:p w14:paraId="25712EA6" w14:textId="4F655F09" w:rsidR="005A1C2A" w:rsidRPr="0067446B" w:rsidRDefault="005A1C2A" w:rsidP="0067446B">
      <w:pPr>
        <w:spacing w:after="0" w:line="240" w:lineRule="auto"/>
        <w:jc w:val="both"/>
        <w:rPr>
          <w:rFonts w:ascii="Times New Roman" w:hAnsi="Times New Roman" w:cs="Times New Roman"/>
          <w:color w:val="000000" w:themeColor="text1"/>
          <w:sz w:val="24"/>
          <w:szCs w:val="24"/>
        </w:rPr>
      </w:pPr>
      <w:r w:rsidRPr="0067446B">
        <w:rPr>
          <w:rFonts w:ascii="Times New Roman" w:hAnsi="Times New Roman" w:cs="Times New Roman"/>
          <w:color w:val="000000" w:themeColor="text1"/>
          <w:sz w:val="24"/>
          <w:szCs w:val="24"/>
        </w:rPr>
        <w:t>The validated MRP classification system includes six main categories, nine subcategories and 27 assessments.  The six categories are indication, effectiveness, safety, knowledge, adherence and miscellaneous. The indication category has two subcategories which are: unnecessary drug therapy and untreated condition, while effectiveness and safety categories have four subcategories: ineffective/incomplete drug therapy, inappropriate dose regimen, actual or potential adverse drug reaction and actual or potential clinically important drug interaction. Knowledge, adherence and miscellaneous categories have no subcategories, and are simply classified as inappropriate knowledge, inappropriate adherence and miscellaneous. This system has shown good reproducibility and inter-rater agreement [1].</w:t>
      </w:r>
    </w:p>
    <w:p w14:paraId="7EFBAF49" w14:textId="77777777" w:rsidR="0067446B" w:rsidRPr="0067446B" w:rsidRDefault="0067446B" w:rsidP="0067446B">
      <w:pPr>
        <w:spacing w:after="0" w:line="240" w:lineRule="auto"/>
        <w:jc w:val="both"/>
        <w:rPr>
          <w:rFonts w:ascii="Times New Roman" w:hAnsi="Times New Roman" w:cs="Times New Roman"/>
          <w:color w:val="000000" w:themeColor="text1"/>
          <w:sz w:val="24"/>
          <w:szCs w:val="24"/>
        </w:rPr>
      </w:pPr>
    </w:p>
    <w:p w14:paraId="035AF56A" w14:textId="5CE854A9" w:rsidR="005A1C2A" w:rsidRPr="0067446B" w:rsidRDefault="005A1C2A" w:rsidP="0067446B">
      <w:pPr>
        <w:pStyle w:val="ListParagraph"/>
        <w:numPr>
          <w:ilvl w:val="0"/>
          <w:numId w:val="3"/>
        </w:numPr>
        <w:ind w:left="284" w:hanging="284"/>
        <w:jc w:val="both"/>
        <w:rPr>
          <w:color w:val="000000" w:themeColor="text1"/>
        </w:rPr>
      </w:pPr>
      <w:r w:rsidRPr="0067446B">
        <w:rPr>
          <w:color w:val="000000" w:themeColor="text1"/>
        </w:rPr>
        <w:t>Medication appropriateness index (MAI) score</w:t>
      </w:r>
      <w:r w:rsidR="0067446B" w:rsidRPr="0067446B">
        <w:rPr>
          <w:color w:val="000000" w:themeColor="text1"/>
        </w:rPr>
        <w:t xml:space="preserve"> [2]</w:t>
      </w:r>
    </w:p>
    <w:p w14:paraId="53859303" w14:textId="31CDDC75" w:rsidR="005A1C2A" w:rsidRPr="0067446B" w:rsidRDefault="005A1C2A" w:rsidP="005A1C2A">
      <w:pPr>
        <w:spacing w:after="0" w:line="240" w:lineRule="auto"/>
        <w:jc w:val="both"/>
        <w:rPr>
          <w:rFonts w:ascii="Times New Roman" w:eastAsia="Times New Roman" w:hAnsi="Times New Roman" w:cs="Times New Roman"/>
          <w:color w:val="000000" w:themeColor="text1"/>
          <w:sz w:val="24"/>
          <w:szCs w:val="24"/>
        </w:rPr>
      </w:pPr>
      <w:r w:rsidRPr="0067446B">
        <w:rPr>
          <w:rFonts w:ascii="Times New Roman" w:hAnsi="Times New Roman" w:cs="Times New Roman"/>
          <w:color w:val="000000" w:themeColor="text1"/>
          <w:sz w:val="24"/>
          <w:szCs w:val="24"/>
        </w:rPr>
        <w:t>The MAI is the most commonly used implicit tool to quantify prescribing appropriateness and changes in quality of prescribing in intervention studies in clinical settings, including primary care</w:t>
      </w:r>
      <w:r w:rsidR="0067446B" w:rsidRPr="0067446B">
        <w:rPr>
          <w:rFonts w:ascii="Times New Roman" w:hAnsi="Times New Roman" w:cs="Times New Roman"/>
          <w:color w:val="000000" w:themeColor="text1"/>
          <w:sz w:val="24"/>
          <w:szCs w:val="24"/>
        </w:rPr>
        <w:t xml:space="preserve"> [3]</w:t>
      </w:r>
      <w:r w:rsidRPr="0067446B">
        <w:rPr>
          <w:rFonts w:ascii="Times New Roman" w:hAnsi="Times New Roman" w:cs="Times New Roman"/>
          <w:color w:val="000000" w:themeColor="text1"/>
          <w:sz w:val="24"/>
          <w:szCs w:val="24"/>
        </w:rPr>
        <w:t>. It can be applied to all prescribed medications through scoring of ten explicit weighted criteria: indication, effectiveness, dosage, correct directions, practical directions, drug-drug interactions, drug-disease interactions, duplication, duration of treatment and cost. Indication and effectiveness are triple weighted; dosage, correct directions, drug–drug interactions, or drug–disease interactions are double weighted; and practical directions, duplication, duration of treatment and cost are single weighted. MAI scores per drug</w:t>
      </w:r>
      <w:r w:rsidRPr="0067446B">
        <w:rPr>
          <w:rFonts w:ascii="Times New Roman" w:eastAsia="Times New Roman" w:hAnsi="Times New Roman" w:cs="Times New Roman"/>
          <w:color w:val="000000" w:themeColor="text1"/>
          <w:sz w:val="24"/>
          <w:szCs w:val="24"/>
        </w:rPr>
        <w:t xml:space="preserve"> range from 0 to 18 where a score of 0 indicates </w:t>
      </w:r>
      <w:r w:rsidRPr="0067446B">
        <w:rPr>
          <w:rFonts w:ascii="Times New Roman" w:hAnsi="Times New Roman" w:cs="Times New Roman"/>
          <w:color w:val="000000" w:themeColor="text1"/>
          <w:sz w:val="24"/>
          <w:szCs w:val="24"/>
        </w:rPr>
        <w:t>completely appropriate and 18 indicates completely inappropriate prescribing</w:t>
      </w:r>
      <w:r w:rsidRPr="0067446B">
        <w:rPr>
          <w:rFonts w:ascii="Times New Roman" w:eastAsia="Times New Roman" w:hAnsi="Times New Roman" w:cs="Times New Roman"/>
          <w:color w:val="000000" w:themeColor="text1"/>
          <w:sz w:val="24"/>
          <w:szCs w:val="24"/>
        </w:rPr>
        <w:t xml:space="preserve">. Summing of MAI scores per drug for the whole regimen received by an individual patient provides an overall </w:t>
      </w:r>
      <w:r w:rsidRPr="0067446B">
        <w:rPr>
          <w:rFonts w:ascii="Times New Roman" w:hAnsi="Times New Roman" w:cs="Times New Roman"/>
          <w:color w:val="000000" w:themeColor="text1"/>
          <w:sz w:val="24"/>
          <w:szCs w:val="24"/>
        </w:rPr>
        <w:t xml:space="preserve">MAI score per </w:t>
      </w:r>
      <w:r w:rsidRPr="0067446B">
        <w:rPr>
          <w:rFonts w:ascii="Times New Roman" w:eastAsia="Times New Roman" w:hAnsi="Times New Roman" w:cs="Times New Roman"/>
          <w:color w:val="000000" w:themeColor="text1"/>
          <w:sz w:val="24"/>
          <w:szCs w:val="24"/>
        </w:rPr>
        <w:t xml:space="preserve">patient </w:t>
      </w:r>
      <w:r w:rsidR="0067446B" w:rsidRPr="0067446B">
        <w:rPr>
          <w:rFonts w:ascii="Times New Roman" w:eastAsia="Times New Roman" w:hAnsi="Times New Roman" w:cs="Times New Roman"/>
          <w:color w:val="000000" w:themeColor="text1"/>
          <w:sz w:val="24"/>
          <w:szCs w:val="24"/>
        </w:rPr>
        <w:t>[4].</w:t>
      </w:r>
    </w:p>
    <w:p w14:paraId="4665BA13" w14:textId="1205A286" w:rsidR="005A1C2A" w:rsidRPr="0067446B" w:rsidRDefault="005A1C2A" w:rsidP="005A1C2A">
      <w:pPr>
        <w:spacing w:after="0" w:line="240" w:lineRule="auto"/>
        <w:jc w:val="both"/>
        <w:rPr>
          <w:rFonts w:ascii="Times New Roman" w:hAnsi="Times New Roman" w:cs="Times New Roman"/>
          <w:color w:val="000000" w:themeColor="text1"/>
          <w:sz w:val="24"/>
          <w:szCs w:val="24"/>
        </w:rPr>
      </w:pPr>
      <w:r w:rsidRPr="0067446B">
        <w:rPr>
          <w:rFonts w:ascii="Times New Roman" w:hAnsi="Times New Roman" w:cs="Times New Roman"/>
          <w:color w:val="000000" w:themeColor="text1"/>
          <w:sz w:val="24"/>
          <w:szCs w:val="24"/>
        </w:rPr>
        <w:t xml:space="preserve">MAI scoring is a time-consuming process, with approximately 10 minutes required per medication. MAI scoring in the present study was therefore carried out for a random sample of one third of the total sample of patients in each practice, in intervention and control patient groups, at baseline and at the end of the study </w:t>
      </w:r>
    </w:p>
    <w:p w14:paraId="7D38A18D" w14:textId="1DA8BD6B" w:rsidR="0067446B" w:rsidRPr="0067446B" w:rsidRDefault="0067446B" w:rsidP="0067446B">
      <w:pPr>
        <w:spacing w:after="0" w:line="240" w:lineRule="auto"/>
        <w:jc w:val="both"/>
        <w:rPr>
          <w:rFonts w:ascii="Times New Roman" w:hAnsi="Times New Roman" w:cs="Times New Roman"/>
          <w:color w:val="000000" w:themeColor="text1"/>
          <w:sz w:val="24"/>
          <w:szCs w:val="24"/>
        </w:rPr>
      </w:pPr>
      <w:r w:rsidRPr="0067446B">
        <w:rPr>
          <w:rFonts w:ascii="Times New Roman" w:hAnsi="Times New Roman" w:cs="Times New Roman"/>
          <w:color w:val="000000" w:themeColor="text1"/>
          <w:sz w:val="24"/>
          <w:szCs w:val="24"/>
        </w:rPr>
        <w:t>[2,3,4,5,6,7].</w:t>
      </w:r>
    </w:p>
    <w:p w14:paraId="6D778171" w14:textId="77777777" w:rsidR="0067446B" w:rsidRPr="0067446B" w:rsidRDefault="0067446B" w:rsidP="0067446B">
      <w:pPr>
        <w:spacing w:after="0" w:line="240" w:lineRule="auto"/>
        <w:jc w:val="both"/>
        <w:rPr>
          <w:rFonts w:ascii="Times New Roman" w:hAnsi="Times New Roman" w:cs="Times New Roman"/>
          <w:color w:val="000000" w:themeColor="text1"/>
          <w:sz w:val="24"/>
          <w:szCs w:val="24"/>
        </w:rPr>
      </w:pPr>
    </w:p>
    <w:p w14:paraId="47A03887" w14:textId="6FE87684" w:rsidR="005A1C2A" w:rsidRPr="0067446B" w:rsidRDefault="005A1C2A" w:rsidP="0067446B">
      <w:pPr>
        <w:pStyle w:val="ListParagraph"/>
        <w:numPr>
          <w:ilvl w:val="0"/>
          <w:numId w:val="3"/>
        </w:numPr>
        <w:ind w:left="284" w:hanging="284"/>
        <w:jc w:val="both"/>
        <w:rPr>
          <w:color w:val="000000" w:themeColor="text1"/>
        </w:rPr>
      </w:pPr>
      <w:r w:rsidRPr="0067446B">
        <w:rPr>
          <w:color w:val="000000" w:themeColor="text1"/>
        </w:rPr>
        <w:t xml:space="preserve">Medication adherence report scale (MARS) </w:t>
      </w:r>
      <w:r w:rsidR="0067446B" w:rsidRPr="0067446B">
        <w:rPr>
          <w:color w:val="000000" w:themeColor="text1"/>
        </w:rPr>
        <w:t>[8]</w:t>
      </w:r>
    </w:p>
    <w:p w14:paraId="68A573C6" w14:textId="4B8A9591" w:rsidR="005A1C2A" w:rsidRPr="0067446B" w:rsidRDefault="005A1C2A" w:rsidP="005A1C2A">
      <w:pPr>
        <w:tabs>
          <w:tab w:val="right" w:pos="5640"/>
        </w:tabs>
        <w:autoSpaceDE w:val="0"/>
        <w:autoSpaceDN w:val="0"/>
        <w:adjustRightInd w:val="0"/>
        <w:spacing w:after="0" w:line="240" w:lineRule="auto"/>
        <w:jc w:val="both"/>
        <w:rPr>
          <w:rFonts w:ascii="Times New Roman" w:hAnsi="Times New Roman" w:cs="Times New Roman"/>
          <w:color w:val="000000" w:themeColor="text1"/>
          <w:sz w:val="24"/>
          <w:szCs w:val="24"/>
        </w:rPr>
      </w:pPr>
      <w:r w:rsidRPr="0067446B">
        <w:rPr>
          <w:rFonts w:ascii="Times New Roman" w:hAnsi="Times New Roman" w:cs="Times New Roman"/>
          <w:color w:val="000000" w:themeColor="text1"/>
          <w:sz w:val="24"/>
          <w:szCs w:val="24"/>
        </w:rPr>
        <w:t>The MARS is a validated questionnaire that assesses self-reported adherence to prescribed medications through five statements. It is convenient to use, has good internal consistency and covers both unintentional (</w:t>
      </w:r>
      <w:r w:rsidRPr="0067446B">
        <w:rPr>
          <w:rFonts w:ascii="Times New Roman" w:hAnsi="Times New Roman" w:cs="Times New Roman"/>
          <w:i/>
          <w:iCs/>
          <w:color w:val="000000" w:themeColor="text1"/>
          <w:sz w:val="24"/>
          <w:szCs w:val="24"/>
        </w:rPr>
        <w:t>I forget to take them</w:t>
      </w:r>
      <w:r w:rsidRPr="0067446B">
        <w:rPr>
          <w:rFonts w:ascii="Times New Roman" w:hAnsi="Times New Roman" w:cs="Times New Roman"/>
          <w:iCs/>
          <w:color w:val="000000" w:themeColor="text1"/>
          <w:sz w:val="24"/>
          <w:szCs w:val="24"/>
        </w:rPr>
        <w:t>)</w:t>
      </w:r>
      <w:r w:rsidRPr="0067446B">
        <w:rPr>
          <w:rFonts w:ascii="Times New Roman" w:hAnsi="Times New Roman" w:cs="Times New Roman"/>
          <w:i/>
          <w:iCs/>
          <w:color w:val="000000" w:themeColor="text1"/>
          <w:sz w:val="24"/>
          <w:szCs w:val="24"/>
        </w:rPr>
        <w:t xml:space="preserve"> </w:t>
      </w:r>
      <w:r w:rsidRPr="0067446B">
        <w:rPr>
          <w:rFonts w:ascii="Times New Roman" w:hAnsi="Times New Roman" w:cs="Times New Roman"/>
          <w:color w:val="000000" w:themeColor="text1"/>
          <w:sz w:val="24"/>
          <w:szCs w:val="24"/>
        </w:rPr>
        <w:t xml:space="preserve">and intentional non-adherence </w:t>
      </w:r>
      <w:r w:rsidRPr="0067446B">
        <w:rPr>
          <w:rFonts w:ascii="Times New Roman" w:hAnsi="Times New Roman" w:cs="Times New Roman"/>
          <w:iCs/>
          <w:color w:val="000000" w:themeColor="text1"/>
          <w:sz w:val="24"/>
          <w:szCs w:val="24"/>
        </w:rPr>
        <w:t>(</w:t>
      </w:r>
      <w:r w:rsidRPr="0067446B">
        <w:rPr>
          <w:rFonts w:ascii="Times New Roman" w:hAnsi="Times New Roman" w:cs="Times New Roman"/>
          <w:i/>
          <w:iCs/>
          <w:color w:val="000000" w:themeColor="text1"/>
          <w:sz w:val="24"/>
          <w:szCs w:val="24"/>
        </w:rPr>
        <w:t>I alter the dose, I stop taking them for a while, I decide to miss out a dose, I take less than instructed</w:t>
      </w:r>
      <w:r w:rsidRPr="0067446B">
        <w:rPr>
          <w:rFonts w:ascii="Times New Roman" w:hAnsi="Times New Roman" w:cs="Times New Roman"/>
          <w:color w:val="000000" w:themeColor="text1"/>
          <w:sz w:val="24"/>
          <w:szCs w:val="24"/>
        </w:rPr>
        <w:t>). Each statement frequency (</w:t>
      </w:r>
      <w:r w:rsidRPr="0067446B">
        <w:rPr>
          <w:rFonts w:ascii="Times New Roman" w:hAnsi="Times New Roman" w:cs="Times New Roman"/>
          <w:i/>
          <w:iCs/>
          <w:color w:val="000000" w:themeColor="text1"/>
          <w:sz w:val="24"/>
          <w:szCs w:val="24"/>
        </w:rPr>
        <w:t>always, often, sometimes, rarely, never</w:t>
      </w:r>
      <w:r w:rsidRPr="0067446B">
        <w:rPr>
          <w:rFonts w:ascii="Times New Roman" w:hAnsi="Times New Roman" w:cs="Times New Roman"/>
          <w:color w:val="000000" w:themeColor="text1"/>
          <w:sz w:val="24"/>
          <w:szCs w:val="24"/>
        </w:rPr>
        <w:t xml:space="preserve">) is selected by the participating patient using a 5-point Likert scale with the range of scores from 1 point for “always” and 5 points for “never”. The total MARS score therefore ranges from 5 to 25. Higher scores represent better adherence levels </w:t>
      </w:r>
      <w:r w:rsidR="0067446B" w:rsidRPr="0067446B">
        <w:rPr>
          <w:rFonts w:ascii="Times New Roman" w:hAnsi="Times New Roman" w:cs="Times New Roman"/>
          <w:color w:val="000000" w:themeColor="text1"/>
          <w:sz w:val="24"/>
          <w:szCs w:val="24"/>
        </w:rPr>
        <w:t>[8,9].</w:t>
      </w:r>
      <w:r w:rsidRPr="0067446B">
        <w:rPr>
          <w:rFonts w:ascii="Times New Roman" w:hAnsi="Times New Roman" w:cs="Times New Roman"/>
          <w:color w:val="000000" w:themeColor="text1"/>
          <w:sz w:val="24"/>
          <w:szCs w:val="24"/>
        </w:rPr>
        <w:t>.</w:t>
      </w:r>
    </w:p>
    <w:p w14:paraId="798038E4" w14:textId="77777777" w:rsidR="0067446B" w:rsidRPr="0067446B" w:rsidRDefault="0067446B" w:rsidP="005A1C2A">
      <w:pPr>
        <w:tabs>
          <w:tab w:val="right" w:pos="5640"/>
        </w:tabs>
        <w:autoSpaceDE w:val="0"/>
        <w:autoSpaceDN w:val="0"/>
        <w:adjustRightInd w:val="0"/>
        <w:spacing w:after="0" w:line="240" w:lineRule="auto"/>
        <w:jc w:val="both"/>
        <w:rPr>
          <w:rFonts w:ascii="Times New Roman" w:hAnsi="Times New Roman" w:cs="Times New Roman"/>
          <w:color w:val="000000" w:themeColor="text1"/>
          <w:sz w:val="24"/>
          <w:szCs w:val="24"/>
        </w:rPr>
      </w:pPr>
    </w:p>
    <w:p w14:paraId="2E575FE0" w14:textId="6FBEF2CE" w:rsidR="005A1C2A" w:rsidRPr="0067446B" w:rsidRDefault="005A1C2A" w:rsidP="0067446B">
      <w:pPr>
        <w:pStyle w:val="ListParagraph"/>
        <w:numPr>
          <w:ilvl w:val="0"/>
          <w:numId w:val="3"/>
        </w:numPr>
        <w:ind w:left="284" w:hanging="284"/>
        <w:jc w:val="both"/>
        <w:rPr>
          <w:color w:val="000000" w:themeColor="text1"/>
        </w:rPr>
      </w:pPr>
      <w:r w:rsidRPr="0067446B">
        <w:rPr>
          <w:color w:val="000000" w:themeColor="text1"/>
        </w:rPr>
        <w:t xml:space="preserve">Beliefs about medicines questionnaire (BMQ) </w:t>
      </w:r>
      <w:r w:rsidR="0067446B" w:rsidRPr="0067446B">
        <w:rPr>
          <w:color w:val="000000" w:themeColor="text1"/>
        </w:rPr>
        <w:t>[10]</w:t>
      </w:r>
    </w:p>
    <w:p w14:paraId="6905F242" w14:textId="2EB79987" w:rsidR="005A1C2A" w:rsidRPr="0067446B" w:rsidRDefault="005A1C2A" w:rsidP="005A1C2A">
      <w:pPr>
        <w:tabs>
          <w:tab w:val="right" w:pos="5640"/>
        </w:tabs>
        <w:autoSpaceDE w:val="0"/>
        <w:autoSpaceDN w:val="0"/>
        <w:adjustRightInd w:val="0"/>
        <w:spacing w:after="0" w:line="240" w:lineRule="auto"/>
        <w:jc w:val="both"/>
        <w:rPr>
          <w:rFonts w:ascii="Times New Roman" w:hAnsi="Times New Roman" w:cs="Times New Roman"/>
          <w:bCs/>
          <w:color w:val="000000" w:themeColor="text1"/>
          <w:sz w:val="24"/>
          <w:szCs w:val="24"/>
        </w:rPr>
      </w:pPr>
      <w:r w:rsidRPr="0067446B">
        <w:rPr>
          <w:rFonts w:ascii="Times New Roman" w:hAnsi="Times New Roman" w:cs="Times New Roman"/>
          <w:color w:val="000000" w:themeColor="text1"/>
          <w:sz w:val="24"/>
          <w:szCs w:val="24"/>
        </w:rPr>
        <w:t xml:space="preserve">The BMQ is a validated self-report questionnaire with ten statements that measure the beliefs of patients about their medication. It consists of two five-item subscales that measure the patient’s “necessity beliefs” and their “concerns” about their medication. Participants are required to provide a response to each statement using a 5-point Likert scale ranging from a score of 1 which </w:t>
      </w:r>
      <w:r w:rsidRPr="0067446B">
        <w:rPr>
          <w:rFonts w:ascii="Times New Roman" w:hAnsi="Times New Roman" w:cs="Times New Roman"/>
          <w:color w:val="000000" w:themeColor="text1"/>
          <w:sz w:val="24"/>
          <w:szCs w:val="24"/>
        </w:rPr>
        <w:lastRenderedPageBreak/>
        <w:t>represents strongly disagree to a score of 5 which represents strongly agree.  The total score of the necessity scale and the concern scale are calculated separately with scores ranging from 5 to 25</w:t>
      </w:r>
      <w:r w:rsidRPr="0067446B">
        <w:rPr>
          <w:rFonts w:ascii="Times New Roman" w:hAnsi="Times New Roman" w:cs="Times New Roman"/>
          <w:bCs/>
          <w:color w:val="000000" w:themeColor="text1"/>
          <w:sz w:val="24"/>
          <w:szCs w:val="24"/>
        </w:rPr>
        <w:t>. The differential scores between necessity and concern scales therefore range from -20 to +20.</w:t>
      </w:r>
      <w:r w:rsidRPr="0067446B">
        <w:rPr>
          <w:rFonts w:ascii="Times New Roman" w:hAnsi="Times New Roman" w:cs="Times New Roman"/>
          <w:color w:val="000000" w:themeColor="text1"/>
          <w:sz w:val="24"/>
          <w:szCs w:val="24"/>
        </w:rPr>
        <w:t xml:space="preserve"> Higher scores for the necessity scale are associated with greater patient perceived </w:t>
      </w:r>
      <w:r w:rsidRPr="0067446B">
        <w:rPr>
          <w:rFonts w:ascii="Times New Roman" w:hAnsi="Times New Roman" w:cs="Times New Roman"/>
          <w:bCs/>
          <w:color w:val="000000" w:themeColor="text1"/>
          <w:sz w:val="24"/>
          <w:szCs w:val="24"/>
        </w:rPr>
        <w:t>need for their medication to control their disease and maintain or improve their health</w:t>
      </w:r>
      <w:r w:rsidRPr="0067446B">
        <w:rPr>
          <w:rFonts w:ascii="Times New Roman" w:hAnsi="Times New Roman" w:cs="Times New Roman"/>
          <w:color w:val="000000" w:themeColor="text1"/>
          <w:sz w:val="24"/>
          <w:szCs w:val="24"/>
        </w:rPr>
        <w:t xml:space="preserve">. On the other hand, higher scores for the concern scale are associated with higher </w:t>
      </w:r>
      <w:r w:rsidRPr="0067446B">
        <w:rPr>
          <w:rFonts w:ascii="Times New Roman" w:hAnsi="Times New Roman" w:cs="Times New Roman"/>
          <w:bCs/>
          <w:color w:val="000000" w:themeColor="text1"/>
          <w:sz w:val="24"/>
          <w:szCs w:val="24"/>
        </w:rPr>
        <w:t>patient concerns about harmful or adverse effects that are possible from long-term use of the medicine in question and worries regarding becoming dependent on their medications</w:t>
      </w:r>
      <w:r w:rsidR="0067446B" w:rsidRPr="0067446B">
        <w:rPr>
          <w:rFonts w:ascii="Times New Roman" w:hAnsi="Times New Roman" w:cs="Times New Roman"/>
          <w:bCs/>
          <w:color w:val="000000" w:themeColor="text1"/>
          <w:sz w:val="24"/>
          <w:szCs w:val="24"/>
        </w:rPr>
        <w:t xml:space="preserve"> [10]</w:t>
      </w:r>
      <w:r w:rsidRPr="0067446B">
        <w:rPr>
          <w:rFonts w:ascii="Times New Roman" w:hAnsi="Times New Roman" w:cs="Times New Roman"/>
          <w:bCs/>
          <w:color w:val="000000" w:themeColor="text1"/>
          <w:sz w:val="24"/>
          <w:szCs w:val="24"/>
        </w:rPr>
        <w:t>.</w:t>
      </w:r>
    </w:p>
    <w:p w14:paraId="548993C7" w14:textId="77777777" w:rsidR="0067446B" w:rsidRPr="0067446B" w:rsidRDefault="0067446B" w:rsidP="005A1C2A">
      <w:pPr>
        <w:tabs>
          <w:tab w:val="right" w:pos="5640"/>
        </w:tabs>
        <w:autoSpaceDE w:val="0"/>
        <w:autoSpaceDN w:val="0"/>
        <w:adjustRightInd w:val="0"/>
        <w:spacing w:after="0" w:line="240" w:lineRule="auto"/>
        <w:jc w:val="both"/>
        <w:rPr>
          <w:rFonts w:ascii="Times New Roman" w:hAnsi="Times New Roman" w:cs="Times New Roman"/>
          <w:color w:val="000000" w:themeColor="text1"/>
          <w:sz w:val="24"/>
          <w:szCs w:val="24"/>
        </w:rPr>
      </w:pPr>
    </w:p>
    <w:p w14:paraId="242BBEAC" w14:textId="47CF9774" w:rsidR="005A1C2A" w:rsidRPr="0067446B" w:rsidRDefault="005A1C2A" w:rsidP="0067446B">
      <w:pPr>
        <w:pStyle w:val="ListParagraph"/>
        <w:numPr>
          <w:ilvl w:val="0"/>
          <w:numId w:val="3"/>
        </w:numPr>
        <w:ind w:left="284" w:hanging="284"/>
        <w:jc w:val="both"/>
        <w:rPr>
          <w:color w:val="000000" w:themeColor="text1"/>
        </w:rPr>
      </w:pPr>
      <w:r w:rsidRPr="0067446B">
        <w:rPr>
          <w:color w:val="000000" w:themeColor="text1"/>
        </w:rPr>
        <w:t xml:space="preserve">Health-related quality of life (HR-QOL) (EQ-5D-5L) </w:t>
      </w:r>
      <w:r w:rsidR="0067446B" w:rsidRPr="0067446B">
        <w:rPr>
          <w:color w:val="000000" w:themeColor="text1"/>
        </w:rPr>
        <w:t>[11]</w:t>
      </w:r>
    </w:p>
    <w:p w14:paraId="17ACFABB" w14:textId="71C13C2C" w:rsidR="005A1C2A" w:rsidRPr="0067446B" w:rsidRDefault="005A1C2A" w:rsidP="005A1C2A">
      <w:pPr>
        <w:spacing w:after="0" w:line="240" w:lineRule="auto"/>
        <w:jc w:val="both"/>
        <w:rPr>
          <w:rFonts w:ascii="Times New Roman" w:hAnsi="Times New Roman" w:cs="Times New Roman"/>
          <w:sz w:val="24"/>
          <w:szCs w:val="24"/>
        </w:rPr>
      </w:pPr>
      <w:r w:rsidRPr="0067446B">
        <w:rPr>
          <w:rFonts w:ascii="Times New Roman" w:hAnsi="Times New Roman" w:cs="Times New Roman"/>
          <w:color w:val="000000" w:themeColor="text1"/>
          <w:sz w:val="24"/>
          <w:szCs w:val="24"/>
        </w:rPr>
        <w:t xml:space="preserve">The EQ-5D-5L (EuroqQol-5 Dimensions; 5 Levels) is a self-reported questionnaire for use by patients to describe their health perception. It comprises two sections. The first section is descriptive and consists of five dimensions (mobility, self-care, usual activities, pain or discomfort, and anxiety or depression) and each dimension has five levels of severity (level 1: no problems, level 2: slight problems, level 3: moderate problems, level 4: severe problems, and level 5: extreme problems). This approach can define a total of 3125 possible combinations of individual’s health status in terms of a 5-digit code. </w:t>
      </w:r>
      <w:r w:rsidRPr="0067446B">
        <w:rPr>
          <w:rFonts w:ascii="Times New Roman" w:eastAsia="Times New Roman" w:hAnsi="Times New Roman" w:cs="Times New Roman"/>
          <w:color w:val="000000" w:themeColor="text1"/>
          <w:sz w:val="24"/>
          <w:szCs w:val="24"/>
        </w:rPr>
        <w:t xml:space="preserve">EQ-5D-5L utility index ranges from the worst (-1) to the best (1) health you can imagine </w:t>
      </w:r>
      <w:r w:rsidR="0067446B" w:rsidRPr="0067446B">
        <w:rPr>
          <w:rFonts w:ascii="Times New Roman" w:eastAsia="Times New Roman" w:hAnsi="Times New Roman" w:cs="Times New Roman"/>
          <w:color w:val="000000" w:themeColor="text1"/>
          <w:sz w:val="24"/>
          <w:szCs w:val="24"/>
        </w:rPr>
        <w:t>[12,13]</w:t>
      </w:r>
      <w:r w:rsidRPr="0067446B">
        <w:rPr>
          <w:rFonts w:ascii="Times New Roman" w:eastAsia="Times New Roman" w:hAnsi="Times New Roman" w:cs="Times New Roman"/>
          <w:color w:val="000000" w:themeColor="text1"/>
          <w:sz w:val="24"/>
          <w:szCs w:val="24"/>
        </w:rPr>
        <w:t>.</w:t>
      </w:r>
    </w:p>
    <w:p w14:paraId="3D3E8727" w14:textId="037C8E57" w:rsidR="005A1C2A" w:rsidRPr="0067446B" w:rsidRDefault="005A1C2A" w:rsidP="005A1C2A">
      <w:pPr>
        <w:tabs>
          <w:tab w:val="right" w:pos="564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67446B">
        <w:rPr>
          <w:rFonts w:ascii="Times New Roman" w:hAnsi="Times New Roman" w:cs="Times New Roman"/>
          <w:color w:val="000000" w:themeColor="text1"/>
          <w:sz w:val="24"/>
          <w:szCs w:val="24"/>
        </w:rPr>
        <w:t xml:space="preserve">The second section is the EQ visual analogue scale (VAS) where general health state is rated on a 20 cm scale from the worst (0) to the best (100) health you can imagine </w:t>
      </w:r>
      <w:r w:rsidR="004040F3" w:rsidRPr="004040F3">
        <w:rPr>
          <w:rFonts w:ascii="Times New Roman" w:hAnsi="Times New Roman" w:cs="Times New Roman"/>
          <w:color w:val="000000" w:themeColor="text1"/>
          <w:sz w:val="24"/>
          <w:szCs w:val="24"/>
        </w:rPr>
        <w:t>[12,13]</w:t>
      </w:r>
      <w:r w:rsidRPr="004040F3">
        <w:rPr>
          <w:rFonts w:ascii="Times New Roman" w:hAnsi="Times New Roman" w:cs="Times New Roman"/>
          <w:color w:val="000000" w:themeColor="text1"/>
          <w:sz w:val="24"/>
          <w:szCs w:val="24"/>
        </w:rPr>
        <w:t>.</w:t>
      </w:r>
      <w:r w:rsidRPr="0067446B">
        <w:rPr>
          <w:rFonts w:ascii="Times New Roman" w:hAnsi="Times New Roman" w:cs="Times New Roman"/>
          <w:color w:val="000000" w:themeColor="text1"/>
          <w:sz w:val="24"/>
          <w:szCs w:val="24"/>
        </w:rPr>
        <w:t xml:space="preserve"> This tool is also used</w:t>
      </w:r>
      <w:r w:rsidRPr="0067446B">
        <w:rPr>
          <w:rFonts w:ascii="Times New Roman" w:eastAsia="Times New Roman" w:hAnsi="Times New Roman" w:cs="Times New Roman"/>
          <w:color w:val="000000" w:themeColor="text1"/>
          <w:sz w:val="24"/>
          <w:szCs w:val="24"/>
        </w:rPr>
        <w:t xml:space="preserve"> for clinical and economic appraisal and is </w:t>
      </w:r>
      <w:r w:rsidRPr="0067446B">
        <w:rPr>
          <w:rFonts w:ascii="Times New Roman" w:hAnsi="Times New Roman" w:cs="Times New Roman"/>
          <w:color w:val="000000" w:themeColor="text1"/>
          <w:sz w:val="24"/>
          <w:szCs w:val="24"/>
        </w:rPr>
        <w:t>a preferred measure in adults for cost-effectiveness analyses where health effects are expressed in QALYs</w:t>
      </w:r>
      <w:r w:rsidRPr="0067446B">
        <w:rPr>
          <w:rFonts w:ascii="Times New Roman" w:eastAsia="Times New Roman" w:hAnsi="Times New Roman" w:cs="Times New Roman"/>
          <w:color w:val="000000" w:themeColor="text1"/>
          <w:sz w:val="24"/>
          <w:szCs w:val="24"/>
        </w:rPr>
        <w:t xml:space="preserve"> </w:t>
      </w:r>
      <w:r w:rsidR="0067446B" w:rsidRPr="0067446B">
        <w:rPr>
          <w:rFonts w:ascii="Times New Roman" w:eastAsia="Times New Roman" w:hAnsi="Times New Roman" w:cs="Times New Roman"/>
          <w:color w:val="000000" w:themeColor="text1"/>
          <w:sz w:val="24"/>
          <w:szCs w:val="24"/>
        </w:rPr>
        <w:t xml:space="preserve">[11,14,15]. </w:t>
      </w:r>
    </w:p>
    <w:p w14:paraId="5A8588AD" w14:textId="77777777" w:rsidR="0067446B" w:rsidRPr="0067446B" w:rsidRDefault="0067446B" w:rsidP="005A1C2A">
      <w:pPr>
        <w:tabs>
          <w:tab w:val="right" w:pos="5640"/>
        </w:tabs>
        <w:autoSpaceDE w:val="0"/>
        <w:autoSpaceDN w:val="0"/>
        <w:adjustRightInd w:val="0"/>
        <w:spacing w:after="0" w:line="240" w:lineRule="auto"/>
        <w:jc w:val="both"/>
        <w:rPr>
          <w:rFonts w:ascii="Times New Roman" w:hAnsi="Times New Roman" w:cs="Times New Roman"/>
          <w:color w:val="000000" w:themeColor="text1"/>
          <w:sz w:val="24"/>
          <w:szCs w:val="24"/>
        </w:rPr>
      </w:pPr>
    </w:p>
    <w:p w14:paraId="22D3C5A0" w14:textId="050CB746" w:rsidR="005A1C2A" w:rsidRPr="0067446B" w:rsidRDefault="005A1C2A" w:rsidP="0067446B">
      <w:pPr>
        <w:pStyle w:val="ListParagraph"/>
        <w:numPr>
          <w:ilvl w:val="0"/>
          <w:numId w:val="3"/>
        </w:numPr>
        <w:ind w:left="284" w:hanging="284"/>
        <w:jc w:val="both"/>
        <w:rPr>
          <w:color w:val="000000" w:themeColor="text1"/>
        </w:rPr>
      </w:pPr>
      <w:r w:rsidRPr="0067446B">
        <w:rPr>
          <w:color w:val="000000" w:themeColor="text1"/>
        </w:rPr>
        <w:t xml:space="preserve">Patient satisfaction with GP practice-based pharmacist service </w:t>
      </w:r>
    </w:p>
    <w:p w14:paraId="4BE783F5" w14:textId="7843B01A" w:rsidR="005A1C2A" w:rsidRDefault="005A1C2A" w:rsidP="005A1C2A">
      <w:pPr>
        <w:spacing w:after="0" w:line="240" w:lineRule="auto"/>
        <w:jc w:val="both"/>
        <w:rPr>
          <w:rFonts w:ascii="Times New Roman" w:hAnsi="Times New Roman" w:cs="Times New Roman"/>
          <w:color w:val="000000" w:themeColor="text1"/>
          <w:sz w:val="24"/>
          <w:szCs w:val="24"/>
        </w:rPr>
      </w:pPr>
      <w:r w:rsidRPr="0067446B">
        <w:rPr>
          <w:rFonts w:ascii="Times New Roman" w:hAnsi="Times New Roman" w:cs="Times New Roman"/>
          <w:color w:val="000000" w:themeColor="text1"/>
          <w:sz w:val="24"/>
          <w:szCs w:val="24"/>
        </w:rPr>
        <w:t>The bespoke patient satisfaction questionnaire used in the present study consisted of five items and was designed to measure the satisfaction level of participating intervention group patients. Each statement reflected patient views about the new pharmacy service (</w:t>
      </w:r>
      <w:r w:rsidRPr="0067446B">
        <w:rPr>
          <w:rFonts w:ascii="Times New Roman" w:hAnsi="Times New Roman" w:cs="Times New Roman"/>
          <w:i/>
          <w:color w:val="000000" w:themeColor="text1"/>
          <w:sz w:val="24"/>
          <w:szCs w:val="24"/>
        </w:rPr>
        <w:t xml:space="preserve">I was happy with the new pharmacy service; I found the information given to me by the pharmacist to be beneficial; </w:t>
      </w:r>
      <w:r w:rsidRPr="0067446B">
        <w:rPr>
          <w:rFonts w:ascii="Times New Roman" w:hAnsi="Times New Roman" w:cs="Times New Roman"/>
          <w:i/>
          <w:iCs/>
          <w:color w:val="000000" w:themeColor="text1"/>
          <w:sz w:val="24"/>
          <w:szCs w:val="24"/>
        </w:rPr>
        <w:t xml:space="preserve">I feel that the pharmacist has helped me with my medicines; </w:t>
      </w:r>
      <w:r w:rsidRPr="0067446B">
        <w:rPr>
          <w:rFonts w:ascii="Times New Roman" w:hAnsi="Times New Roman" w:cs="Times New Roman"/>
          <w:i/>
          <w:color w:val="000000" w:themeColor="text1"/>
          <w:sz w:val="24"/>
          <w:szCs w:val="24"/>
        </w:rPr>
        <w:t>I feel that the number of pharmacist appointments was enough and I would recommend making this service available for other patients</w:t>
      </w:r>
      <w:r w:rsidRPr="0067446B">
        <w:rPr>
          <w:rFonts w:ascii="Times New Roman" w:hAnsi="Times New Roman" w:cs="Times New Roman"/>
          <w:color w:val="000000" w:themeColor="text1"/>
          <w:sz w:val="24"/>
          <w:szCs w:val="24"/>
        </w:rPr>
        <w:t>). The response for each item could be selected using a 5-point Likert scale from strongly agree to strongly disagree. A separate comment space was also provided to allow patients to provide free text feedback</w:t>
      </w:r>
      <w:r w:rsidR="00D34707">
        <w:rPr>
          <w:rFonts w:ascii="Times New Roman" w:hAnsi="Times New Roman" w:cs="Times New Roman"/>
          <w:color w:val="000000" w:themeColor="text1"/>
          <w:sz w:val="24"/>
          <w:szCs w:val="24"/>
        </w:rPr>
        <w:t xml:space="preserve"> (please see below)</w:t>
      </w:r>
      <w:r w:rsidRPr="0067446B">
        <w:rPr>
          <w:rFonts w:ascii="Times New Roman" w:hAnsi="Times New Roman" w:cs="Times New Roman"/>
          <w:color w:val="000000" w:themeColor="text1"/>
          <w:sz w:val="24"/>
          <w:szCs w:val="24"/>
        </w:rPr>
        <w:t>.</w:t>
      </w:r>
    </w:p>
    <w:p w14:paraId="1BCE77C6" w14:textId="5AD59D54" w:rsidR="00D34707" w:rsidRDefault="00D34707" w:rsidP="005A1C2A">
      <w:pPr>
        <w:spacing w:after="0" w:line="240" w:lineRule="auto"/>
        <w:jc w:val="both"/>
        <w:rPr>
          <w:rFonts w:ascii="Times New Roman" w:hAnsi="Times New Roman" w:cs="Times New Roman"/>
          <w:color w:val="000000" w:themeColor="text1"/>
          <w:sz w:val="24"/>
          <w:szCs w:val="24"/>
        </w:rPr>
      </w:pPr>
    </w:p>
    <w:p w14:paraId="50017469" w14:textId="62DBB244" w:rsidR="00D34707" w:rsidRDefault="00D34707" w:rsidP="005A1C2A">
      <w:pPr>
        <w:spacing w:after="0" w:line="240" w:lineRule="auto"/>
        <w:jc w:val="both"/>
        <w:rPr>
          <w:rFonts w:ascii="Times New Roman" w:hAnsi="Times New Roman" w:cs="Times New Roman"/>
          <w:color w:val="000000" w:themeColor="text1"/>
          <w:sz w:val="24"/>
          <w:szCs w:val="24"/>
        </w:rPr>
      </w:pPr>
    </w:p>
    <w:p w14:paraId="2152B78B" w14:textId="7D5804FE" w:rsidR="00D34707" w:rsidRDefault="00D34707" w:rsidP="005A1C2A">
      <w:pPr>
        <w:spacing w:after="0" w:line="240" w:lineRule="auto"/>
        <w:jc w:val="both"/>
        <w:rPr>
          <w:rFonts w:ascii="Times New Roman" w:hAnsi="Times New Roman" w:cs="Times New Roman"/>
          <w:color w:val="000000" w:themeColor="text1"/>
          <w:sz w:val="24"/>
          <w:szCs w:val="24"/>
        </w:rPr>
      </w:pPr>
    </w:p>
    <w:p w14:paraId="34C478A3" w14:textId="7054E27F" w:rsidR="00D34707" w:rsidRDefault="00D34707" w:rsidP="005A1C2A">
      <w:pPr>
        <w:spacing w:after="0" w:line="240" w:lineRule="auto"/>
        <w:jc w:val="both"/>
        <w:rPr>
          <w:rFonts w:ascii="Times New Roman" w:hAnsi="Times New Roman" w:cs="Times New Roman"/>
          <w:color w:val="000000" w:themeColor="text1"/>
          <w:sz w:val="24"/>
          <w:szCs w:val="24"/>
        </w:rPr>
      </w:pPr>
    </w:p>
    <w:p w14:paraId="038227D0" w14:textId="333E0BD6" w:rsidR="00D34707" w:rsidRDefault="00D34707" w:rsidP="005A1C2A">
      <w:pPr>
        <w:spacing w:after="0" w:line="240" w:lineRule="auto"/>
        <w:jc w:val="both"/>
        <w:rPr>
          <w:rFonts w:ascii="Times New Roman" w:hAnsi="Times New Roman" w:cs="Times New Roman"/>
          <w:color w:val="000000" w:themeColor="text1"/>
          <w:sz w:val="24"/>
          <w:szCs w:val="24"/>
        </w:rPr>
      </w:pPr>
    </w:p>
    <w:p w14:paraId="6E58F033" w14:textId="6503BE19" w:rsidR="00D34707" w:rsidRDefault="00D34707" w:rsidP="005A1C2A">
      <w:pPr>
        <w:spacing w:after="0" w:line="240" w:lineRule="auto"/>
        <w:jc w:val="both"/>
        <w:rPr>
          <w:rFonts w:ascii="Times New Roman" w:hAnsi="Times New Roman" w:cs="Times New Roman"/>
          <w:color w:val="000000" w:themeColor="text1"/>
          <w:sz w:val="24"/>
          <w:szCs w:val="24"/>
        </w:rPr>
      </w:pPr>
    </w:p>
    <w:p w14:paraId="5BA0C2BC" w14:textId="415B9797" w:rsidR="00D34707" w:rsidRDefault="00D34707" w:rsidP="005A1C2A">
      <w:pPr>
        <w:spacing w:after="0" w:line="240" w:lineRule="auto"/>
        <w:jc w:val="both"/>
        <w:rPr>
          <w:rFonts w:ascii="Times New Roman" w:hAnsi="Times New Roman" w:cs="Times New Roman"/>
          <w:color w:val="000000" w:themeColor="text1"/>
          <w:sz w:val="24"/>
          <w:szCs w:val="24"/>
        </w:rPr>
      </w:pPr>
    </w:p>
    <w:p w14:paraId="71D347E8" w14:textId="517A7722" w:rsidR="00D34707" w:rsidRDefault="00D34707" w:rsidP="005A1C2A">
      <w:pPr>
        <w:spacing w:after="0" w:line="240" w:lineRule="auto"/>
        <w:jc w:val="both"/>
        <w:rPr>
          <w:rFonts w:ascii="Times New Roman" w:hAnsi="Times New Roman" w:cs="Times New Roman"/>
          <w:color w:val="000000" w:themeColor="text1"/>
          <w:sz w:val="24"/>
          <w:szCs w:val="24"/>
        </w:rPr>
      </w:pPr>
    </w:p>
    <w:p w14:paraId="623923E6" w14:textId="45231282" w:rsidR="00D34707" w:rsidRDefault="00D34707" w:rsidP="005A1C2A">
      <w:pPr>
        <w:spacing w:after="0" w:line="240" w:lineRule="auto"/>
        <w:jc w:val="both"/>
        <w:rPr>
          <w:rFonts w:ascii="Times New Roman" w:hAnsi="Times New Roman" w:cs="Times New Roman"/>
          <w:color w:val="000000" w:themeColor="text1"/>
          <w:sz w:val="24"/>
          <w:szCs w:val="24"/>
        </w:rPr>
      </w:pPr>
    </w:p>
    <w:p w14:paraId="6D89EAE7" w14:textId="5F058C6A" w:rsidR="00D34707" w:rsidRDefault="00D34707" w:rsidP="005A1C2A">
      <w:pPr>
        <w:spacing w:after="0" w:line="240" w:lineRule="auto"/>
        <w:jc w:val="both"/>
        <w:rPr>
          <w:rFonts w:ascii="Times New Roman" w:hAnsi="Times New Roman" w:cs="Times New Roman"/>
          <w:color w:val="000000" w:themeColor="text1"/>
          <w:sz w:val="24"/>
          <w:szCs w:val="24"/>
        </w:rPr>
      </w:pPr>
    </w:p>
    <w:p w14:paraId="72E898F2" w14:textId="60405EF8" w:rsidR="00D34707" w:rsidRDefault="00D34707" w:rsidP="005A1C2A">
      <w:pPr>
        <w:spacing w:after="0" w:line="240" w:lineRule="auto"/>
        <w:jc w:val="both"/>
        <w:rPr>
          <w:rFonts w:ascii="Times New Roman" w:hAnsi="Times New Roman" w:cs="Times New Roman"/>
          <w:color w:val="000000" w:themeColor="text1"/>
          <w:sz w:val="24"/>
          <w:szCs w:val="24"/>
        </w:rPr>
      </w:pPr>
    </w:p>
    <w:p w14:paraId="20882F08" w14:textId="2380FEB4" w:rsidR="00D34707" w:rsidRDefault="00D34707" w:rsidP="005A1C2A">
      <w:pPr>
        <w:spacing w:after="0" w:line="240" w:lineRule="auto"/>
        <w:jc w:val="both"/>
        <w:rPr>
          <w:rFonts w:ascii="Times New Roman" w:hAnsi="Times New Roman" w:cs="Times New Roman"/>
          <w:color w:val="000000" w:themeColor="text1"/>
          <w:sz w:val="24"/>
          <w:szCs w:val="24"/>
        </w:rPr>
      </w:pPr>
    </w:p>
    <w:p w14:paraId="26B80D18" w14:textId="7DDB130E" w:rsidR="00D34707" w:rsidRDefault="00D34707" w:rsidP="005A1C2A">
      <w:pPr>
        <w:spacing w:after="0" w:line="240" w:lineRule="auto"/>
        <w:jc w:val="both"/>
        <w:rPr>
          <w:rFonts w:ascii="Times New Roman" w:hAnsi="Times New Roman" w:cs="Times New Roman"/>
          <w:color w:val="000000" w:themeColor="text1"/>
          <w:sz w:val="24"/>
          <w:szCs w:val="24"/>
        </w:rPr>
      </w:pPr>
    </w:p>
    <w:p w14:paraId="226EA49C" w14:textId="77777777" w:rsidR="00D34707" w:rsidRPr="007E2738" w:rsidRDefault="00D34707" w:rsidP="00D34707">
      <w:pPr>
        <w:pStyle w:val="Heading2"/>
        <w:rPr>
          <w:rFonts w:ascii="Times New Roman" w:hAnsi="Times New Roman" w:cs="Times New Roman"/>
          <w:color w:val="000000" w:themeColor="text1"/>
        </w:rPr>
      </w:pPr>
      <w:r w:rsidRPr="007E2738">
        <w:rPr>
          <w:rFonts w:ascii="Times New Roman" w:hAnsi="Times New Roman" w:cs="Times New Roman"/>
          <w:color w:val="000000" w:themeColor="text1"/>
        </w:rPr>
        <w:t>Patient Satisfaction Questionnaire</w:t>
      </w:r>
    </w:p>
    <w:p w14:paraId="09ADA6F4" w14:textId="77777777" w:rsidR="00D34707" w:rsidRPr="007E2738" w:rsidRDefault="00D34707" w:rsidP="00D34707">
      <w:pPr>
        <w:tabs>
          <w:tab w:val="right" w:pos="5640"/>
        </w:tabs>
        <w:autoSpaceDE w:val="0"/>
        <w:autoSpaceDN w:val="0"/>
        <w:adjustRightInd w:val="0"/>
        <w:spacing w:line="360" w:lineRule="auto"/>
        <w:rPr>
          <w:rFonts w:ascii="Times New Roman" w:hAnsi="Times New Roman" w:cs="Times New Roman"/>
          <w:color w:val="000000" w:themeColor="text1"/>
        </w:rPr>
      </w:pPr>
      <w:r w:rsidRPr="007E2738">
        <w:rPr>
          <w:rFonts w:ascii="Times New Roman" w:hAnsi="Times New Roman" w:cs="Times New Roman"/>
          <w:b/>
          <w:bCs/>
          <w:color w:val="000000" w:themeColor="text1"/>
        </w:rPr>
        <w:t>Study Title</w:t>
      </w:r>
      <w:r w:rsidRPr="007E2738">
        <w:rPr>
          <w:rFonts w:ascii="Times New Roman" w:hAnsi="Times New Roman" w:cs="Times New Roman"/>
          <w:color w:val="000000" w:themeColor="text1"/>
        </w:rPr>
        <w:t>: GP practice based pharmacist input to medicines optimisation.</w:t>
      </w:r>
    </w:p>
    <w:p w14:paraId="72450275" w14:textId="77777777" w:rsidR="00D34707" w:rsidRPr="007E2738" w:rsidRDefault="00D34707" w:rsidP="00D34707">
      <w:pPr>
        <w:rPr>
          <w:rFonts w:ascii="Times New Roman" w:hAnsi="Times New Roman" w:cs="Times New Roman"/>
          <w:b/>
          <w:bCs/>
          <w:color w:val="000000" w:themeColor="text1"/>
        </w:rPr>
      </w:pPr>
      <w:r w:rsidRPr="007E2738">
        <w:rPr>
          <w:rFonts w:ascii="Times New Roman" w:hAnsi="Times New Roman" w:cs="Times New Roman"/>
          <w:b/>
          <w:bCs/>
          <w:color w:val="000000" w:themeColor="text1"/>
        </w:rPr>
        <w:t>Patient Study Number:</w:t>
      </w:r>
      <w:r w:rsidRPr="007E2738">
        <w:rPr>
          <w:rFonts w:ascii="Times New Roman" w:hAnsi="Times New Roman" w:cs="Times New Roman"/>
          <w:b/>
          <w:bCs/>
          <w:color w:val="000000" w:themeColor="text1"/>
        </w:rPr>
        <w:tab/>
      </w:r>
      <w:r w:rsidRPr="007E2738">
        <w:rPr>
          <w:rFonts w:ascii="Times New Roman" w:hAnsi="Times New Roman" w:cs="Times New Roman"/>
          <w:b/>
          <w:bCs/>
          <w:color w:val="000000" w:themeColor="text1"/>
        </w:rPr>
        <w:tab/>
      </w:r>
      <w:r w:rsidRPr="007E2738">
        <w:rPr>
          <w:rFonts w:ascii="Times New Roman" w:hAnsi="Times New Roman" w:cs="Times New Roman"/>
          <w:b/>
          <w:bCs/>
          <w:color w:val="000000" w:themeColor="text1"/>
        </w:rPr>
        <w:tab/>
      </w:r>
      <w:r w:rsidRPr="007E2738">
        <w:rPr>
          <w:rFonts w:ascii="Times New Roman" w:hAnsi="Times New Roman" w:cs="Times New Roman"/>
          <w:b/>
          <w:bCs/>
          <w:color w:val="000000" w:themeColor="text1"/>
        </w:rPr>
        <w:tab/>
      </w:r>
      <w:r w:rsidRPr="007E2738">
        <w:rPr>
          <w:rFonts w:ascii="Times New Roman" w:hAnsi="Times New Roman" w:cs="Times New Roman"/>
          <w:b/>
          <w:bCs/>
          <w:color w:val="000000" w:themeColor="text1"/>
        </w:rPr>
        <w:tab/>
      </w:r>
      <w:r w:rsidRPr="007E2738">
        <w:rPr>
          <w:rFonts w:ascii="Times New Roman" w:hAnsi="Times New Roman" w:cs="Times New Roman"/>
          <w:b/>
          <w:bCs/>
          <w:color w:val="000000" w:themeColor="text1"/>
        </w:rPr>
        <w:tab/>
        <w:t xml:space="preserve">Date: </w:t>
      </w:r>
    </w:p>
    <w:p w14:paraId="26708918" w14:textId="77777777" w:rsidR="00D34707" w:rsidRDefault="00D34707" w:rsidP="00D34707">
      <w:pPr>
        <w:rPr>
          <w:rFonts w:ascii="Times New Roman" w:hAnsi="Times New Roman" w:cs="Times New Roman"/>
          <w:color w:val="000000" w:themeColor="text1"/>
        </w:rPr>
      </w:pPr>
    </w:p>
    <w:p w14:paraId="237469D2" w14:textId="57C7C8D5" w:rsidR="00D34707" w:rsidRPr="007E2738" w:rsidRDefault="00D34707" w:rsidP="00D34707">
      <w:pPr>
        <w:rPr>
          <w:rFonts w:ascii="Times New Roman" w:hAnsi="Times New Roman" w:cs="Times New Roman"/>
          <w:color w:val="000000" w:themeColor="text1"/>
        </w:rPr>
      </w:pPr>
      <w:r w:rsidRPr="007E2738">
        <w:rPr>
          <w:rFonts w:ascii="Times New Roman" w:hAnsi="Times New Roman" w:cs="Times New Roman"/>
          <w:color w:val="000000" w:themeColor="text1"/>
        </w:rPr>
        <w:t>This survey asks for your views about the new pharmacy service.</w:t>
      </w:r>
    </w:p>
    <w:p w14:paraId="440C59AE" w14:textId="77777777" w:rsidR="00D34707" w:rsidRPr="007E2738" w:rsidRDefault="00D34707" w:rsidP="00D34707">
      <w:pPr>
        <w:rPr>
          <w:rFonts w:ascii="Times New Roman" w:hAnsi="Times New Roman" w:cs="Times New Roman"/>
          <w:i/>
          <w:color w:val="000000" w:themeColor="text1"/>
        </w:rPr>
      </w:pPr>
      <w:r w:rsidRPr="007E2738">
        <w:rPr>
          <w:rFonts w:ascii="Times New Roman" w:hAnsi="Times New Roman" w:cs="Times New Roman"/>
          <w:color w:val="000000" w:themeColor="text1"/>
        </w:rPr>
        <w:t xml:space="preserve"> Please take the time to read and answer each question carefully. Place an ‘X’ in the box that best represents your response.</w:t>
      </w:r>
      <w:r w:rsidRPr="007E2738">
        <w:rPr>
          <w:rFonts w:ascii="Times New Roman" w:hAnsi="Times New Roman" w:cs="Times New Roman"/>
          <w:i/>
          <w:color w:val="000000" w:themeColor="text1"/>
        </w:rPr>
        <w:t xml:space="preserve"> </w:t>
      </w:r>
      <w:r w:rsidRPr="007E2738">
        <w:rPr>
          <w:rFonts w:ascii="Times New Roman" w:hAnsi="Times New Roman" w:cs="Times New Roman"/>
          <w:color w:val="000000" w:themeColor="text1"/>
        </w:rPr>
        <w:t>Please select only one choice for each item</w:t>
      </w:r>
      <w:r w:rsidRPr="007E2738">
        <w:rPr>
          <w:rFonts w:ascii="Times New Roman" w:hAnsi="Times New Roman" w:cs="Times New Roman"/>
          <w:i/>
          <w:color w:val="000000" w:themeColor="text1"/>
        </w:rPr>
        <w:t>.</w:t>
      </w:r>
    </w:p>
    <w:tbl>
      <w:tblPr>
        <w:tblW w:w="888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3926"/>
        <w:gridCol w:w="992"/>
        <w:gridCol w:w="992"/>
        <w:gridCol w:w="992"/>
        <w:gridCol w:w="992"/>
        <w:gridCol w:w="992"/>
      </w:tblGrid>
      <w:tr w:rsidR="00D34707" w:rsidRPr="007E2738" w14:paraId="4141C1A2" w14:textId="77777777" w:rsidTr="00924B86">
        <w:trPr>
          <w:trHeight w:val="546"/>
        </w:trPr>
        <w:tc>
          <w:tcPr>
            <w:tcW w:w="3926" w:type="dxa"/>
            <w:tcMar>
              <w:left w:w="29" w:type="dxa"/>
              <w:right w:w="29" w:type="dxa"/>
            </w:tcMar>
          </w:tcPr>
          <w:p w14:paraId="3417E3C1" w14:textId="46481EE8" w:rsidR="00D34707" w:rsidRPr="007E2738" w:rsidRDefault="00D34707" w:rsidP="00924B86">
            <w:pPr>
              <w:rPr>
                <w:rFonts w:ascii="Times New Roman" w:hAnsi="Times New Roman" w:cs="Times New Roman"/>
                <w:b/>
                <w:bCs/>
                <w:color w:val="000000" w:themeColor="text1"/>
              </w:rPr>
            </w:pPr>
            <w:r w:rsidRPr="007E2738">
              <w:rPr>
                <w:rFonts w:ascii="Times New Roman" w:hAnsi="Times New Roman" w:cs="Times New Roman"/>
                <w:color w:val="000000" w:themeColor="text1"/>
              </w:rPr>
              <w:tab/>
            </w:r>
            <w:r w:rsidRPr="007E2738">
              <w:rPr>
                <w:rFonts w:ascii="Times New Roman" w:hAnsi="Times New Roman" w:cs="Times New Roman"/>
                <w:color w:val="000000" w:themeColor="text1"/>
              </w:rPr>
              <w:tab/>
            </w:r>
          </w:p>
        </w:tc>
        <w:tc>
          <w:tcPr>
            <w:tcW w:w="992" w:type="dxa"/>
            <w:tcMar>
              <w:left w:w="29" w:type="dxa"/>
              <w:right w:w="29" w:type="dxa"/>
            </w:tcMar>
          </w:tcPr>
          <w:p w14:paraId="1389378F" w14:textId="77777777" w:rsidR="00D34707" w:rsidRPr="007E2738" w:rsidRDefault="00D34707" w:rsidP="00924B86">
            <w:pPr>
              <w:jc w:val="center"/>
              <w:rPr>
                <w:rFonts w:ascii="Times New Roman" w:hAnsi="Times New Roman" w:cs="Times New Roman"/>
                <w:color w:val="000000" w:themeColor="text1"/>
              </w:rPr>
            </w:pPr>
            <w:r w:rsidRPr="007E2738">
              <w:rPr>
                <w:rFonts w:ascii="Times New Roman" w:hAnsi="Times New Roman" w:cs="Times New Roman"/>
                <w:color w:val="000000" w:themeColor="text1"/>
              </w:rPr>
              <w:t>strongly agree</w:t>
            </w:r>
          </w:p>
        </w:tc>
        <w:tc>
          <w:tcPr>
            <w:tcW w:w="992" w:type="dxa"/>
            <w:tcMar>
              <w:left w:w="29" w:type="dxa"/>
              <w:right w:w="29" w:type="dxa"/>
            </w:tcMar>
          </w:tcPr>
          <w:p w14:paraId="122537A1" w14:textId="77777777" w:rsidR="00D34707" w:rsidRPr="007E2738" w:rsidRDefault="00D34707" w:rsidP="00924B86">
            <w:pPr>
              <w:jc w:val="center"/>
              <w:rPr>
                <w:rFonts w:ascii="Times New Roman" w:hAnsi="Times New Roman" w:cs="Times New Roman"/>
                <w:color w:val="000000" w:themeColor="text1"/>
              </w:rPr>
            </w:pPr>
            <w:r w:rsidRPr="007E2738">
              <w:rPr>
                <w:rFonts w:ascii="Times New Roman" w:hAnsi="Times New Roman" w:cs="Times New Roman"/>
                <w:color w:val="000000" w:themeColor="text1"/>
              </w:rPr>
              <w:t>agree</w:t>
            </w:r>
          </w:p>
        </w:tc>
        <w:tc>
          <w:tcPr>
            <w:tcW w:w="992" w:type="dxa"/>
            <w:tcMar>
              <w:left w:w="29" w:type="dxa"/>
              <w:right w:w="29" w:type="dxa"/>
            </w:tcMar>
          </w:tcPr>
          <w:p w14:paraId="38D3C453" w14:textId="77777777" w:rsidR="00D34707" w:rsidRPr="007E2738" w:rsidRDefault="00D34707" w:rsidP="00924B86">
            <w:pPr>
              <w:jc w:val="center"/>
              <w:rPr>
                <w:rFonts w:ascii="Times New Roman" w:hAnsi="Times New Roman" w:cs="Times New Roman"/>
                <w:color w:val="000000" w:themeColor="text1"/>
              </w:rPr>
            </w:pPr>
            <w:r w:rsidRPr="007E2738">
              <w:rPr>
                <w:rFonts w:ascii="Times New Roman" w:hAnsi="Times New Roman" w:cs="Times New Roman"/>
                <w:color w:val="000000" w:themeColor="text1"/>
              </w:rPr>
              <w:t>uncertain</w:t>
            </w:r>
          </w:p>
        </w:tc>
        <w:tc>
          <w:tcPr>
            <w:tcW w:w="992" w:type="dxa"/>
            <w:tcMar>
              <w:left w:w="29" w:type="dxa"/>
              <w:right w:w="29" w:type="dxa"/>
            </w:tcMar>
          </w:tcPr>
          <w:p w14:paraId="2F1F7DC5" w14:textId="77777777" w:rsidR="00D34707" w:rsidRPr="007E2738" w:rsidRDefault="00D34707" w:rsidP="00924B86">
            <w:pPr>
              <w:jc w:val="center"/>
              <w:rPr>
                <w:rFonts w:ascii="Times New Roman" w:hAnsi="Times New Roman" w:cs="Times New Roman"/>
                <w:color w:val="000000" w:themeColor="text1"/>
              </w:rPr>
            </w:pPr>
            <w:r w:rsidRPr="007E2738">
              <w:rPr>
                <w:rFonts w:ascii="Times New Roman" w:hAnsi="Times New Roman" w:cs="Times New Roman"/>
                <w:color w:val="000000" w:themeColor="text1"/>
              </w:rPr>
              <w:t>disagree</w:t>
            </w:r>
          </w:p>
        </w:tc>
        <w:tc>
          <w:tcPr>
            <w:tcW w:w="992" w:type="dxa"/>
            <w:tcMar>
              <w:left w:w="29" w:type="dxa"/>
              <w:right w:w="29" w:type="dxa"/>
            </w:tcMar>
          </w:tcPr>
          <w:p w14:paraId="6628AB55" w14:textId="77777777" w:rsidR="00D34707" w:rsidRPr="007E2738" w:rsidRDefault="00D34707" w:rsidP="00924B86">
            <w:pPr>
              <w:jc w:val="center"/>
              <w:rPr>
                <w:rFonts w:ascii="Times New Roman" w:hAnsi="Times New Roman" w:cs="Times New Roman"/>
                <w:color w:val="000000" w:themeColor="text1"/>
              </w:rPr>
            </w:pPr>
            <w:r w:rsidRPr="007E2738">
              <w:rPr>
                <w:rFonts w:ascii="Times New Roman" w:hAnsi="Times New Roman" w:cs="Times New Roman"/>
                <w:color w:val="000000" w:themeColor="text1"/>
              </w:rPr>
              <w:t>strongly disagree</w:t>
            </w:r>
          </w:p>
        </w:tc>
      </w:tr>
      <w:tr w:rsidR="00D34707" w:rsidRPr="007E2738" w14:paraId="005C0701" w14:textId="77777777" w:rsidTr="00924B86">
        <w:trPr>
          <w:trHeight w:val="810"/>
        </w:trPr>
        <w:tc>
          <w:tcPr>
            <w:tcW w:w="3926" w:type="dxa"/>
            <w:tcMar>
              <w:left w:w="29" w:type="dxa"/>
              <w:right w:w="29" w:type="dxa"/>
            </w:tcMar>
            <w:vAlign w:val="bottom"/>
          </w:tcPr>
          <w:p w14:paraId="12AE30F5" w14:textId="77777777" w:rsidR="00D34707" w:rsidRPr="007E2738" w:rsidRDefault="00D34707" w:rsidP="00D34707">
            <w:pPr>
              <w:numPr>
                <w:ilvl w:val="0"/>
                <w:numId w:val="7"/>
              </w:numPr>
              <w:spacing w:after="0" w:line="240" w:lineRule="auto"/>
              <w:ind w:left="450"/>
              <w:rPr>
                <w:rFonts w:ascii="Times New Roman" w:hAnsi="Times New Roman" w:cs="Times New Roman"/>
                <w:color w:val="000000" w:themeColor="text1"/>
              </w:rPr>
            </w:pPr>
            <w:r w:rsidRPr="007E2738">
              <w:rPr>
                <w:rFonts w:ascii="Times New Roman" w:hAnsi="Times New Roman" w:cs="Times New Roman"/>
                <w:color w:val="000000" w:themeColor="text1"/>
              </w:rPr>
              <w:t xml:space="preserve">I was happy with the new pharmacy service </w:t>
            </w:r>
          </w:p>
          <w:p w14:paraId="3F98D6F5" w14:textId="77777777" w:rsidR="00D34707" w:rsidRPr="007E2738" w:rsidRDefault="00D34707" w:rsidP="00924B86">
            <w:pPr>
              <w:ind w:left="450"/>
              <w:rPr>
                <w:rFonts w:ascii="Times New Roman" w:hAnsi="Times New Roman" w:cs="Times New Roman"/>
                <w:color w:val="000000" w:themeColor="text1"/>
              </w:rPr>
            </w:pPr>
          </w:p>
        </w:tc>
        <w:tc>
          <w:tcPr>
            <w:tcW w:w="992" w:type="dxa"/>
            <w:tcMar>
              <w:left w:w="29" w:type="dxa"/>
              <w:right w:w="29" w:type="dxa"/>
            </w:tcMar>
          </w:tcPr>
          <w:p w14:paraId="657B586F" w14:textId="77777777" w:rsidR="00D34707" w:rsidRPr="007E2738" w:rsidRDefault="00D34707" w:rsidP="00924B86">
            <w:pPr>
              <w:rPr>
                <w:rFonts w:ascii="Times New Roman" w:hAnsi="Times New Roman" w:cs="Times New Roman"/>
                <w:color w:val="000000" w:themeColor="text1"/>
              </w:rPr>
            </w:pPr>
          </w:p>
        </w:tc>
        <w:tc>
          <w:tcPr>
            <w:tcW w:w="992" w:type="dxa"/>
            <w:tcMar>
              <w:left w:w="29" w:type="dxa"/>
              <w:right w:w="29" w:type="dxa"/>
            </w:tcMar>
          </w:tcPr>
          <w:p w14:paraId="47FC7596" w14:textId="77777777" w:rsidR="00D34707" w:rsidRPr="007E2738" w:rsidRDefault="00D34707" w:rsidP="00924B86">
            <w:pPr>
              <w:rPr>
                <w:rFonts w:ascii="Times New Roman" w:hAnsi="Times New Roman" w:cs="Times New Roman"/>
                <w:color w:val="000000" w:themeColor="text1"/>
              </w:rPr>
            </w:pPr>
          </w:p>
        </w:tc>
        <w:tc>
          <w:tcPr>
            <w:tcW w:w="992" w:type="dxa"/>
            <w:tcMar>
              <w:left w:w="29" w:type="dxa"/>
              <w:right w:w="29" w:type="dxa"/>
            </w:tcMar>
          </w:tcPr>
          <w:p w14:paraId="3B37DE79" w14:textId="77777777" w:rsidR="00D34707" w:rsidRPr="007E2738" w:rsidRDefault="00D34707" w:rsidP="00924B86">
            <w:pPr>
              <w:rPr>
                <w:rFonts w:ascii="Times New Roman" w:hAnsi="Times New Roman" w:cs="Times New Roman"/>
                <w:color w:val="000000" w:themeColor="text1"/>
              </w:rPr>
            </w:pPr>
          </w:p>
        </w:tc>
        <w:tc>
          <w:tcPr>
            <w:tcW w:w="992" w:type="dxa"/>
            <w:tcMar>
              <w:left w:w="29" w:type="dxa"/>
              <w:right w:w="29" w:type="dxa"/>
            </w:tcMar>
          </w:tcPr>
          <w:p w14:paraId="695E9FC5" w14:textId="77777777" w:rsidR="00D34707" w:rsidRPr="007E2738" w:rsidRDefault="00D34707" w:rsidP="00924B86">
            <w:pPr>
              <w:rPr>
                <w:rFonts w:ascii="Times New Roman" w:hAnsi="Times New Roman" w:cs="Times New Roman"/>
                <w:color w:val="000000" w:themeColor="text1"/>
              </w:rPr>
            </w:pPr>
          </w:p>
        </w:tc>
        <w:tc>
          <w:tcPr>
            <w:tcW w:w="992" w:type="dxa"/>
            <w:tcMar>
              <w:left w:w="29" w:type="dxa"/>
              <w:right w:w="29" w:type="dxa"/>
            </w:tcMar>
          </w:tcPr>
          <w:p w14:paraId="6E244445" w14:textId="77777777" w:rsidR="00D34707" w:rsidRPr="007E2738" w:rsidRDefault="00D34707" w:rsidP="00924B86">
            <w:pPr>
              <w:rPr>
                <w:rFonts w:ascii="Times New Roman" w:hAnsi="Times New Roman" w:cs="Times New Roman"/>
                <w:color w:val="000000" w:themeColor="text1"/>
              </w:rPr>
            </w:pPr>
          </w:p>
        </w:tc>
      </w:tr>
      <w:tr w:rsidR="00D34707" w:rsidRPr="007E2738" w14:paraId="0D8F704E" w14:textId="77777777" w:rsidTr="00924B86">
        <w:trPr>
          <w:trHeight w:val="1091"/>
        </w:trPr>
        <w:tc>
          <w:tcPr>
            <w:tcW w:w="3926" w:type="dxa"/>
            <w:tcMar>
              <w:left w:w="29" w:type="dxa"/>
              <w:right w:w="29" w:type="dxa"/>
            </w:tcMar>
            <w:vAlign w:val="bottom"/>
          </w:tcPr>
          <w:p w14:paraId="65854F42" w14:textId="77777777" w:rsidR="00D34707" w:rsidRPr="007E2738" w:rsidRDefault="00D34707" w:rsidP="00D34707">
            <w:pPr>
              <w:numPr>
                <w:ilvl w:val="0"/>
                <w:numId w:val="7"/>
              </w:numPr>
              <w:spacing w:after="0" w:line="240" w:lineRule="auto"/>
              <w:ind w:left="450"/>
              <w:rPr>
                <w:rFonts w:ascii="Times New Roman" w:hAnsi="Times New Roman" w:cs="Times New Roman"/>
                <w:color w:val="000000" w:themeColor="text1"/>
              </w:rPr>
            </w:pPr>
            <w:r w:rsidRPr="007E2738">
              <w:rPr>
                <w:rFonts w:ascii="Times New Roman" w:hAnsi="Times New Roman" w:cs="Times New Roman"/>
                <w:color w:val="000000" w:themeColor="text1"/>
              </w:rPr>
              <w:t>I found the information given to me by the pharmacist to be beneficial</w:t>
            </w:r>
          </w:p>
          <w:p w14:paraId="463E8306" w14:textId="77777777" w:rsidR="00D34707" w:rsidRPr="007E2738" w:rsidRDefault="00D34707" w:rsidP="00924B86">
            <w:pPr>
              <w:ind w:left="450"/>
              <w:rPr>
                <w:rFonts w:ascii="Times New Roman" w:hAnsi="Times New Roman" w:cs="Times New Roman"/>
                <w:color w:val="000000" w:themeColor="text1"/>
              </w:rPr>
            </w:pPr>
          </w:p>
        </w:tc>
        <w:tc>
          <w:tcPr>
            <w:tcW w:w="992" w:type="dxa"/>
            <w:tcMar>
              <w:left w:w="29" w:type="dxa"/>
              <w:right w:w="29" w:type="dxa"/>
            </w:tcMar>
          </w:tcPr>
          <w:p w14:paraId="6735628E" w14:textId="77777777" w:rsidR="00D34707" w:rsidRPr="007E2738" w:rsidRDefault="00D34707" w:rsidP="00924B86">
            <w:pPr>
              <w:rPr>
                <w:rFonts w:ascii="Times New Roman" w:hAnsi="Times New Roman" w:cs="Times New Roman"/>
                <w:color w:val="000000" w:themeColor="text1"/>
              </w:rPr>
            </w:pPr>
          </w:p>
        </w:tc>
        <w:tc>
          <w:tcPr>
            <w:tcW w:w="992" w:type="dxa"/>
            <w:tcMar>
              <w:left w:w="29" w:type="dxa"/>
              <w:right w:w="29" w:type="dxa"/>
            </w:tcMar>
          </w:tcPr>
          <w:p w14:paraId="0612D893" w14:textId="77777777" w:rsidR="00D34707" w:rsidRPr="007E2738" w:rsidRDefault="00D34707" w:rsidP="00924B86">
            <w:pPr>
              <w:rPr>
                <w:rFonts w:ascii="Times New Roman" w:hAnsi="Times New Roman" w:cs="Times New Roman"/>
                <w:color w:val="000000" w:themeColor="text1"/>
              </w:rPr>
            </w:pPr>
          </w:p>
        </w:tc>
        <w:tc>
          <w:tcPr>
            <w:tcW w:w="992" w:type="dxa"/>
            <w:tcMar>
              <w:left w:w="29" w:type="dxa"/>
              <w:right w:w="29" w:type="dxa"/>
            </w:tcMar>
          </w:tcPr>
          <w:p w14:paraId="1C0B43F7" w14:textId="77777777" w:rsidR="00D34707" w:rsidRPr="007E2738" w:rsidRDefault="00D34707" w:rsidP="00924B86">
            <w:pPr>
              <w:rPr>
                <w:rFonts w:ascii="Times New Roman" w:hAnsi="Times New Roman" w:cs="Times New Roman"/>
                <w:color w:val="000000" w:themeColor="text1"/>
              </w:rPr>
            </w:pPr>
          </w:p>
        </w:tc>
        <w:tc>
          <w:tcPr>
            <w:tcW w:w="992" w:type="dxa"/>
            <w:tcMar>
              <w:left w:w="29" w:type="dxa"/>
              <w:right w:w="29" w:type="dxa"/>
            </w:tcMar>
          </w:tcPr>
          <w:p w14:paraId="773B15EC" w14:textId="77777777" w:rsidR="00D34707" w:rsidRPr="007E2738" w:rsidRDefault="00D34707" w:rsidP="00924B86">
            <w:pPr>
              <w:rPr>
                <w:rFonts w:ascii="Times New Roman" w:hAnsi="Times New Roman" w:cs="Times New Roman"/>
                <w:color w:val="000000" w:themeColor="text1"/>
              </w:rPr>
            </w:pPr>
          </w:p>
        </w:tc>
        <w:tc>
          <w:tcPr>
            <w:tcW w:w="992" w:type="dxa"/>
            <w:tcMar>
              <w:left w:w="29" w:type="dxa"/>
              <w:right w:w="29" w:type="dxa"/>
            </w:tcMar>
          </w:tcPr>
          <w:p w14:paraId="30C4EB9B" w14:textId="77777777" w:rsidR="00D34707" w:rsidRPr="007E2738" w:rsidRDefault="00D34707" w:rsidP="00924B86">
            <w:pPr>
              <w:rPr>
                <w:rFonts w:ascii="Times New Roman" w:hAnsi="Times New Roman" w:cs="Times New Roman"/>
                <w:color w:val="000000" w:themeColor="text1"/>
              </w:rPr>
            </w:pPr>
          </w:p>
        </w:tc>
      </w:tr>
      <w:tr w:rsidR="00D34707" w:rsidRPr="007E2738" w14:paraId="02D902E1" w14:textId="77777777" w:rsidTr="00924B86">
        <w:trPr>
          <w:trHeight w:val="1091"/>
        </w:trPr>
        <w:tc>
          <w:tcPr>
            <w:tcW w:w="3926" w:type="dxa"/>
            <w:tcMar>
              <w:left w:w="29" w:type="dxa"/>
              <w:right w:w="29" w:type="dxa"/>
            </w:tcMar>
            <w:vAlign w:val="bottom"/>
          </w:tcPr>
          <w:p w14:paraId="52D40F64" w14:textId="77777777" w:rsidR="00D34707" w:rsidRPr="007E2738" w:rsidRDefault="00D34707" w:rsidP="00D34707">
            <w:pPr>
              <w:numPr>
                <w:ilvl w:val="0"/>
                <w:numId w:val="7"/>
              </w:numPr>
              <w:spacing w:after="0" w:line="240" w:lineRule="auto"/>
              <w:ind w:left="450"/>
              <w:rPr>
                <w:rFonts w:ascii="Times New Roman" w:hAnsi="Times New Roman" w:cs="Times New Roman"/>
                <w:iCs/>
                <w:color w:val="000000" w:themeColor="text1"/>
              </w:rPr>
            </w:pPr>
            <w:r w:rsidRPr="007E2738">
              <w:rPr>
                <w:rFonts w:ascii="Times New Roman" w:hAnsi="Times New Roman" w:cs="Times New Roman"/>
                <w:iCs/>
                <w:color w:val="000000" w:themeColor="text1"/>
              </w:rPr>
              <w:t>I feel that the pharmacist has helped me with my medicines</w:t>
            </w:r>
          </w:p>
          <w:p w14:paraId="2C5F4BDE" w14:textId="77777777" w:rsidR="00D34707" w:rsidRPr="007E2738" w:rsidRDefault="00D34707" w:rsidP="00924B86">
            <w:pPr>
              <w:ind w:left="450"/>
              <w:rPr>
                <w:rFonts w:ascii="Times New Roman" w:hAnsi="Times New Roman" w:cs="Times New Roman"/>
                <w:i/>
                <w:iCs/>
                <w:color w:val="000000" w:themeColor="text1"/>
              </w:rPr>
            </w:pPr>
          </w:p>
        </w:tc>
        <w:tc>
          <w:tcPr>
            <w:tcW w:w="992" w:type="dxa"/>
            <w:tcMar>
              <w:left w:w="29" w:type="dxa"/>
              <w:right w:w="29" w:type="dxa"/>
            </w:tcMar>
          </w:tcPr>
          <w:p w14:paraId="5EEE43A3" w14:textId="77777777" w:rsidR="00D34707" w:rsidRPr="007E2738" w:rsidRDefault="00D34707" w:rsidP="00924B86">
            <w:pPr>
              <w:rPr>
                <w:rFonts w:ascii="Times New Roman" w:hAnsi="Times New Roman" w:cs="Times New Roman"/>
                <w:color w:val="000000" w:themeColor="text1"/>
              </w:rPr>
            </w:pPr>
          </w:p>
        </w:tc>
        <w:tc>
          <w:tcPr>
            <w:tcW w:w="992" w:type="dxa"/>
            <w:tcMar>
              <w:left w:w="29" w:type="dxa"/>
              <w:right w:w="29" w:type="dxa"/>
            </w:tcMar>
          </w:tcPr>
          <w:p w14:paraId="75A5A2B2" w14:textId="77777777" w:rsidR="00D34707" w:rsidRPr="007E2738" w:rsidRDefault="00D34707" w:rsidP="00924B86">
            <w:pPr>
              <w:rPr>
                <w:rFonts w:ascii="Times New Roman" w:hAnsi="Times New Roman" w:cs="Times New Roman"/>
                <w:color w:val="000000" w:themeColor="text1"/>
              </w:rPr>
            </w:pPr>
          </w:p>
        </w:tc>
        <w:tc>
          <w:tcPr>
            <w:tcW w:w="992" w:type="dxa"/>
            <w:tcMar>
              <w:left w:w="29" w:type="dxa"/>
              <w:right w:w="29" w:type="dxa"/>
            </w:tcMar>
          </w:tcPr>
          <w:p w14:paraId="6E5F88BD" w14:textId="77777777" w:rsidR="00D34707" w:rsidRPr="007E2738" w:rsidRDefault="00D34707" w:rsidP="00924B86">
            <w:pPr>
              <w:rPr>
                <w:rFonts w:ascii="Times New Roman" w:hAnsi="Times New Roman" w:cs="Times New Roman"/>
                <w:color w:val="000000" w:themeColor="text1"/>
              </w:rPr>
            </w:pPr>
          </w:p>
        </w:tc>
        <w:tc>
          <w:tcPr>
            <w:tcW w:w="992" w:type="dxa"/>
            <w:tcMar>
              <w:left w:w="29" w:type="dxa"/>
              <w:right w:w="29" w:type="dxa"/>
            </w:tcMar>
          </w:tcPr>
          <w:p w14:paraId="620DA116" w14:textId="77777777" w:rsidR="00D34707" w:rsidRPr="007E2738" w:rsidRDefault="00D34707" w:rsidP="00924B86">
            <w:pPr>
              <w:rPr>
                <w:rFonts w:ascii="Times New Roman" w:hAnsi="Times New Roman" w:cs="Times New Roman"/>
                <w:color w:val="000000" w:themeColor="text1"/>
              </w:rPr>
            </w:pPr>
          </w:p>
        </w:tc>
        <w:tc>
          <w:tcPr>
            <w:tcW w:w="992" w:type="dxa"/>
            <w:tcMar>
              <w:left w:w="29" w:type="dxa"/>
              <w:right w:w="29" w:type="dxa"/>
            </w:tcMar>
          </w:tcPr>
          <w:p w14:paraId="3FE9AE85" w14:textId="77777777" w:rsidR="00D34707" w:rsidRPr="007E2738" w:rsidRDefault="00D34707" w:rsidP="00924B86">
            <w:pPr>
              <w:rPr>
                <w:rFonts w:ascii="Times New Roman" w:hAnsi="Times New Roman" w:cs="Times New Roman"/>
                <w:color w:val="000000" w:themeColor="text1"/>
              </w:rPr>
            </w:pPr>
          </w:p>
        </w:tc>
      </w:tr>
      <w:tr w:rsidR="00D34707" w:rsidRPr="007E2738" w14:paraId="545B2545" w14:textId="77777777" w:rsidTr="00924B86">
        <w:trPr>
          <w:trHeight w:val="546"/>
        </w:trPr>
        <w:tc>
          <w:tcPr>
            <w:tcW w:w="3926" w:type="dxa"/>
            <w:tcMar>
              <w:left w:w="29" w:type="dxa"/>
              <w:right w:w="29" w:type="dxa"/>
            </w:tcMar>
            <w:vAlign w:val="bottom"/>
          </w:tcPr>
          <w:p w14:paraId="5A502E0E" w14:textId="77777777" w:rsidR="00D34707" w:rsidRPr="007E2738" w:rsidRDefault="00D34707" w:rsidP="00D34707">
            <w:pPr>
              <w:numPr>
                <w:ilvl w:val="0"/>
                <w:numId w:val="7"/>
              </w:numPr>
              <w:spacing w:after="0" w:line="240" w:lineRule="auto"/>
              <w:ind w:left="450"/>
              <w:rPr>
                <w:rFonts w:ascii="Times New Roman" w:hAnsi="Times New Roman" w:cs="Times New Roman"/>
                <w:color w:val="000000" w:themeColor="text1"/>
              </w:rPr>
            </w:pPr>
            <w:r w:rsidRPr="007E2738">
              <w:rPr>
                <w:rFonts w:ascii="Times New Roman" w:hAnsi="Times New Roman" w:cs="Times New Roman"/>
                <w:color w:val="000000" w:themeColor="text1"/>
              </w:rPr>
              <w:t>I feel that number of pharmacist appointments was enough.</w:t>
            </w:r>
          </w:p>
          <w:p w14:paraId="5103B165" w14:textId="77777777" w:rsidR="00D34707" w:rsidRPr="007E2738" w:rsidRDefault="00D34707" w:rsidP="00924B86">
            <w:pPr>
              <w:ind w:left="450"/>
              <w:rPr>
                <w:rFonts w:ascii="Times New Roman" w:hAnsi="Times New Roman" w:cs="Times New Roman"/>
                <w:color w:val="000000" w:themeColor="text1"/>
              </w:rPr>
            </w:pPr>
          </w:p>
        </w:tc>
        <w:tc>
          <w:tcPr>
            <w:tcW w:w="992" w:type="dxa"/>
            <w:tcMar>
              <w:left w:w="29" w:type="dxa"/>
              <w:right w:w="29" w:type="dxa"/>
            </w:tcMar>
          </w:tcPr>
          <w:p w14:paraId="15B94629" w14:textId="77777777" w:rsidR="00D34707" w:rsidRPr="007E2738" w:rsidRDefault="00D34707" w:rsidP="00924B86">
            <w:pPr>
              <w:rPr>
                <w:rFonts w:ascii="Times New Roman" w:hAnsi="Times New Roman" w:cs="Times New Roman"/>
                <w:color w:val="000000" w:themeColor="text1"/>
              </w:rPr>
            </w:pPr>
          </w:p>
        </w:tc>
        <w:tc>
          <w:tcPr>
            <w:tcW w:w="992" w:type="dxa"/>
            <w:tcMar>
              <w:left w:w="29" w:type="dxa"/>
              <w:right w:w="29" w:type="dxa"/>
            </w:tcMar>
          </w:tcPr>
          <w:p w14:paraId="7FC55DE5" w14:textId="77777777" w:rsidR="00D34707" w:rsidRPr="007E2738" w:rsidRDefault="00D34707" w:rsidP="00924B86">
            <w:pPr>
              <w:rPr>
                <w:rFonts w:ascii="Times New Roman" w:hAnsi="Times New Roman" w:cs="Times New Roman"/>
                <w:color w:val="000000" w:themeColor="text1"/>
              </w:rPr>
            </w:pPr>
          </w:p>
        </w:tc>
        <w:tc>
          <w:tcPr>
            <w:tcW w:w="992" w:type="dxa"/>
            <w:tcMar>
              <w:left w:w="29" w:type="dxa"/>
              <w:right w:w="29" w:type="dxa"/>
            </w:tcMar>
          </w:tcPr>
          <w:p w14:paraId="51B01393" w14:textId="77777777" w:rsidR="00D34707" w:rsidRPr="007E2738" w:rsidRDefault="00D34707" w:rsidP="00924B86">
            <w:pPr>
              <w:rPr>
                <w:rFonts w:ascii="Times New Roman" w:hAnsi="Times New Roman" w:cs="Times New Roman"/>
                <w:color w:val="000000" w:themeColor="text1"/>
              </w:rPr>
            </w:pPr>
          </w:p>
        </w:tc>
        <w:tc>
          <w:tcPr>
            <w:tcW w:w="992" w:type="dxa"/>
            <w:tcMar>
              <w:left w:w="29" w:type="dxa"/>
              <w:right w:w="29" w:type="dxa"/>
            </w:tcMar>
          </w:tcPr>
          <w:p w14:paraId="6AEBD221" w14:textId="77777777" w:rsidR="00D34707" w:rsidRPr="007E2738" w:rsidRDefault="00D34707" w:rsidP="00924B86">
            <w:pPr>
              <w:rPr>
                <w:rFonts w:ascii="Times New Roman" w:hAnsi="Times New Roman" w:cs="Times New Roman"/>
                <w:color w:val="000000" w:themeColor="text1"/>
              </w:rPr>
            </w:pPr>
          </w:p>
        </w:tc>
        <w:tc>
          <w:tcPr>
            <w:tcW w:w="992" w:type="dxa"/>
            <w:tcMar>
              <w:left w:w="29" w:type="dxa"/>
              <w:right w:w="29" w:type="dxa"/>
            </w:tcMar>
          </w:tcPr>
          <w:p w14:paraId="73E9331F" w14:textId="77777777" w:rsidR="00D34707" w:rsidRPr="007E2738" w:rsidRDefault="00D34707" w:rsidP="00924B86">
            <w:pPr>
              <w:rPr>
                <w:rFonts w:ascii="Times New Roman" w:hAnsi="Times New Roman" w:cs="Times New Roman"/>
                <w:color w:val="000000" w:themeColor="text1"/>
              </w:rPr>
            </w:pPr>
          </w:p>
        </w:tc>
      </w:tr>
      <w:tr w:rsidR="00D34707" w:rsidRPr="007E2738" w14:paraId="07D773B5" w14:textId="77777777" w:rsidTr="00924B86">
        <w:trPr>
          <w:trHeight w:val="546"/>
        </w:trPr>
        <w:tc>
          <w:tcPr>
            <w:tcW w:w="3926" w:type="dxa"/>
            <w:tcMar>
              <w:left w:w="29" w:type="dxa"/>
              <w:right w:w="29" w:type="dxa"/>
            </w:tcMar>
            <w:vAlign w:val="bottom"/>
          </w:tcPr>
          <w:p w14:paraId="47B1AF64" w14:textId="77777777" w:rsidR="00D34707" w:rsidRPr="007E2738" w:rsidRDefault="00D34707" w:rsidP="00D34707">
            <w:pPr>
              <w:numPr>
                <w:ilvl w:val="0"/>
                <w:numId w:val="7"/>
              </w:numPr>
              <w:spacing w:after="0" w:line="240" w:lineRule="auto"/>
              <w:ind w:left="450"/>
              <w:rPr>
                <w:rFonts w:ascii="Times New Roman" w:hAnsi="Times New Roman" w:cs="Times New Roman"/>
                <w:color w:val="000000" w:themeColor="text1"/>
              </w:rPr>
            </w:pPr>
            <w:r w:rsidRPr="007E2738">
              <w:rPr>
                <w:rFonts w:ascii="Times New Roman" w:hAnsi="Times New Roman" w:cs="Times New Roman"/>
                <w:color w:val="000000" w:themeColor="text1"/>
              </w:rPr>
              <w:t>I would recommend making this service available for other patients.</w:t>
            </w:r>
          </w:p>
        </w:tc>
        <w:tc>
          <w:tcPr>
            <w:tcW w:w="992" w:type="dxa"/>
            <w:tcMar>
              <w:left w:w="29" w:type="dxa"/>
              <w:right w:w="29" w:type="dxa"/>
            </w:tcMar>
          </w:tcPr>
          <w:p w14:paraId="06A27BAE" w14:textId="77777777" w:rsidR="00D34707" w:rsidRPr="007E2738" w:rsidRDefault="00D34707" w:rsidP="00924B86">
            <w:pPr>
              <w:rPr>
                <w:rFonts w:ascii="Times New Roman" w:hAnsi="Times New Roman" w:cs="Times New Roman"/>
                <w:color w:val="000000" w:themeColor="text1"/>
              </w:rPr>
            </w:pPr>
          </w:p>
        </w:tc>
        <w:tc>
          <w:tcPr>
            <w:tcW w:w="992" w:type="dxa"/>
            <w:tcMar>
              <w:left w:w="29" w:type="dxa"/>
              <w:right w:w="29" w:type="dxa"/>
            </w:tcMar>
          </w:tcPr>
          <w:p w14:paraId="226F685A" w14:textId="77777777" w:rsidR="00D34707" w:rsidRPr="007E2738" w:rsidRDefault="00D34707" w:rsidP="00924B86">
            <w:pPr>
              <w:rPr>
                <w:rFonts w:ascii="Times New Roman" w:hAnsi="Times New Roman" w:cs="Times New Roman"/>
                <w:color w:val="000000" w:themeColor="text1"/>
              </w:rPr>
            </w:pPr>
          </w:p>
        </w:tc>
        <w:tc>
          <w:tcPr>
            <w:tcW w:w="992" w:type="dxa"/>
            <w:tcMar>
              <w:left w:w="29" w:type="dxa"/>
              <w:right w:w="29" w:type="dxa"/>
            </w:tcMar>
          </w:tcPr>
          <w:p w14:paraId="270309A2" w14:textId="77777777" w:rsidR="00D34707" w:rsidRPr="007E2738" w:rsidRDefault="00D34707" w:rsidP="00924B86">
            <w:pPr>
              <w:rPr>
                <w:rFonts w:ascii="Times New Roman" w:hAnsi="Times New Roman" w:cs="Times New Roman"/>
                <w:color w:val="000000" w:themeColor="text1"/>
              </w:rPr>
            </w:pPr>
          </w:p>
        </w:tc>
        <w:tc>
          <w:tcPr>
            <w:tcW w:w="992" w:type="dxa"/>
            <w:tcMar>
              <w:left w:w="29" w:type="dxa"/>
              <w:right w:w="29" w:type="dxa"/>
            </w:tcMar>
          </w:tcPr>
          <w:p w14:paraId="3A954386" w14:textId="77777777" w:rsidR="00D34707" w:rsidRPr="007E2738" w:rsidRDefault="00D34707" w:rsidP="00924B86">
            <w:pPr>
              <w:rPr>
                <w:rFonts w:ascii="Times New Roman" w:hAnsi="Times New Roman" w:cs="Times New Roman"/>
                <w:color w:val="000000" w:themeColor="text1"/>
              </w:rPr>
            </w:pPr>
          </w:p>
        </w:tc>
        <w:tc>
          <w:tcPr>
            <w:tcW w:w="992" w:type="dxa"/>
            <w:tcMar>
              <w:left w:w="29" w:type="dxa"/>
              <w:right w:w="29" w:type="dxa"/>
            </w:tcMar>
          </w:tcPr>
          <w:p w14:paraId="0B4C43F3" w14:textId="77777777" w:rsidR="00D34707" w:rsidRPr="007E2738" w:rsidRDefault="00D34707" w:rsidP="00924B86">
            <w:pPr>
              <w:rPr>
                <w:rFonts w:ascii="Times New Roman" w:hAnsi="Times New Roman" w:cs="Times New Roman"/>
                <w:color w:val="000000" w:themeColor="text1"/>
              </w:rPr>
            </w:pPr>
          </w:p>
        </w:tc>
      </w:tr>
    </w:tbl>
    <w:p w14:paraId="697FE89B" w14:textId="77777777" w:rsidR="00D34707" w:rsidRPr="007E2738" w:rsidRDefault="00D34707" w:rsidP="00D34707">
      <w:pPr>
        <w:rPr>
          <w:rFonts w:ascii="Times New Roman" w:hAnsi="Times New Roman" w:cs="Times New Roman"/>
          <w:color w:val="000000" w:themeColor="text1"/>
        </w:rPr>
      </w:pPr>
    </w:p>
    <w:p w14:paraId="6B0B5FF7" w14:textId="77777777" w:rsidR="00D34707" w:rsidRPr="007E2738" w:rsidRDefault="00D34707" w:rsidP="00D34707">
      <w:pPr>
        <w:rPr>
          <w:rFonts w:ascii="Times New Roman" w:hAnsi="Times New Roman" w:cs="Times New Roman"/>
          <w:color w:val="000000" w:themeColor="text1"/>
        </w:rPr>
      </w:pPr>
      <w:r w:rsidRPr="007E2738">
        <w:rPr>
          <w:rFonts w:ascii="Times New Roman" w:hAnsi="Times New Roman" w:cs="Times New Roman"/>
          <w:color w:val="000000" w:themeColor="text1"/>
        </w:rPr>
        <w:t xml:space="preserve">Any other comments: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D34707" w:rsidRPr="007E2738" w14:paraId="2FF4ECCE" w14:textId="77777777" w:rsidTr="00D34707">
        <w:trPr>
          <w:trHeight w:val="2856"/>
        </w:trPr>
        <w:tc>
          <w:tcPr>
            <w:tcW w:w="8976" w:type="dxa"/>
            <w:shd w:val="clear" w:color="auto" w:fill="auto"/>
          </w:tcPr>
          <w:p w14:paraId="0AC3DFCC" w14:textId="77777777" w:rsidR="00D34707" w:rsidRDefault="00D34707" w:rsidP="00924B86">
            <w:pPr>
              <w:rPr>
                <w:rFonts w:ascii="Times New Roman" w:hAnsi="Times New Roman" w:cs="Times New Roman"/>
                <w:color w:val="000000" w:themeColor="text1"/>
              </w:rPr>
            </w:pPr>
          </w:p>
          <w:p w14:paraId="556B50E7" w14:textId="77777777" w:rsidR="00D34707" w:rsidRDefault="00D34707" w:rsidP="00924B86">
            <w:pPr>
              <w:rPr>
                <w:rFonts w:ascii="Times New Roman" w:hAnsi="Times New Roman" w:cs="Times New Roman"/>
                <w:color w:val="000000" w:themeColor="text1"/>
              </w:rPr>
            </w:pPr>
          </w:p>
          <w:p w14:paraId="02C9FA99" w14:textId="77777777" w:rsidR="00D34707" w:rsidRDefault="00D34707" w:rsidP="00924B86">
            <w:pPr>
              <w:rPr>
                <w:rFonts w:ascii="Times New Roman" w:hAnsi="Times New Roman" w:cs="Times New Roman"/>
                <w:color w:val="000000" w:themeColor="text1"/>
              </w:rPr>
            </w:pPr>
          </w:p>
          <w:p w14:paraId="1694C68A" w14:textId="77777777" w:rsidR="00D34707" w:rsidRDefault="00D34707" w:rsidP="00924B86">
            <w:pPr>
              <w:rPr>
                <w:rFonts w:ascii="Times New Roman" w:hAnsi="Times New Roman" w:cs="Times New Roman"/>
                <w:color w:val="000000" w:themeColor="text1"/>
              </w:rPr>
            </w:pPr>
          </w:p>
          <w:p w14:paraId="358846C4" w14:textId="77777777" w:rsidR="00D34707" w:rsidRDefault="00D34707" w:rsidP="00924B86">
            <w:pPr>
              <w:rPr>
                <w:rFonts w:ascii="Times New Roman" w:hAnsi="Times New Roman" w:cs="Times New Roman"/>
                <w:color w:val="000000" w:themeColor="text1"/>
              </w:rPr>
            </w:pPr>
          </w:p>
          <w:p w14:paraId="1C82376B" w14:textId="77777777" w:rsidR="00D34707" w:rsidRDefault="00D34707" w:rsidP="00924B86">
            <w:pPr>
              <w:rPr>
                <w:rFonts w:ascii="Times New Roman" w:hAnsi="Times New Roman" w:cs="Times New Roman"/>
                <w:color w:val="000000" w:themeColor="text1"/>
              </w:rPr>
            </w:pPr>
          </w:p>
          <w:p w14:paraId="49FC5875" w14:textId="77777777" w:rsidR="00D34707" w:rsidRDefault="00D34707" w:rsidP="00924B86">
            <w:pPr>
              <w:rPr>
                <w:rFonts w:ascii="Times New Roman" w:hAnsi="Times New Roman" w:cs="Times New Roman"/>
                <w:color w:val="000000" w:themeColor="text1"/>
              </w:rPr>
            </w:pPr>
          </w:p>
          <w:p w14:paraId="2B4923F3" w14:textId="4A94CFFF" w:rsidR="00D34707" w:rsidRPr="007E2738" w:rsidRDefault="00D34707" w:rsidP="00924B86">
            <w:pPr>
              <w:rPr>
                <w:rFonts w:ascii="Times New Roman" w:hAnsi="Times New Roman" w:cs="Times New Roman"/>
                <w:color w:val="000000" w:themeColor="text1"/>
              </w:rPr>
            </w:pPr>
          </w:p>
        </w:tc>
      </w:tr>
    </w:tbl>
    <w:p w14:paraId="056BDC51" w14:textId="77777777" w:rsidR="00D34707" w:rsidRPr="007E2738" w:rsidRDefault="00D34707" w:rsidP="00D34707">
      <w:pPr>
        <w:rPr>
          <w:rFonts w:ascii="Times New Roman" w:hAnsi="Times New Roman" w:cs="Times New Roman"/>
          <w:color w:val="000000" w:themeColor="text1"/>
        </w:rPr>
      </w:pPr>
      <w:r w:rsidRPr="007E2738">
        <w:rPr>
          <w:rFonts w:ascii="Times New Roman" w:hAnsi="Times New Roman" w:cs="Times New Roman"/>
          <w:color w:val="000000" w:themeColor="text1"/>
        </w:rPr>
        <w:t>Thank you for completing.</w:t>
      </w:r>
    </w:p>
    <w:p w14:paraId="00B43B47" w14:textId="77777777" w:rsidR="00D34707" w:rsidRDefault="00D34707" w:rsidP="005A1C2A">
      <w:pPr>
        <w:spacing w:after="0" w:line="240" w:lineRule="auto"/>
        <w:jc w:val="both"/>
        <w:rPr>
          <w:rFonts w:ascii="Times New Roman" w:hAnsi="Times New Roman" w:cs="Times New Roman"/>
          <w:color w:val="000000" w:themeColor="text1"/>
          <w:sz w:val="24"/>
          <w:szCs w:val="24"/>
        </w:rPr>
      </w:pPr>
    </w:p>
    <w:p w14:paraId="2FD043EE" w14:textId="433FC6A3" w:rsidR="005A1C2A" w:rsidRDefault="005A1C2A" w:rsidP="005A1C2A">
      <w:pPr>
        <w:spacing w:after="0" w:line="240" w:lineRule="auto"/>
        <w:jc w:val="both"/>
        <w:rPr>
          <w:rFonts w:ascii="Times New Roman" w:hAnsi="Times New Roman" w:cs="Times New Roman"/>
          <w:color w:val="000000" w:themeColor="text1"/>
          <w:sz w:val="24"/>
          <w:szCs w:val="24"/>
        </w:rPr>
      </w:pPr>
      <w:r w:rsidRPr="0067446B">
        <w:rPr>
          <w:rFonts w:ascii="Times New Roman" w:hAnsi="Times New Roman" w:cs="Times New Roman"/>
          <w:color w:val="000000" w:themeColor="text1"/>
          <w:sz w:val="24"/>
          <w:szCs w:val="24"/>
        </w:rPr>
        <w:t>References</w:t>
      </w:r>
    </w:p>
    <w:p w14:paraId="6FE958F4" w14:textId="77777777" w:rsidR="007540B0" w:rsidRPr="0067446B" w:rsidRDefault="007540B0" w:rsidP="005A1C2A">
      <w:pPr>
        <w:spacing w:after="0" w:line="240" w:lineRule="auto"/>
        <w:jc w:val="both"/>
        <w:rPr>
          <w:rFonts w:ascii="Times New Roman" w:hAnsi="Times New Roman" w:cs="Times New Roman"/>
          <w:color w:val="000000" w:themeColor="text1"/>
          <w:sz w:val="24"/>
          <w:szCs w:val="24"/>
        </w:rPr>
      </w:pPr>
    </w:p>
    <w:p w14:paraId="1E877245" w14:textId="77777777" w:rsidR="0067446B" w:rsidRPr="007540B0" w:rsidRDefault="0067446B" w:rsidP="007540B0">
      <w:pPr>
        <w:pStyle w:val="ListParagraph"/>
        <w:numPr>
          <w:ilvl w:val="0"/>
          <w:numId w:val="6"/>
        </w:numPr>
        <w:jc w:val="both"/>
        <w:rPr>
          <w:color w:val="000000" w:themeColor="text1"/>
        </w:rPr>
      </w:pPr>
      <w:r w:rsidRPr="007540B0">
        <w:rPr>
          <w:color w:val="000000" w:themeColor="text1"/>
        </w:rPr>
        <w:t>AbuRuz SM, Bulatova NR, Yousef AM. Validation of a comprehensive classification tool for treatment related problems. Pharm Word Sci. 2006;28:222–232.</w:t>
      </w:r>
    </w:p>
    <w:p w14:paraId="479CD8CC" w14:textId="1A0619E1" w:rsidR="003B1DB5" w:rsidRPr="007540B0" w:rsidRDefault="003B1DB5" w:rsidP="007540B0">
      <w:pPr>
        <w:pStyle w:val="ListParagraph"/>
        <w:numPr>
          <w:ilvl w:val="0"/>
          <w:numId w:val="6"/>
        </w:numPr>
        <w:jc w:val="both"/>
        <w:rPr>
          <w:color w:val="000000" w:themeColor="text1"/>
        </w:rPr>
      </w:pPr>
      <w:r w:rsidRPr="007540B0">
        <w:rPr>
          <w:color w:val="000000" w:themeColor="text1"/>
        </w:rPr>
        <w:t>Hanlon JT, Schmader KE, Samsa GP, Weinberger M., Uttech KM., Lewis IK., Cohen HJ</w:t>
      </w:r>
      <w:r w:rsidR="003909B9">
        <w:rPr>
          <w:color w:val="000000" w:themeColor="text1"/>
        </w:rPr>
        <w:t>,</w:t>
      </w:r>
      <w:r w:rsidRPr="007540B0">
        <w:rPr>
          <w:color w:val="000000" w:themeColor="text1"/>
        </w:rPr>
        <w:t xml:space="preserve"> Feussner JR. A Method for Assessing Drug-Therapy Appropriateness. J Clin Epidemiol. </w:t>
      </w:r>
      <w:r w:rsidR="003909B9">
        <w:rPr>
          <w:color w:val="000000" w:themeColor="text1"/>
        </w:rPr>
        <w:t>1992;</w:t>
      </w:r>
      <w:r w:rsidRPr="007540B0">
        <w:rPr>
          <w:color w:val="000000" w:themeColor="text1"/>
        </w:rPr>
        <w:t>45:1045–1051.</w:t>
      </w:r>
    </w:p>
    <w:p w14:paraId="42FAC1C5" w14:textId="30C3AD15" w:rsidR="003B1DB5" w:rsidRPr="007540B0" w:rsidRDefault="003B1DB5" w:rsidP="007540B0">
      <w:pPr>
        <w:pStyle w:val="ListParagraph"/>
        <w:numPr>
          <w:ilvl w:val="0"/>
          <w:numId w:val="6"/>
        </w:numPr>
        <w:jc w:val="both"/>
        <w:rPr>
          <w:rFonts w:eastAsiaTheme="minorHAnsi"/>
          <w:color w:val="000000" w:themeColor="text1"/>
        </w:rPr>
      </w:pPr>
      <w:r w:rsidRPr="007540B0">
        <w:rPr>
          <w:color w:val="000000" w:themeColor="text1"/>
        </w:rPr>
        <w:t>Hanlon JT</w:t>
      </w:r>
      <w:r w:rsidR="003909B9">
        <w:rPr>
          <w:color w:val="000000" w:themeColor="text1"/>
        </w:rPr>
        <w:t xml:space="preserve">, </w:t>
      </w:r>
      <w:r w:rsidRPr="007540B0">
        <w:rPr>
          <w:color w:val="000000" w:themeColor="text1"/>
        </w:rPr>
        <w:t>Schmader KE</w:t>
      </w:r>
      <w:r w:rsidRPr="007540B0">
        <w:rPr>
          <w:rFonts w:eastAsiaTheme="minorHAnsi"/>
          <w:color w:val="000000" w:themeColor="text1"/>
        </w:rPr>
        <w:t xml:space="preserve">. The Medication Appropriateness Index at 20: Where it Started, Where it has been and Where it May be Going. Drugs Aging. </w:t>
      </w:r>
      <w:r w:rsidR="003909B9" w:rsidRPr="007540B0">
        <w:rPr>
          <w:rFonts w:eastAsiaTheme="minorHAnsi"/>
          <w:color w:val="000000" w:themeColor="text1"/>
        </w:rPr>
        <w:t>2013</w:t>
      </w:r>
      <w:r w:rsidR="003909B9">
        <w:rPr>
          <w:rFonts w:eastAsiaTheme="minorHAnsi"/>
          <w:color w:val="000000" w:themeColor="text1"/>
        </w:rPr>
        <w:t>;</w:t>
      </w:r>
      <w:r w:rsidRPr="007540B0">
        <w:rPr>
          <w:rFonts w:eastAsiaTheme="minorHAnsi"/>
          <w:color w:val="000000" w:themeColor="text1"/>
        </w:rPr>
        <w:t>30</w:t>
      </w:r>
      <w:r w:rsidRPr="007540B0">
        <w:rPr>
          <w:color w:val="000000" w:themeColor="text1"/>
        </w:rPr>
        <w:t>:893-900.</w:t>
      </w:r>
    </w:p>
    <w:p w14:paraId="32AA85B6" w14:textId="4602C229" w:rsidR="003B1DB5" w:rsidRPr="007540B0" w:rsidRDefault="003B1DB5" w:rsidP="007540B0">
      <w:pPr>
        <w:pStyle w:val="ListParagraph"/>
        <w:numPr>
          <w:ilvl w:val="0"/>
          <w:numId w:val="6"/>
        </w:numPr>
        <w:jc w:val="both"/>
        <w:rPr>
          <w:rFonts w:eastAsiaTheme="minorHAnsi"/>
          <w:color w:val="000000" w:themeColor="text1"/>
        </w:rPr>
      </w:pPr>
      <w:r w:rsidRPr="007540B0">
        <w:rPr>
          <w:rFonts w:eastAsiaTheme="minorHAnsi"/>
          <w:color w:val="000000" w:themeColor="text1"/>
        </w:rPr>
        <w:t>Samsa GP</w:t>
      </w:r>
      <w:r w:rsidR="003909B9">
        <w:rPr>
          <w:rFonts w:eastAsiaTheme="minorHAnsi"/>
          <w:color w:val="000000" w:themeColor="text1"/>
        </w:rPr>
        <w:t>,</w:t>
      </w:r>
      <w:r w:rsidRPr="007540B0">
        <w:rPr>
          <w:rFonts w:eastAsiaTheme="minorHAnsi"/>
          <w:color w:val="000000" w:themeColor="text1"/>
        </w:rPr>
        <w:t xml:space="preserve"> Hanlon</w:t>
      </w:r>
      <w:r w:rsidR="003909B9">
        <w:rPr>
          <w:rFonts w:eastAsiaTheme="minorHAnsi"/>
          <w:color w:val="000000" w:themeColor="text1"/>
        </w:rPr>
        <w:t xml:space="preserve"> </w:t>
      </w:r>
      <w:r w:rsidRPr="007540B0">
        <w:rPr>
          <w:rFonts w:eastAsiaTheme="minorHAnsi"/>
          <w:color w:val="000000" w:themeColor="text1"/>
        </w:rPr>
        <w:t>JT, Schmader KE, Weinberger M, Clip</w:t>
      </w:r>
      <w:r w:rsidR="003909B9">
        <w:rPr>
          <w:rFonts w:eastAsiaTheme="minorHAnsi"/>
          <w:color w:val="000000" w:themeColor="text1"/>
        </w:rPr>
        <w:t>p</w:t>
      </w:r>
      <w:r w:rsidRPr="007540B0">
        <w:rPr>
          <w:rFonts w:eastAsiaTheme="minorHAnsi"/>
          <w:color w:val="000000" w:themeColor="text1"/>
        </w:rPr>
        <w:t xml:space="preserve"> EC, Uttech KM, Lewis IK, Landsman PB</w:t>
      </w:r>
      <w:r w:rsidR="003909B9">
        <w:rPr>
          <w:rFonts w:eastAsiaTheme="minorHAnsi"/>
          <w:color w:val="000000" w:themeColor="text1"/>
        </w:rPr>
        <w:t>,</w:t>
      </w:r>
      <w:r w:rsidRPr="007540B0">
        <w:rPr>
          <w:rFonts w:eastAsiaTheme="minorHAnsi"/>
          <w:color w:val="000000" w:themeColor="text1"/>
        </w:rPr>
        <w:t xml:space="preserve"> Cohen HJ. A summated score for the medication appropriateness index: development and assessment of clinimetric properties including content validity. J Clin Epidemiol. </w:t>
      </w:r>
      <w:r w:rsidR="003909B9" w:rsidRPr="007540B0">
        <w:rPr>
          <w:rFonts w:eastAsiaTheme="minorHAnsi"/>
          <w:color w:val="000000" w:themeColor="text1"/>
        </w:rPr>
        <w:t>1994</w:t>
      </w:r>
      <w:r w:rsidR="003909B9">
        <w:rPr>
          <w:rFonts w:eastAsiaTheme="minorHAnsi"/>
          <w:color w:val="000000" w:themeColor="text1"/>
        </w:rPr>
        <w:t>;</w:t>
      </w:r>
      <w:r w:rsidRPr="007540B0">
        <w:rPr>
          <w:rFonts w:eastAsiaTheme="minorHAnsi"/>
          <w:color w:val="000000" w:themeColor="text1"/>
        </w:rPr>
        <w:t>47:891-896.</w:t>
      </w:r>
    </w:p>
    <w:p w14:paraId="6BC204FC" w14:textId="367AD5EA" w:rsidR="003B1DB5" w:rsidRPr="007540B0" w:rsidRDefault="003B1DB5" w:rsidP="007540B0">
      <w:pPr>
        <w:pStyle w:val="ListParagraph"/>
        <w:numPr>
          <w:ilvl w:val="0"/>
          <w:numId w:val="6"/>
        </w:numPr>
        <w:jc w:val="both"/>
        <w:rPr>
          <w:color w:val="000000" w:themeColor="text1"/>
        </w:rPr>
      </w:pPr>
      <w:r w:rsidRPr="007540B0">
        <w:rPr>
          <w:color w:val="000000" w:themeColor="text1"/>
        </w:rPr>
        <w:t>Bregnhoj L, Thirstrup S</w:t>
      </w:r>
      <w:r w:rsidR="003909B9">
        <w:rPr>
          <w:color w:val="000000" w:themeColor="text1"/>
        </w:rPr>
        <w:t>,</w:t>
      </w:r>
      <w:r w:rsidRPr="007540B0">
        <w:rPr>
          <w:color w:val="000000" w:themeColor="text1"/>
        </w:rPr>
        <w:t xml:space="preserve"> Kristensen MB</w:t>
      </w:r>
      <w:r w:rsidR="003909B9">
        <w:rPr>
          <w:color w:val="000000" w:themeColor="text1"/>
        </w:rPr>
        <w:t>,</w:t>
      </w:r>
      <w:r w:rsidRPr="007540B0">
        <w:rPr>
          <w:color w:val="000000" w:themeColor="text1"/>
        </w:rPr>
        <w:t xml:space="preserve"> Sonne J. Reliability of a modified medication appropriateness index in primary care. </w:t>
      </w:r>
      <w:r w:rsidRPr="007540B0">
        <w:t xml:space="preserve">European Journal of Clinical Pharmacology. </w:t>
      </w:r>
      <w:r w:rsidR="003909B9" w:rsidRPr="007540B0">
        <w:rPr>
          <w:color w:val="000000" w:themeColor="text1"/>
        </w:rPr>
        <w:t>2005</w:t>
      </w:r>
      <w:r w:rsidR="003909B9">
        <w:rPr>
          <w:color w:val="000000" w:themeColor="text1"/>
        </w:rPr>
        <w:t>;</w:t>
      </w:r>
      <w:r w:rsidRPr="007540B0">
        <w:t>61(10):769-73</w:t>
      </w:r>
    </w:p>
    <w:p w14:paraId="7FE51DBA" w14:textId="1C191BF6" w:rsidR="003B1DB5" w:rsidRPr="007540B0" w:rsidRDefault="003B1DB5" w:rsidP="007540B0">
      <w:pPr>
        <w:pStyle w:val="ListParagraph"/>
        <w:numPr>
          <w:ilvl w:val="0"/>
          <w:numId w:val="6"/>
        </w:numPr>
        <w:jc w:val="both"/>
        <w:rPr>
          <w:rFonts w:eastAsiaTheme="minorHAnsi"/>
          <w:color w:val="000000" w:themeColor="text1"/>
        </w:rPr>
      </w:pPr>
      <w:r w:rsidRPr="007540B0">
        <w:rPr>
          <w:rFonts w:eastAsiaTheme="minorHAnsi"/>
          <w:color w:val="000000" w:themeColor="text1"/>
        </w:rPr>
        <w:t>O'Connor MN, Gallagher P</w:t>
      </w:r>
      <w:r w:rsidR="003909B9">
        <w:rPr>
          <w:rFonts w:eastAsiaTheme="minorHAnsi"/>
          <w:color w:val="000000" w:themeColor="text1"/>
        </w:rPr>
        <w:t>,</w:t>
      </w:r>
      <w:r w:rsidRPr="007540B0">
        <w:rPr>
          <w:rFonts w:eastAsiaTheme="minorHAnsi"/>
          <w:color w:val="000000" w:themeColor="text1"/>
        </w:rPr>
        <w:t xml:space="preserve"> O'Mahony</w:t>
      </w:r>
      <w:r w:rsidR="003909B9">
        <w:rPr>
          <w:rFonts w:eastAsiaTheme="minorHAnsi"/>
          <w:color w:val="000000" w:themeColor="text1"/>
        </w:rPr>
        <w:t xml:space="preserve"> </w:t>
      </w:r>
      <w:r w:rsidRPr="007540B0">
        <w:rPr>
          <w:rFonts w:eastAsiaTheme="minorHAnsi"/>
          <w:color w:val="000000" w:themeColor="text1"/>
        </w:rPr>
        <w:t xml:space="preserve">D. Inappropriate prescribing: criteria, detection and prevention. Drugs Aging. </w:t>
      </w:r>
      <w:r w:rsidR="003909B9" w:rsidRPr="007540B0">
        <w:rPr>
          <w:rFonts w:eastAsiaTheme="minorHAnsi"/>
          <w:color w:val="000000" w:themeColor="text1"/>
        </w:rPr>
        <w:t>2012</w:t>
      </w:r>
      <w:r w:rsidR="003909B9">
        <w:rPr>
          <w:rFonts w:eastAsiaTheme="minorHAnsi"/>
          <w:color w:val="000000" w:themeColor="text1"/>
        </w:rPr>
        <w:t>;</w:t>
      </w:r>
      <w:r w:rsidRPr="007540B0">
        <w:rPr>
          <w:rFonts w:eastAsiaTheme="minorHAnsi"/>
          <w:color w:val="000000" w:themeColor="text1"/>
        </w:rPr>
        <w:t>29:437-52.</w:t>
      </w:r>
    </w:p>
    <w:p w14:paraId="78A4DB0E" w14:textId="2079FBF7" w:rsidR="003B1DB5" w:rsidRPr="007540B0" w:rsidRDefault="003B1DB5" w:rsidP="007540B0">
      <w:pPr>
        <w:pStyle w:val="ListParagraph"/>
        <w:numPr>
          <w:ilvl w:val="0"/>
          <w:numId w:val="6"/>
        </w:numPr>
        <w:jc w:val="both"/>
        <w:rPr>
          <w:color w:val="000000" w:themeColor="text1"/>
        </w:rPr>
      </w:pPr>
      <w:r w:rsidRPr="007540B0">
        <w:rPr>
          <w:color w:val="000000" w:themeColor="text1"/>
        </w:rPr>
        <w:t>West</w:t>
      </w:r>
      <w:r w:rsidR="003909B9">
        <w:rPr>
          <w:color w:val="000000" w:themeColor="text1"/>
        </w:rPr>
        <w:t xml:space="preserve"> </w:t>
      </w:r>
      <w:r w:rsidRPr="007540B0">
        <w:rPr>
          <w:color w:val="000000" w:themeColor="text1"/>
        </w:rPr>
        <w:t>LM, Cordina M</w:t>
      </w:r>
      <w:r w:rsidR="003909B9">
        <w:rPr>
          <w:color w:val="000000" w:themeColor="text1"/>
        </w:rPr>
        <w:t xml:space="preserve">, </w:t>
      </w:r>
      <w:r w:rsidRPr="007540B0">
        <w:rPr>
          <w:color w:val="000000" w:themeColor="text1"/>
        </w:rPr>
        <w:t xml:space="preserve">Cunningham S. Clinical pharmacist evaluation of medication inappropriateness in the emergency department of a teaching hospital in Malta. Pharmacy Practice. </w:t>
      </w:r>
      <w:r w:rsidR="003909B9" w:rsidRPr="007540B0">
        <w:rPr>
          <w:color w:val="000000" w:themeColor="text1"/>
        </w:rPr>
        <w:t>2012</w:t>
      </w:r>
      <w:r w:rsidR="003909B9">
        <w:rPr>
          <w:color w:val="000000" w:themeColor="text1"/>
        </w:rPr>
        <w:t>;</w:t>
      </w:r>
      <w:r w:rsidRPr="007540B0">
        <w:rPr>
          <w:color w:val="000000" w:themeColor="text1"/>
        </w:rPr>
        <w:t>10:181-187</w:t>
      </w:r>
    </w:p>
    <w:p w14:paraId="41B62B7C" w14:textId="502B9DB8" w:rsidR="0067446B" w:rsidRPr="007540B0" w:rsidRDefault="003B1DB5" w:rsidP="007540B0">
      <w:pPr>
        <w:pStyle w:val="ListParagraph"/>
        <w:numPr>
          <w:ilvl w:val="0"/>
          <w:numId w:val="6"/>
        </w:numPr>
        <w:jc w:val="both"/>
        <w:rPr>
          <w:color w:val="000000" w:themeColor="text1"/>
        </w:rPr>
      </w:pPr>
      <w:r w:rsidRPr="007540B0">
        <w:rPr>
          <w:color w:val="000000" w:themeColor="text1"/>
        </w:rPr>
        <w:t>Horne R</w:t>
      </w:r>
      <w:r w:rsidR="003909B9">
        <w:rPr>
          <w:color w:val="000000" w:themeColor="text1"/>
        </w:rPr>
        <w:t xml:space="preserve">, </w:t>
      </w:r>
      <w:r w:rsidRPr="007540B0">
        <w:rPr>
          <w:color w:val="000000" w:themeColor="text1"/>
        </w:rPr>
        <w:t>Weinman J. Self-regulation and self-management in asthma: exploring the role of illness perceptions and treatment beliefs in explaining non-adherence to preventer medication</w:t>
      </w:r>
      <w:r w:rsidR="003909B9">
        <w:rPr>
          <w:color w:val="000000" w:themeColor="text1"/>
        </w:rPr>
        <w:t>.</w:t>
      </w:r>
      <w:r w:rsidRPr="007540B0">
        <w:rPr>
          <w:color w:val="000000" w:themeColor="text1"/>
        </w:rPr>
        <w:t xml:space="preserve"> Psychology and Health</w:t>
      </w:r>
      <w:r w:rsidR="003909B9">
        <w:rPr>
          <w:color w:val="000000" w:themeColor="text1"/>
        </w:rPr>
        <w:t xml:space="preserve">. </w:t>
      </w:r>
      <w:r w:rsidR="003909B9" w:rsidRPr="007540B0">
        <w:rPr>
          <w:color w:val="000000" w:themeColor="text1"/>
        </w:rPr>
        <w:t>2002</w:t>
      </w:r>
      <w:r w:rsidR="003909B9">
        <w:rPr>
          <w:color w:val="000000" w:themeColor="text1"/>
        </w:rPr>
        <w:t>;</w:t>
      </w:r>
      <w:r w:rsidRPr="007540B0">
        <w:rPr>
          <w:color w:val="000000" w:themeColor="text1"/>
        </w:rPr>
        <w:t>14:1–24.</w:t>
      </w:r>
    </w:p>
    <w:p w14:paraId="5220CA4D" w14:textId="2A7F0B30" w:rsidR="003B1DB5" w:rsidRPr="007540B0" w:rsidRDefault="003B1DB5" w:rsidP="007540B0">
      <w:pPr>
        <w:pStyle w:val="ListParagraph"/>
        <w:numPr>
          <w:ilvl w:val="0"/>
          <w:numId w:val="6"/>
        </w:numPr>
        <w:jc w:val="both"/>
        <w:rPr>
          <w:color w:val="000000" w:themeColor="text1"/>
        </w:rPr>
      </w:pPr>
      <w:r w:rsidRPr="007540B0">
        <w:rPr>
          <w:color w:val="000000" w:themeColor="text1"/>
        </w:rPr>
        <w:t>Tommelein E, Mehuys E, Van Tongelen I, Brusselle G</w:t>
      </w:r>
      <w:r w:rsidR="003909B9">
        <w:rPr>
          <w:color w:val="000000" w:themeColor="text1"/>
        </w:rPr>
        <w:t xml:space="preserve">, </w:t>
      </w:r>
      <w:r w:rsidRPr="007540B0">
        <w:rPr>
          <w:color w:val="000000" w:themeColor="text1"/>
        </w:rPr>
        <w:t xml:space="preserve">Boussery K. Accuracy of the Medication Adherence Report Scale (MARS-5) as a Quantitative Measure of Adherence to Inhalation Medication in Patients With COPD. Ann Pharmacother. </w:t>
      </w:r>
      <w:r w:rsidR="003909B9" w:rsidRPr="007540B0">
        <w:rPr>
          <w:color w:val="000000" w:themeColor="text1"/>
        </w:rPr>
        <w:t>2014</w:t>
      </w:r>
      <w:r w:rsidR="003909B9">
        <w:rPr>
          <w:color w:val="000000" w:themeColor="text1"/>
        </w:rPr>
        <w:t>;</w:t>
      </w:r>
      <w:r w:rsidRPr="007540B0">
        <w:rPr>
          <w:color w:val="000000" w:themeColor="text1"/>
        </w:rPr>
        <w:t>48: 589–595</w:t>
      </w:r>
      <w:r w:rsidR="003909B9">
        <w:rPr>
          <w:color w:val="000000" w:themeColor="text1"/>
        </w:rPr>
        <w:t>.</w:t>
      </w:r>
    </w:p>
    <w:p w14:paraId="772575DD" w14:textId="4A393A83" w:rsidR="00301739" w:rsidRPr="007540B0" w:rsidRDefault="00301739" w:rsidP="007540B0">
      <w:pPr>
        <w:pStyle w:val="ListParagraph"/>
        <w:numPr>
          <w:ilvl w:val="0"/>
          <w:numId w:val="6"/>
        </w:numPr>
        <w:jc w:val="both"/>
        <w:rPr>
          <w:color w:val="000000" w:themeColor="text1"/>
        </w:rPr>
      </w:pPr>
      <w:r w:rsidRPr="007540B0">
        <w:rPr>
          <w:color w:val="000000" w:themeColor="text1"/>
        </w:rPr>
        <w:t>Horne R, Weinman J</w:t>
      </w:r>
      <w:r w:rsidR="003909B9">
        <w:rPr>
          <w:color w:val="000000" w:themeColor="text1"/>
        </w:rPr>
        <w:t>,</w:t>
      </w:r>
      <w:r w:rsidRPr="007540B0">
        <w:rPr>
          <w:color w:val="000000" w:themeColor="text1"/>
        </w:rPr>
        <w:t xml:space="preserve"> Hankins M. The beliefs about medicines questionnaire: The development and evaluation of a new method for assessing the cognitive representation of medication. Psychology and Health</w:t>
      </w:r>
      <w:r w:rsidR="003909B9">
        <w:rPr>
          <w:color w:val="000000" w:themeColor="text1"/>
        </w:rPr>
        <w:t xml:space="preserve">. </w:t>
      </w:r>
      <w:r w:rsidR="003909B9" w:rsidRPr="007540B0">
        <w:rPr>
          <w:color w:val="000000" w:themeColor="text1"/>
        </w:rPr>
        <w:t>1999</w:t>
      </w:r>
      <w:r w:rsidR="003909B9">
        <w:rPr>
          <w:color w:val="000000" w:themeColor="text1"/>
        </w:rPr>
        <w:t>;</w:t>
      </w:r>
      <w:r w:rsidRPr="007540B0">
        <w:rPr>
          <w:color w:val="000000" w:themeColor="text1"/>
        </w:rPr>
        <w:t>14: 1-24.</w:t>
      </w:r>
    </w:p>
    <w:p w14:paraId="63083DB2" w14:textId="5C4B76BF" w:rsidR="00301739" w:rsidRPr="007540B0" w:rsidRDefault="00301739" w:rsidP="007540B0">
      <w:pPr>
        <w:pStyle w:val="ListParagraph"/>
        <w:numPr>
          <w:ilvl w:val="0"/>
          <w:numId w:val="6"/>
        </w:numPr>
        <w:jc w:val="both"/>
        <w:rPr>
          <w:color w:val="000000" w:themeColor="text1"/>
        </w:rPr>
      </w:pPr>
      <w:r w:rsidRPr="007540B0">
        <w:rPr>
          <w:color w:val="000000" w:themeColor="text1"/>
        </w:rPr>
        <w:t>EuroQol Group</w:t>
      </w:r>
      <w:r w:rsidR="003909B9">
        <w:rPr>
          <w:color w:val="000000" w:themeColor="text1"/>
        </w:rPr>
        <w:t>.</w:t>
      </w:r>
      <w:r w:rsidRPr="007540B0">
        <w:rPr>
          <w:color w:val="000000" w:themeColor="text1"/>
        </w:rPr>
        <w:t xml:space="preserve"> EuroQol-a new facility for the measurement of health-related quality of life. Health Policy. </w:t>
      </w:r>
      <w:r w:rsidR="003909B9" w:rsidRPr="007540B0">
        <w:rPr>
          <w:color w:val="000000" w:themeColor="text1"/>
        </w:rPr>
        <w:t>1990</w:t>
      </w:r>
      <w:r w:rsidR="003909B9">
        <w:rPr>
          <w:color w:val="000000" w:themeColor="text1"/>
        </w:rPr>
        <w:t>;</w:t>
      </w:r>
      <w:r w:rsidRPr="007540B0">
        <w:rPr>
          <w:color w:val="000000" w:themeColor="text1"/>
        </w:rPr>
        <w:t>16:199–208.</w:t>
      </w:r>
    </w:p>
    <w:p w14:paraId="6A754ED7" w14:textId="579D54DC" w:rsidR="00301739" w:rsidRPr="007540B0" w:rsidRDefault="00301739" w:rsidP="007540B0">
      <w:pPr>
        <w:pStyle w:val="ListParagraph"/>
        <w:numPr>
          <w:ilvl w:val="0"/>
          <w:numId w:val="6"/>
        </w:numPr>
        <w:jc w:val="both"/>
        <w:rPr>
          <w:color w:val="000000" w:themeColor="text1"/>
        </w:rPr>
      </w:pPr>
      <w:r w:rsidRPr="007540B0">
        <w:rPr>
          <w:color w:val="000000" w:themeColor="text1"/>
        </w:rPr>
        <w:t>Herdman M, Gudex C, Lloyd A, Janssen M, Parkin D, Bonsel G</w:t>
      </w:r>
      <w:r w:rsidR="003909B9">
        <w:rPr>
          <w:color w:val="000000" w:themeColor="text1"/>
        </w:rPr>
        <w:t xml:space="preserve">, </w:t>
      </w:r>
      <w:r w:rsidRPr="007540B0">
        <w:rPr>
          <w:color w:val="000000" w:themeColor="text1"/>
        </w:rPr>
        <w:t xml:space="preserve">Badia X. Development and preliminary testing of the new five-level version of EQ-5D (EQ-5D-5L). Qual life Res. </w:t>
      </w:r>
      <w:r w:rsidR="003909B9" w:rsidRPr="007540B0">
        <w:rPr>
          <w:color w:val="000000" w:themeColor="text1"/>
        </w:rPr>
        <w:t>2011</w:t>
      </w:r>
      <w:r w:rsidR="003909B9">
        <w:rPr>
          <w:color w:val="000000" w:themeColor="text1"/>
        </w:rPr>
        <w:t>;</w:t>
      </w:r>
      <w:r w:rsidRPr="007540B0">
        <w:rPr>
          <w:color w:val="000000" w:themeColor="text1"/>
        </w:rPr>
        <w:t>20:1727-36.</w:t>
      </w:r>
    </w:p>
    <w:p w14:paraId="14092254" w14:textId="7092EF41" w:rsidR="0067446B" w:rsidRPr="007540B0" w:rsidRDefault="007540B0" w:rsidP="007540B0">
      <w:pPr>
        <w:pStyle w:val="ListParagraph"/>
        <w:numPr>
          <w:ilvl w:val="0"/>
          <w:numId w:val="6"/>
        </w:numPr>
        <w:jc w:val="both"/>
        <w:rPr>
          <w:color w:val="000000" w:themeColor="text1"/>
        </w:rPr>
      </w:pPr>
      <w:r w:rsidRPr="007540B0">
        <w:rPr>
          <w:color w:val="000000" w:themeColor="text1"/>
        </w:rPr>
        <w:t>Van Reenen M</w:t>
      </w:r>
      <w:r w:rsidR="003909B9">
        <w:rPr>
          <w:color w:val="000000" w:themeColor="text1"/>
        </w:rPr>
        <w:t xml:space="preserve">, </w:t>
      </w:r>
      <w:r w:rsidRPr="007540B0">
        <w:rPr>
          <w:color w:val="000000" w:themeColor="text1"/>
        </w:rPr>
        <w:t>Janssen B. EQ-5D-5L user guide. Basic information how to use the EQ-5D-5L instrument.</w:t>
      </w:r>
      <w:r w:rsidR="003909B9">
        <w:rPr>
          <w:color w:val="000000" w:themeColor="text1"/>
        </w:rPr>
        <w:t xml:space="preserve"> </w:t>
      </w:r>
      <w:r w:rsidR="003909B9" w:rsidRPr="007540B0">
        <w:rPr>
          <w:color w:val="000000" w:themeColor="text1"/>
        </w:rPr>
        <w:t>2015</w:t>
      </w:r>
      <w:r w:rsidR="003909B9">
        <w:rPr>
          <w:color w:val="000000" w:themeColor="text1"/>
        </w:rPr>
        <w:t xml:space="preserve">. Available </w:t>
      </w:r>
      <w:r w:rsidR="00353427">
        <w:rPr>
          <w:color w:val="000000" w:themeColor="text1"/>
        </w:rPr>
        <w:t xml:space="preserve">from </w:t>
      </w:r>
      <w:hyperlink r:id="rId5" w:history="1">
        <w:r w:rsidR="003909B9" w:rsidRPr="0076154B">
          <w:rPr>
            <w:rStyle w:val="Hyperlink"/>
          </w:rPr>
          <w:t>https://apersu.ca/wp-content/uploads/2016/02/EQ-5D-5L_User-Guide.pdf</w:t>
        </w:r>
      </w:hyperlink>
      <w:r w:rsidR="003909B9">
        <w:rPr>
          <w:color w:val="000000" w:themeColor="text1"/>
        </w:rPr>
        <w:t xml:space="preserve"> (</w:t>
      </w:r>
      <w:r w:rsidR="00353427" w:rsidRPr="007540B0">
        <w:rPr>
          <w:color w:val="000000" w:themeColor="text1"/>
        </w:rPr>
        <w:t>accessed on 25/05/2016</w:t>
      </w:r>
      <w:r w:rsidR="00353427">
        <w:rPr>
          <w:color w:val="000000" w:themeColor="text1"/>
        </w:rPr>
        <w:t>).</w:t>
      </w:r>
    </w:p>
    <w:p w14:paraId="4BB4DDFB" w14:textId="72DE15A5" w:rsidR="007540B0" w:rsidRPr="007540B0" w:rsidRDefault="007540B0" w:rsidP="007540B0">
      <w:pPr>
        <w:pStyle w:val="ListParagraph"/>
        <w:numPr>
          <w:ilvl w:val="0"/>
          <w:numId w:val="6"/>
        </w:numPr>
        <w:jc w:val="both"/>
        <w:rPr>
          <w:color w:val="000000" w:themeColor="text1"/>
        </w:rPr>
      </w:pPr>
      <w:r w:rsidRPr="007540B0">
        <w:rPr>
          <w:color w:val="000000" w:themeColor="text1"/>
        </w:rPr>
        <w:t>Bullinger M</w:t>
      </w:r>
      <w:r w:rsidR="00353427">
        <w:rPr>
          <w:color w:val="000000" w:themeColor="text1"/>
        </w:rPr>
        <w:t>,</w:t>
      </w:r>
      <w:r w:rsidRPr="007540B0">
        <w:rPr>
          <w:color w:val="000000" w:themeColor="text1"/>
        </w:rPr>
        <w:t xml:space="preserve"> Quitmann, J. Quality of life as patient-reported outcomes: principles of assessment. Dialogues in Clinical Neuroscience. </w:t>
      </w:r>
      <w:r w:rsidR="00353427" w:rsidRPr="007540B0">
        <w:rPr>
          <w:color w:val="000000" w:themeColor="text1"/>
        </w:rPr>
        <w:t>2014</w:t>
      </w:r>
      <w:r w:rsidR="00353427">
        <w:rPr>
          <w:color w:val="000000" w:themeColor="text1"/>
        </w:rPr>
        <w:t>;</w:t>
      </w:r>
      <w:r w:rsidRPr="007540B0">
        <w:rPr>
          <w:color w:val="000000" w:themeColor="text1"/>
        </w:rPr>
        <w:t>16:137–145.</w:t>
      </w:r>
    </w:p>
    <w:p w14:paraId="07B98C13" w14:textId="70DA4CC7" w:rsidR="00353427" w:rsidRPr="00353427" w:rsidRDefault="00353427" w:rsidP="00353427">
      <w:pPr>
        <w:pStyle w:val="NormalWeb"/>
        <w:numPr>
          <w:ilvl w:val="0"/>
          <w:numId w:val="6"/>
        </w:numPr>
        <w:tabs>
          <w:tab w:val="left" w:pos="2552"/>
        </w:tabs>
        <w:spacing w:before="0" w:beforeAutospacing="0" w:after="0" w:afterAutospacing="0"/>
        <w:jc w:val="both"/>
        <w:rPr>
          <w:color w:val="000000" w:themeColor="text1"/>
        </w:rPr>
      </w:pPr>
      <w:r w:rsidRPr="00353427">
        <w:rPr>
          <w:rFonts w:eastAsia="Times New Roman"/>
          <w:color w:val="000000" w:themeColor="text1"/>
        </w:rPr>
        <w:t>National Institute for Health and Clinical Excellence. Guide to the methods of technology appraisal. London:</w:t>
      </w:r>
      <w:r w:rsidRPr="00353427">
        <w:rPr>
          <w:color w:val="000000" w:themeColor="text1"/>
        </w:rPr>
        <w:t xml:space="preserve"> National Institute for Health and Clinical Excellence. 2013.</w:t>
      </w:r>
      <w:r w:rsidRPr="00353427">
        <w:rPr>
          <w:i/>
          <w:iCs/>
          <w:color w:val="4472C4" w:themeColor="accent1"/>
        </w:rPr>
        <w:t xml:space="preserve"> </w:t>
      </w:r>
      <w:hyperlink r:id="rId6" w:history="1">
        <w:r w:rsidRPr="00353427">
          <w:rPr>
            <w:rStyle w:val="Hyperlink"/>
          </w:rPr>
          <w:t>https://www.nice.org.uk/process/pmg9/resources/guide-to-the-methods-of-technology-appraisal-2013-pdf-2007975843781</w:t>
        </w:r>
      </w:hyperlink>
      <w:r w:rsidRPr="00353427">
        <w:rPr>
          <w:color w:val="000000" w:themeColor="text1"/>
        </w:rPr>
        <w:t>. Accessed 25 May 2016.</w:t>
      </w:r>
    </w:p>
    <w:p w14:paraId="4971BD62" w14:textId="7F4360F7" w:rsidR="0067446B" w:rsidRPr="00353427" w:rsidRDefault="0067446B" w:rsidP="007540B0">
      <w:pPr>
        <w:pStyle w:val="ListParagraph"/>
        <w:jc w:val="both"/>
        <w:rPr>
          <w:color w:val="000000" w:themeColor="text1"/>
        </w:rPr>
      </w:pPr>
    </w:p>
    <w:sectPr w:rsidR="0067446B" w:rsidRPr="003534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E6497"/>
    <w:multiLevelType w:val="hybridMultilevel"/>
    <w:tmpl w:val="D368F298"/>
    <w:lvl w:ilvl="0" w:tplc="352C2380">
      <w:start w:val="1"/>
      <w:numFmt w:val="decimal"/>
      <w:lvlText w:val="%1."/>
      <w:lvlJc w:val="left"/>
      <w:pPr>
        <w:ind w:left="72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56A41"/>
    <w:multiLevelType w:val="hybridMultilevel"/>
    <w:tmpl w:val="ADDC7876"/>
    <w:lvl w:ilvl="0" w:tplc="B2C82B40">
      <w:start w:val="1"/>
      <w:numFmt w:val="decimal"/>
      <w:lvlText w:val="%1."/>
      <w:lvlJc w:val="left"/>
      <w:pPr>
        <w:ind w:left="720" w:hanging="360"/>
      </w:pPr>
      <w:rPr>
        <w:rFonts w:asciiTheme="majorHAnsi" w:eastAsiaTheme="minorHAnsi" w:hAnsiTheme="majorHAnsi" w:cstheme="maj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930FEF"/>
    <w:multiLevelType w:val="hybridMultilevel"/>
    <w:tmpl w:val="AD5EA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042D54"/>
    <w:multiLevelType w:val="hybridMultilevel"/>
    <w:tmpl w:val="CC0A4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3B57C6"/>
    <w:multiLevelType w:val="hybridMultilevel"/>
    <w:tmpl w:val="3D4603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6C5BF5"/>
    <w:multiLevelType w:val="hybridMultilevel"/>
    <w:tmpl w:val="1910E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6D4088"/>
    <w:multiLevelType w:val="hybridMultilevel"/>
    <w:tmpl w:val="CC0A4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2"/>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184"/>
    <w:rsid w:val="00047616"/>
    <w:rsid w:val="00066EDF"/>
    <w:rsid w:val="00301739"/>
    <w:rsid w:val="00353427"/>
    <w:rsid w:val="003751D8"/>
    <w:rsid w:val="003909B9"/>
    <w:rsid w:val="003B1DB5"/>
    <w:rsid w:val="003F2184"/>
    <w:rsid w:val="004040F3"/>
    <w:rsid w:val="004248FF"/>
    <w:rsid w:val="004A41BA"/>
    <w:rsid w:val="005A1C2A"/>
    <w:rsid w:val="0067446B"/>
    <w:rsid w:val="007540B0"/>
    <w:rsid w:val="00784B39"/>
    <w:rsid w:val="007D183F"/>
    <w:rsid w:val="00D34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49CC1"/>
  <w15:chartTrackingRefBased/>
  <w15:docId w15:val="{65F060AA-495B-467A-A1D5-7E82D47A9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34707"/>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1C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1C2A"/>
    <w:rPr>
      <w:rFonts w:ascii="Segoe UI" w:hAnsi="Segoe UI" w:cs="Segoe UI"/>
      <w:sz w:val="18"/>
      <w:szCs w:val="18"/>
    </w:rPr>
  </w:style>
  <w:style w:type="paragraph" w:styleId="ListParagraph">
    <w:name w:val="List Paragraph"/>
    <w:basedOn w:val="Normal"/>
    <w:uiPriority w:val="34"/>
    <w:qFormat/>
    <w:rsid w:val="005A1C2A"/>
    <w:pPr>
      <w:spacing w:after="0" w:line="240" w:lineRule="auto"/>
      <w:ind w:left="720"/>
      <w:contextualSpacing/>
    </w:pPr>
    <w:rPr>
      <w:rFonts w:ascii="Times New Roman" w:eastAsia="Times New Roman" w:hAnsi="Times New Roman" w:cs="Times New Roman"/>
      <w:sz w:val="24"/>
      <w:szCs w:val="24"/>
    </w:rPr>
  </w:style>
  <w:style w:type="character" w:customStyle="1" w:styleId="titles-source">
    <w:name w:val="titles-source"/>
    <w:basedOn w:val="DefaultParagraphFont"/>
    <w:rsid w:val="003B1DB5"/>
  </w:style>
  <w:style w:type="paragraph" w:styleId="NormalWeb">
    <w:name w:val="Normal (Web)"/>
    <w:basedOn w:val="Normal"/>
    <w:uiPriority w:val="99"/>
    <w:unhideWhenUsed/>
    <w:rsid w:val="00301739"/>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3909B9"/>
    <w:rPr>
      <w:color w:val="0563C1" w:themeColor="hyperlink"/>
      <w:u w:val="single"/>
    </w:rPr>
  </w:style>
  <w:style w:type="character" w:styleId="UnresolvedMention">
    <w:name w:val="Unresolved Mention"/>
    <w:basedOn w:val="DefaultParagraphFont"/>
    <w:uiPriority w:val="99"/>
    <w:semiHidden/>
    <w:unhideWhenUsed/>
    <w:rsid w:val="003909B9"/>
    <w:rPr>
      <w:color w:val="605E5C"/>
      <w:shd w:val="clear" w:color="auto" w:fill="E1DFDD"/>
    </w:rPr>
  </w:style>
  <w:style w:type="character" w:styleId="FollowedHyperlink">
    <w:name w:val="FollowedHyperlink"/>
    <w:basedOn w:val="DefaultParagraphFont"/>
    <w:uiPriority w:val="99"/>
    <w:semiHidden/>
    <w:unhideWhenUsed/>
    <w:rsid w:val="00047616"/>
    <w:rPr>
      <w:color w:val="954F72" w:themeColor="followedHyperlink"/>
      <w:u w:val="single"/>
    </w:rPr>
  </w:style>
  <w:style w:type="character" w:customStyle="1" w:styleId="Heading2Char">
    <w:name w:val="Heading 2 Char"/>
    <w:basedOn w:val="DefaultParagraphFont"/>
    <w:link w:val="Heading2"/>
    <w:uiPriority w:val="9"/>
    <w:semiHidden/>
    <w:rsid w:val="00D34707"/>
    <w:rPr>
      <w:rFonts w:asciiTheme="majorHAnsi" w:eastAsiaTheme="majorEastAsia" w:hAnsiTheme="majorHAnsi" w:cstheme="majorBidi"/>
      <w:color w:val="2F5496"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ice.org.uk/process/pmg9/resources/guide-to-the-methods-of-technology-appraisal-2013-pdf-2007975843781" TargetMode="External"/><Relationship Id="rId5" Type="http://schemas.openxmlformats.org/officeDocument/2006/relationships/hyperlink" Target="https://apersu.ca/wp-content/uploads/2016/02/EQ-5D-5L_User-Guide.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1526</Words>
  <Characters>8701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Syafhan</dc:creator>
  <cp:keywords/>
  <dc:description/>
  <cp:lastModifiedBy>Nadia Syafhan</cp:lastModifiedBy>
  <cp:revision>3</cp:revision>
  <dcterms:created xsi:type="dcterms:W3CDTF">2020-08-13T19:17:00Z</dcterms:created>
  <dcterms:modified xsi:type="dcterms:W3CDTF">2020-08-17T17:09:00Z</dcterms:modified>
</cp:coreProperties>
</file>