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56" w:rsidRPr="00042206" w:rsidRDefault="00E03DCA" w:rsidP="00785756">
      <w:pPr>
        <w:pStyle w:val="Normal1"/>
        <w:tabs>
          <w:tab w:val="left" w:pos="142"/>
        </w:tabs>
        <w:spacing w:line="480" w:lineRule="auto"/>
        <w:jc w:val="both"/>
        <w:rPr>
          <w:color w:val="auto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Additional file </w:t>
      </w:r>
      <w:r w:rsidR="00785756" w:rsidRPr="00042206">
        <w:rPr>
          <w:rFonts w:ascii="Arial" w:eastAsia="Arial" w:hAnsi="Arial" w:cs="Arial"/>
          <w:color w:val="auto"/>
          <w:lang w:val="en-US"/>
        </w:rPr>
        <w:t xml:space="preserve">2, Bone marrow aspiration procedures </w:t>
      </w:r>
    </w:p>
    <w:p w:rsidR="000036F3" w:rsidRDefault="00785756" w:rsidP="00785756">
      <w:pPr>
        <w:pStyle w:val="Normal1"/>
        <w:tabs>
          <w:tab w:val="left" w:pos="142"/>
        </w:tabs>
        <w:spacing w:line="480" w:lineRule="auto"/>
        <w:jc w:val="both"/>
      </w:pPr>
      <w:proofErr w:type="spellStart"/>
      <w:r w:rsidRPr="00042206">
        <w:rPr>
          <w:rFonts w:ascii="Arial" w:eastAsia="Arial" w:hAnsi="Arial" w:cs="Arial"/>
          <w:color w:val="auto"/>
          <w:lang w:val="en-US"/>
        </w:rPr>
        <w:t>BMA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 xml:space="preserve"> was bedside performed by trained operators using standard technique. The preferred anatomic site for </w:t>
      </w:r>
      <w:proofErr w:type="spellStart"/>
      <w:r w:rsidRPr="00042206">
        <w:rPr>
          <w:rFonts w:ascii="Arial" w:eastAsia="Arial" w:hAnsi="Arial" w:cs="Arial"/>
          <w:color w:val="auto"/>
          <w:lang w:val="en-US"/>
        </w:rPr>
        <w:t>BMA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 xml:space="preserve"> was the </w:t>
      </w:r>
      <w:proofErr w:type="spellStart"/>
      <w:r w:rsidRPr="00042206">
        <w:rPr>
          <w:rFonts w:ascii="Arial" w:eastAsia="Arial" w:hAnsi="Arial" w:cs="Arial"/>
          <w:color w:val="auto"/>
          <w:lang w:val="en-US"/>
        </w:rPr>
        <w:t>sternal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 xml:space="preserve"> site. The iliac crest was used when </w:t>
      </w:r>
      <w:proofErr w:type="spellStart"/>
      <w:r w:rsidRPr="00042206">
        <w:rPr>
          <w:rFonts w:ascii="Arial" w:eastAsia="Arial" w:hAnsi="Arial" w:cs="Arial"/>
          <w:color w:val="auto"/>
          <w:lang w:val="en-US"/>
        </w:rPr>
        <w:t>sternal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 xml:space="preserve"> aspiration </w:t>
      </w:r>
      <w:r w:rsidRPr="00380E33">
        <w:rPr>
          <w:rFonts w:ascii="Arial" w:eastAsia="Arial" w:hAnsi="Arial" w:cs="Arial"/>
          <w:color w:val="auto"/>
          <w:lang w:val="en-US"/>
        </w:rPr>
        <w:t xml:space="preserve">was contraindicated (patient with prior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sternal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fracture,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sternotomy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or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mediastinal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radiotherapy), and when bone marrow trephine was also indicated, and when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BMA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at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sternal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site had</w:t>
      </w:r>
      <w:r w:rsidRPr="00EE7B95">
        <w:rPr>
          <w:rFonts w:ascii="Arial" w:eastAsia="Arial" w:hAnsi="Arial" w:cs="Arial"/>
          <w:color w:val="4F81BD"/>
          <w:lang w:val="en-US"/>
        </w:rPr>
        <w:t xml:space="preserve"> </w:t>
      </w:r>
      <w:r w:rsidRPr="00380E33">
        <w:rPr>
          <w:rFonts w:ascii="Arial" w:eastAsia="Arial" w:hAnsi="Arial" w:cs="Arial"/>
          <w:color w:val="auto"/>
          <w:lang w:val="en-US"/>
        </w:rPr>
        <w:t>previously failed. All procedures</w:t>
      </w:r>
      <w:r w:rsidRPr="00042206">
        <w:rPr>
          <w:rFonts w:ascii="Arial" w:eastAsia="Arial" w:hAnsi="Arial" w:cs="Arial"/>
          <w:color w:val="auto"/>
          <w:lang w:val="en-US"/>
        </w:rPr>
        <w:t xml:space="preserve"> used </w:t>
      </w:r>
      <w:proofErr w:type="spellStart"/>
      <w:r w:rsidRPr="00042206">
        <w:rPr>
          <w:rFonts w:ascii="Arial" w:eastAsia="Arial" w:hAnsi="Arial" w:cs="Arial"/>
          <w:color w:val="auto"/>
          <w:lang w:val="en-US"/>
        </w:rPr>
        <w:t>16G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>/1.6 mm-diameter disposable needles (</w:t>
      </w:r>
      <w:proofErr w:type="spellStart"/>
      <w:r w:rsidRPr="00042206">
        <w:rPr>
          <w:rFonts w:ascii="Arial" w:eastAsia="Arial" w:hAnsi="Arial" w:cs="Arial"/>
          <w:color w:val="auto"/>
          <w:lang w:val="en-US"/>
        </w:rPr>
        <w:t>Thiebaud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 xml:space="preserve"> Biomedical Devices, </w:t>
      </w:r>
      <w:proofErr w:type="spellStart"/>
      <w:r w:rsidRPr="00042206">
        <w:rPr>
          <w:rFonts w:ascii="Arial" w:eastAsia="Arial" w:hAnsi="Arial" w:cs="Arial"/>
          <w:color w:val="auto"/>
          <w:lang w:val="en-US"/>
        </w:rPr>
        <w:t>Thonon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>-les-</w:t>
      </w:r>
      <w:proofErr w:type="spellStart"/>
      <w:r w:rsidRPr="00042206">
        <w:rPr>
          <w:rFonts w:ascii="Arial" w:eastAsia="Arial" w:hAnsi="Arial" w:cs="Arial"/>
          <w:color w:val="auto"/>
          <w:lang w:val="en-US"/>
        </w:rPr>
        <w:t>Bains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 xml:space="preserve">, France) with a length of 20 mm to 30 mm for </w:t>
      </w:r>
      <w:proofErr w:type="spellStart"/>
      <w:r w:rsidRPr="00042206">
        <w:rPr>
          <w:rFonts w:ascii="Arial" w:eastAsia="Arial" w:hAnsi="Arial" w:cs="Arial"/>
          <w:color w:val="auto"/>
          <w:lang w:val="en-US"/>
        </w:rPr>
        <w:t>sternal</w:t>
      </w:r>
      <w:proofErr w:type="spellEnd"/>
      <w:r w:rsidRPr="00042206">
        <w:rPr>
          <w:rFonts w:ascii="Arial" w:eastAsia="Arial" w:hAnsi="Arial" w:cs="Arial"/>
          <w:color w:val="auto"/>
          <w:lang w:val="en-US"/>
        </w:rPr>
        <w:t xml:space="preserve"> aspirati</w:t>
      </w:r>
      <w:r w:rsidRPr="00380E33">
        <w:rPr>
          <w:rFonts w:ascii="Arial" w:eastAsia="Arial" w:hAnsi="Arial" w:cs="Arial"/>
          <w:color w:val="auto"/>
          <w:lang w:val="en-US"/>
        </w:rPr>
        <w:t xml:space="preserve">on and of 50 mm for iliac aspiration. Thrombocytopenia and coagulation abnormalities were considered a contraindication to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BMA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at the iliac crest site but not at the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sternal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site. The procedure was performed under sterile conditions, which comprise skin antisepsis with alcoholic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chlorhexidine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, wearing cap, mask, sterile gown and gloves, and placing a sterile drape with a fenestrated opening over the procurement site. In patients not receiving systemic analgesics, a local anesthesia with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lidocaine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was used to numb the skin and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periosteum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at the site of marrow procurement. Approximately an aspirate of one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mL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was drawn with a 10- or 20-ml anticoagulant-free plastic syringe attached to the aspiration needle. The marrow sample was immediately placed into a tube containing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EDTA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anticoagulant, gently shaken and promptly sent to the hematology laboratory for smear preparation. Smears were prepared from the aspirated material upon arrival at</w:t>
      </w:r>
      <w:r w:rsidRPr="00EE7B95">
        <w:rPr>
          <w:rFonts w:ascii="Arial" w:eastAsia="Arial" w:hAnsi="Arial" w:cs="Arial"/>
          <w:color w:val="4F81BD"/>
          <w:lang w:val="en-US"/>
        </w:rPr>
        <w:t xml:space="preserve"> </w:t>
      </w:r>
      <w:r w:rsidRPr="00380E33">
        <w:rPr>
          <w:rFonts w:ascii="Arial" w:eastAsia="Arial" w:hAnsi="Arial" w:cs="Arial"/>
          <w:color w:val="auto"/>
          <w:lang w:val="en-US"/>
        </w:rPr>
        <w:t xml:space="preserve">the laboratory and stained by the May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Grunwald-Giemsa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 technique for microscopic examination. When specialized marrow analyses such as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immunophenotyping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 xml:space="preserve">, flow </w:t>
      </w:r>
      <w:proofErr w:type="spellStart"/>
      <w:r w:rsidRPr="00380E33">
        <w:rPr>
          <w:rFonts w:ascii="Arial" w:eastAsia="Arial" w:hAnsi="Arial" w:cs="Arial"/>
          <w:color w:val="auto"/>
          <w:lang w:val="en-US"/>
        </w:rPr>
        <w:t>cytometry</w:t>
      </w:r>
      <w:proofErr w:type="spellEnd"/>
      <w:r w:rsidRPr="00380E33">
        <w:rPr>
          <w:rFonts w:ascii="Arial" w:eastAsia="Arial" w:hAnsi="Arial" w:cs="Arial"/>
          <w:color w:val="auto"/>
          <w:lang w:val="en-US"/>
        </w:rPr>
        <w:t>, cytogenetic analysis, molecular genetic studies, and microbiology were indicated, additional bone marrow samples were drawn and collected as recommended by the local laboratory.</w:t>
      </w:r>
    </w:p>
    <w:sectPr w:rsidR="000036F3" w:rsidSect="0000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20"/>
  <w:characterSpacingControl w:val="doNotCompress"/>
  <w:compat/>
  <w:docVars>
    <w:docVar w:name="Total_Editing_Time" w:val="1"/>
  </w:docVars>
  <w:rsids>
    <w:rsidRoot w:val="00785756"/>
    <w:rsid w:val="000036F3"/>
    <w:rsid w:val="00292D29"/>
    <w:rsid w:val="0045100D"/>
    <w:rsid w:val="00455782"/>
    <w:rsid w:val="00471CE0"/>
    <w:rsid w:val="00785756"/>
    <w:rsid w:val="0085310A"/>
    <w:rsid w:val="00895765"/>
    <w:rsid w:val="00BF190F"/>
    <w:rsid w:val="00E0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85756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val="en-GB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1623</Characters>
  <Application>Microsoft Office Word</Application>
  <DocSecurity>0</DocSecurity>
  <Lines>23</Lines>
  <Paragraphs>2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2</cp:revision>
  <dcterms:created xsi:type="dcterms:W3CDTF">2017-11-18T15:56:00Z</dcterms:created>
  <dcterms:modified xsi:type="dcterms:W3CDTF">2017-11-18T16:05:00Z</dcterms:modified>
</cp:coreProperties>
</file>