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583ED" w14:textId="77777777" w:rsidR="00F37964" w:rsidRDefault="00F37964" w:rsidP="00F379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</w:t>
      </w:r>
      <w:r w:rsidRPr="00FC21F3"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  <w:b/>
        </w:rPr>
        <w:t>.</w:t>
      </w:r>
      <w:r w:rsidRPr="00FC21F3">
        <w:rPr>
          <w:rFonts w:ascii="Times New Roman" w:hAnsi="Times New Roman" w:cs="Times New Roman"/>
          <w:b/>
        </w:rPr>
        <w:t xml:space="preserve"> </w:t>
      </w:r>
    </w:p>
    <w:p w14:paraId="449830C8" w14:textId="64092E63" w:rsidR="00F37964" w:rsidRPr="002F26DD" w:rsidRDefault="00F37964" w:rsidP="00F37964">
      <w:pPr>
        <w:rPr>
          <w:rFonts w:ascii="Times New Roman" w:hAnsi="Times New Roman" w:cs="Times New Roman"/>
          <w:b/>
        </w:rPr>
      </w:pPr>
      <w:r w:rsidRPr="002F26DD">
        <w:rPr>
          <w:rFonts w:ascii="Times New Roman" w:hAnsi="Times New Roman" w:cs="Times New Roman"/>
          <w:b/>
        </w:rPr>
        <w:t>Japanese Association for Acute Medicine</w:t>
      </w:r>
      <w:r>
        <w:rPr>
          <w:rFonts w:ascii="Times New Roman" w:hAnsi="Times New Roman" w:cs="Times New Roman"/>
          <w:b/>
        </w:rPr>
        <w:t xml:space="preserve"> (JAAM)</w:t>
      </w:r>
      <w:r w:rsidRPr="002F26DD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Disseminated Intravascular C</w:t>
      </w:r>
      <w:r w:rsidRPr="002F26DD">
        <w:rPr>
          <w:rFonts w:ascii="Times New Roman" w:hAnsi="Times New Roman" w:cs="Times New Roman"/>
          <w:b/>
        </w:rPr>
        <w:t xml:space="preserve">oagulation </w:t>
      </w:r>
      <w:r>
        <w:rPr>
          <w:rFonts w:ascii="Times New Roman" w:hAnsi="Times New Roman" w:cs="Times New Roman"/>
          <w:b/>
        </w:rPr>
        <w:t xml:space="preserve">(DIC) diagnostic </w:t>
      </w:r>
      <w:r w:rsidRPr="002F26DD">
        <w:rPr>
          <w:rFonts w:ascii="Times New Roman" w:hAnsi="Times New Roman" w:cs="Times New Roman"/>
          <w:b/>
        </w:rPr>
        <w:t>criteria</w:t>
      </w:r>
      <w:r w:rsidRPr="002F26DD">
        <w:rPr>
          <w:rFonts w:ascii="Times New Roman" w:hAnsi="Times New Roman" w:cs="Times New Roman" w:hint="eastAsia"/>
          <w:b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1411"/>
      </w:tblGrid>
      <w:tr w:rsidR="00F37964" w14:paraId="102FB8C8" w14:textId="77777777" w:rsidTr="00EC53D8">
        <w:tc>
          <w:tcPr>
            <w:tcW w:w="6629" w:type="dxa"/>
            <w:tcBorders>
              <w:bottom w:val="single" w:sz="4" w:space="0" w:color="auto"/>
            </w:tcBorders>
          </w:tcPr>
          <w:p w14:paraId="1D9445CB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C464E1E" w14:textId="77777777" w:rsidR="00F37964" w:rsidRPr="000365FA" w:rsidRDefault="00F37964" w:rsidP="00EC53D8">
            <w:pPr>
              <w:ind w:leftChars="-105" w:left="-220" w:firstLine="141"/>
              <w:rPr>
                <w:rFonts w:ascii="Times New Roman" w:hAnsi="Times New Roman" w:cs="Times New Roman"/>
              </w:rPr>
            </w:pPr>
            <w:r w:rsidRPr="000365FA">
              <w:rPr>
                <w:rFonts w:ascii="Times New Roman" w:hAnsi="Times New Roman" w:cs="Times New Roman"/>
              </w:rPr>
              <w:t>Score</w:t>
            </w:r>
          </w:p>
        </w:tc>
      </w:tr>
      <w:tr w:rsidR="00F37964" w14:paraId="03584877" w14:textId="77777777" w:rsidTr="00EC53D8">
        <w:tc>
          <w:tcPr>
            <w:tcW w:w="6629" w:type="dxa"/>
            <w:tcBorders>
              <w:top w:val="single" w:sz="4" w:space="0" w:color="auto"/>
            </w:tcBorders>
          </w:tcPr>
          <w:p w14:paraId="11D08901" w14:textId="77777777" w:rsidR="00F37964" w:rsidRDefault="00F37964" w:rsidP="00EC53D8">
            <w:pPr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Systemic inflamma</w:t>
            </w:r>
            <w:r>
              <w:rPr>
                <w:rFonts w:ascii="Times New Roman" w:hAnsi="Times New Roman" w:cs="Times New Roman"/>
              </w:rPr>
              <w:t>tory response syndrome criteria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0824B59F" w14:textId="77777777" w:rsidR="00F37964" w:rsidRDefault="00F37964" w:rsidP="00EC53D8">
            <w:pPr>
              <w:rPr>
                <w:rFonts w:ascii="Times New Roman" w:hAnsi="Times New Roman" w:cs="Times New Roman"/>
              </w:rPr>
            </w:pPr>
          </w:p>
        </w:tc>
      </w:tr>
      <w:tr w:rsidR="00F37964" w14:paraId="4F823D66" w14:textId="77777777" w:rsidTr="00EC53D8">
        <w:tc>
          <w:tcPr>
            <w:tcW w:w="6629" w:type="dxa"/>
          </w:tcPr>
          <w:p w14:paraId="6CE0BD71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≥3</w:t>
            </w:r>
          </w:p>
        </w:tc>
        <w:tc>
          <w:tcPr>
            <w:tcW w:w="1411" w:type="dxa"/>
          </w:tcPr>
          <w:p w14:paraId="04D08B72" w14:textId="77777777" w:rsidR="00F3796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F37964" w14:paraId="4F12E6AA" w14:textId="77777777" w:rsidTr="00EC53D8">
        <w:tc>
          <w:tcPr>
            <w:tcW w:w="6629" w:type="dxa"/>
          </w:tcPr>
          <w:p w14:paraId="527A599B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0–2</w:t>
            </w:r>
          </w:p>
        </w:tc>
        <w:tc>
          <w:tcPr>
            <w:tcW w:w="1411" w:type="dxa"/>
          </w:tcPr>
          <w:p w14:paraId="3ACC6A32" w14:textId="77777777" w:rsidR="00F3796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7964" w14:paraId="2318AF1F" w14:textId="77777777" w:rsidTr="00EC53D8">
        <w:tc>
          <w:tcPr>
            <w:tcW w:w="6629" w:type="dxa"/>
          </w:tcPr>
          <w:p w14:paraId="2327F42E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Platelet count</w:t>
            </w:r>
            <w:r w:rsidRPr="000A4F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0A4F94">
              <w:rPr>
                <w:rFonts w:ascii="Times New Roman" w:hAnsi="Times New Roman" w:cs="Times New Roman"/>
              </w:rPr>
              <w:t>×10</w:t>
            </w:r>
            <w:r w:rsidRPr="002F26DD">
              <w:rPr>
                <w:rFonts w:ascii="Times New Roman" w:hAnsi="Times New Roman" w:cs="Times New Roman"/>
                <w:vertAlign w:val="superscript"/>
              </w:rPr>
              <w:t>9</w:t>
            </w:r>
            <w:r w:rsidRPr="000A4F94">
              <w:rPr>
                <w:rFonts w:ascii="Times New Roman" w:hAnsi="Times New Roman" w:cs="Times New Roman"/>
              </w:rPr>
              <w:t>/L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ECF5C2E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&lt;8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0A4F94">
              <w:rPr>
                <w:rFonts w:ascii="Times New Roman" w:hAnsi="Times New Roman" w:cs="Times New Roman"/>
              </w:rPr>
              <w:t xml:space="preserve"> or &gt;50% decrease within 24 hours</w:t>
            </w:r>
          </w:p>
        </w:tc>
        <w:tc>
          <w:tcPr>
            <w:tcW w:w="1411" w:type="dxa"/>
          </w:tcPr>
          <w:p w14:paraId="041037E4" w14:textId="77777777" w:rsidR="00F37964" w:rsidRPr="0036090B" w:rsidRDefault="00F37964" w:rsidP="00EC53D8">
            <w:pPr>
              <w:rPr>
                <w:rFonts w:ascii="Times New Roman" w:hAnsi="Times New Roman" w:cs="Times New Roman"/>
              </w:rPr>
            </w:pPr>
          </w:p>
          <w:p w14:paraId="7D3CDDDF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F37964" w14:paraId="34C69101" w14:textId="77777777" w:rsidTr="00EC53D8">
        <w:tc>
          <w:tcPr>
            <w:tcW w:w="6629" w:type="dxa"/>
          </w:tcPr>
          <w:p w14:paraId="0502FC86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≥80 and &lt;120,</w:t>
            </w:r>
            <w:r w:rsidRPr="000A4F94">
              <w:rPr>
                <w:rFonts w:ascii="Times New Roman" w:hAnsi="Times New Roman" w:cs="Times New Roman"/>
              </w:rPr>
              <w:t xml:space="preserve"> or 30% decrease within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4F94">
              <w:rPr>
                <w:rFonts w:ascii="Times New Roman" w:hAnsi="Times New Roman" w:cs="Times New Roman"/>
              </w:rPr>
              <w:t>24 hours</w:t>
            </w:r>
          </w:p>
          <w:p w14:paraId="5E9E665D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≥120</w:t>
            </w:r>
          </w:p>
          <w:p w14:paraId="7DC9D4C6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Prothrombin time</w:t>
            </w:r>
            <w:r>
              <w:rPr>
                <w:rFonts w:ascii="Times New Roman" w:hAnsi="Times New Roman" w:cs="Times New Roman"/>
              </w:rPr>
              <w:t xml:space="preserve"> ratio</w:t>
            </w:r>
          </w:p>
          <w:p w14:paraId="42F4ABB6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≥1.2</w:t>
            </w:r>
          </w:p>
        </w:tc>
        <w:tc>
          <w:tcPr>
            <w:tcW w:w="1411" w:type="dxa"/>
          </w:tcPr>
          <w:p w14:paraId="3F6C41A7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1</w:t>
            </w:r>
          </w:p>
          <w:p w14:paraId="371F8A05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0</w:t>
            </w:r>
          </w:p>
          <w:p w14:paraId="4FFEC04D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</w:p>
          <w:p w14:paraId="7B2425AE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F37964" w14:paraId="2939ADA1" w14:textId="77777777" w:rsidTr="00EC53D8">
        <w:tc>
          <w:tcPr>
            <w:tcW w:w="6629" w:type="dxa"/>
          </w:tcPr>
          <w:p w14:paraId="40B59287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&lt;1.2</w:t>
            </w:r>
          </w:p>
        </w:tc>
        <w:tc>
          <w:tcPr>
            <w:tcW w:w="1411" w:type="dxa"/>
          </w:tcPr>
          <w:p w14:paraId="10C3239B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37964" w14:paraId="6FE27373" w14:textId="77777777" w:rsidTr="00EC53D8">
        <w:tc>
          <w:tcPr>
            <w:tcW w:w="6629" w:type="dxa"/>
          </w:tcPr>
          <w:p w14:paraId="24C6B56F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Fibrin/fi</w:t>
            </w:r>
            <w:r>
              <w:rPr>
                <w:rFonts w:ascii="Times New Roman" w:hAnsi="Times New Roman" w:cs="Times New Roman"/>
              </w:rPr>
              <w:t>brinogen degradation products (FDP) (</w:t>
            </w:r>
            <w:proofErr w:type="spellStart"/>
            <w:r w:rsidRPr="000365FA">
              <w:rPr>
                <w:rFonts w:ascii="Times New Roman" w:hAnsi="Times New Roman" w:cs="Times New Roman"/>
              </w:rPr>
              <w:t>μ</w:t>
            </w:r>
            <w:r w:rsidRPr="000A4F94">
              <w:rPr>
                <w:rFonts w:ascii="Times New Roman" w:hAnsi="Times New Roman" w:cs="Times New Roman"/>
              </w:rPr>
              <w:t>g</w:t>
            </w:r>
            <w:proofErr w:type="spellEnd"/>
            <w:r w:rsidRPr="000A4F94"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mL)*</w:t>
            </w:r>
            <w:proofErr w:type="gramEnd"/>
          </w:p>
        </w:tc>
        <w:tc>
          <w:tcPr>
            <w:tcW w:w="1411" w:type="dxa"/>
          </w:tcPr>
          <w:p w14:paraId="762B22C9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</w:p>
        </w:tc>
      </w:tr>
      <w:tr w:rsidR="00F37964" w14:paraId="68E4B5C0" w14:textId="77777777" w:rsidTr="00EC53D8">
        <w:tc>
          <w:tcPr>
            <w:tcW w:w="6629" w:type="dxa"/>
          </w:tcPr>
          <w:p w14:paraId="5D73FB7C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≥25</w:t>
            </w:r>
          </w:p>
        </w:tc>
        <w:tc>
          <w:tcPr>
            <w:tcW w:w="1411" w:type="dxa"/>
          </w:tcPr>
          <w:p w14:paraId="4583B5DD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7964" w14:paraId="143BC01B" w14:textId="77777777" w:rsidTr="00EC53D8">
        <w:tc>
          <w:tcPr>
            <w:tcW w:w="6629" w:type="dxa"/>
          </w:tcPr>
          <w:p w14:paraId="291D781E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≥10 and &lt;25</w:t>
            </w:r>
          </w:p>
        </w:tc>
        <w:tc>
          <w:tcPr>
            <w:tcW w:w="1411" w:type="dxa"/>
          </w:tcPr>
          <w:p w14:paraId="6A95E9EB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F37964" w14:paraId="4B8D556B" w14:textId="77777777" w:rsidTr="00EC53D8">
        <w:tc>
          <w:tcPr>
            <w:tcW w:w="6629" w:type="dxa"/>
          </w:tcPr>
          <w:p w14:paraId="53457638" w14:textId="77777777" w:rsidR="00F37964" w:rsidRPr="000A4F94" w:rsidRDefault="00F37964" w:rsidP="00EC53D8">
            <w:pPr>
              <w:ind w:leftChars="413" w:left="867"/>
              <w:rPr>
                <w:rFonts w:ascii="Times New Roman" w:hAnsi="Times New Roman" w:cs="Times New Roman"/>
              </w:rPr>
            </w:pPr>
            <w:r w:rsidRPr="000A4F94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411" w:type="dxa"/>
          </w:tcPr>
          <w:p w14:paraId="2AD514D7" w14:textId="77777777" w:rsidR="00F3796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7964" w14:paraId="5274C7E8" w14:textId="77777777" w:rsidTr="00EC53D8">
        <w:tc>
          <w:tcPr>
            <w:tcW w:w="6629" w:type="dxa"/>
          </w:tcPr>
          <w:p w14:paraId="0812D77F" w14:textId="77777777" w:rsidR="00F37964" w:rsidRPr="000365FA" w:rsidRDefault="00F37964" w:rsidP="00EC53D8">
            <w:pPr>
              <w:rPr>
                <w:rFonts w:ascii="Times New Roman" w:hAnsi="Times New Roman" w:cs="Times New Roman"/>
              </w:rPr>
            </w:pPr>
            <w:r w:rsidRPr="000365FA">
              <w:rPr>
                <w:rFonts w:ascii="Times New Roman" w:hAnsi="Times New Roman" w:cs="Times New Roman"/>
              </w:rPr>
              <w:t>Diagnosis</w:t>
            </w:r>
          </w:p>
        </w:tc>
        <w:tc>
          <w:tcPr>
            <w:tcW w:w="1411" w:type="dxa"/>
          </w:tcPr>
          <w:p w14:paraId="55E1CCA5" w14:textId="77777777" w:rsidR="00F37964" w:rsidRPr="000A4F94" w:rsidRDefault="00F37964" w:rsidP="00EC5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     </w:t>
            </w:r>
          </w:p>
        </w:tc>
      </w:tr>
      <w:tr w:rsidR="00F37964" w14:paraId="039DCBCD" w14:textId="77777777" w:rsidTr="00EC53D8">
        <w:tc>
          <w:tcPr>
            <w:tcW w:w="6629" w:type="dxa"/>
            <w:tcBorders>
              <w:bottom w:val="single" w:sz="4" w:space="0" w:color="auto"/>
            </w:tcBorders>
          </w:tcPr>
          <w:p w14:paraId="6525F3AF" w14:textId="77777777" w:rsidR="00F37964" w:rsidRPr="005E7513" w:rsidRDefault="00F37964" w:rsidP="00EC53D8">
            <w:pPr>
              <w:ind w:leftChars="413" w:left="867"/>
              <w:rPr>
                <w:rFonts w:ascii="Times New Roman" w:hAnsi="Times New Roman" w:cs="Times New Roman"/>
                <w:b/>
              </w:rPr>
            </w:pPr>
            <w:r w:rsidRPr="000A4F94">
              <w:rPr>
                <w:rFonts w:ascii="Times New Roman" w:hAnsi="Times New Roman" w:cs="Times New Roman"/>
              </w:rPr>
              <w:t>≥4 points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C0269B2" w14:textId="77777777" w:rsidR="00F37964" w:rsidRPr="000365FA" w:rsidRDefault="00F37964" w:rsidP="00EC53D8">
            <w:pPr>
              <w:ind w:leftChars="-104" w:left="-218" w:firstLineChars="59" w:firstLine="124"/>
              <w:rPr>
                <w:rFonts w:ascii="Times New Roman" w:hAnsi="Times New Roman" w:cs="Times New Roman"/>
              </w:rPr>
            </w:pPr>
            <w:r w:rsidRPr="000365FA">
              <w:rPr>
                <w:rFonts w:ascii="Times New Roman" w:hAnsi="Times New Roman" w:cs="Times New Roman"/>
              </w:rPr>
              <w:t>JAAM-</w:t>
            </w:r>
            <w:r w:rsidRPr="000365FA">
              <w:rPr>
                <w:rFonts w:ascii="Times New Roman" w:hAnsi="Times New Roman" w:cs="Times New Roman" w:hint="eastAsia"/>
              </w:rPr>
              <w:t>DIC</w:t>
            </w:r>
          </w:p>
        </w:tc>
      </w:tr>
    </w:tbl>
    <w:p w14:paraId="57A02DF2" w14:textId="77777777" w:rsidR="00F37964" w:rsidRPr="00AC7090" w:rsidRDefault="00F37964" w:rsidP="00F37964">
      <w:pPr>
        <w:ind w:leftChars="59" w:left="124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*: </w:t>
      </w:r>
      <w:r w:rsidRPr="003D62AD">
        <w:rPr>
          <w:rFonts w:ascii="Times New Roman" w:hAnsi="Times New Roman" w:cs="Times New Roman"/>
        </w:rPr>
        <w:t>JAAM-DIC</w:t>
      </w:r>
      <w:r>
        <w:rPr>
          <w:rFonts w:ascii="Times New Roman" w:hAnsi="Times New Roman" w:cs="Times New Roman"/>
        </w:rPr>
        <w:t xml:space="preserve"> is also calculated by D-dimer. </w:t>
      </w:r>
    </w:p>
    <w:p w14:paraId="70803CC2" w14:textId="77777777" w:rsidR="00E42F3D" w:rsidRPr="00F37964" w:rsidRDefault="00F37964"/>
    <w:sectPr w:rsidR="00E42F3D" w:rsidRPr="00F37964" w:rsidSect="00033786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64"/>
    <w:rsid w:val="000D31DA"/>
    <w:rsid w:val="00323CC8"/>
    <w:rsid w:val="00F3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C385A6"/>
  <w15:chartTrackingRefBased/>
  <w15:docId w15:val="{95B78A7F-0CF9-4EDF-8C54-E6DFC8DA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9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F37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直志 武山</dc:creator>
  <cp:keywords/>
  <dc:description/>
  <cp:lastModifiedBy>直志 武山</cp:lastModifiedBy>
  <cp:revision>1</cp:revision>
  <dcterms:created xsi:type="dcterms:W3CDTF">2020-07-17T07:34:00Z</dcterms:created>
  <dcterms:modified xsi:type="dcterms:W3CDTF">2020-07-17T07:35:00Z</dcterms:modified>
</cp:coreProperties>
</file>